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1" w:rightFromText="454" w:vertAnchor="text" w:horzAnchor="page" w:tblpXSpec="center" w:tblpY="137"/>
        <w:tblOverlap w:val="never"/>
        <w:tblW w:w="7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454" w:type="dxa"/>
        </w:tblCellMar>
      </w:tblPr>
      <w:tblGrid>
        <w:gridCol w:w="1061"/>
        <w:gridCol w:w="1774"/>
        <w:gridCol w:w="4959"/>
      </w:tblGrid>
      <w:tr w14:paraId="4EEF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454" w:type="dxa"/>
          </w:tblCellMar>
        </w:tblPrEx>
        <w:trPr>
          <w:trHeight w:val="418" w:hRule="atLeast"/>
          <w:jc w:val="center"/>
        </w:trPr>
        <w:tc>
          <w:tcPr>
            <w:tcW w:w="7794" w:type="dxa"/>
            <w:gridSpan w:val="3"/>
          </w:tcPr>
          <w:p w14:paraId="229C9CD2">
            <w:pPr>
              <w:ind w:right="-932" w:rightChars="-444"/>
              <w:jc w:val="center"/>
              <w:rPr>
                <w:rFonts w:hint="default" w:asciiTheme="majorEastAsia" w:hAnsiTheme="majorEastAsia" w:eastAsiaTheme="minorEastAsia"/>
                <w:b/>
                <w:sz w:val="24"/>
                <w:szCs w:val="24"/>
                <w:lang w:val="en-US" w:eastAsia="zh-CN"/>
              </w:rPr>
            </w:pPr>
            <w:r>
              <w:rPr>
                <w:rFonts w:hint="eastAsia" w:ascii="宋体" w:hAnsi="宋体"/>
                <w:b/>
                <w:color w:val="000000"/>
                <w:sz w:val="32"/>
                <w:szCs w:val="32"/>
                <w:lang w:eastAsia="zh-CN"/>
              </w:rPr>
              <w:t>设备基本</w:t>
            </w:r>
            <w:r>
              <w:rPr>
                <w:rFonts w:hint="eastAsia" w:ascii="宋体" w:hAnsi="宋体"/>
                <w:b/>
                <w:color w:val="000000"/>
                <w:sz w:val="32"/>
                <w:szCs w:val="32"/>
              </w:rPr>
              <w:t>需求</w:t>
            </w:r>
            <w:r>
              <w:rPr>
                <w:rFonts w:hint="eastAsia" w:ascii="宋体" w:hAnsi="宋体"/>
                <w:b/>
                <w:color w:val="000000"/>
                <w:sz w:val="32"/>
                <w:szCs w:val="32"/>
                <w:lang w:val="en-US" w:eastAsia="zh-CN"/>
              </w:rPr>
              <w:t>-调研</w:t>
            </w:r>
          </w:p>
        </w:tc>
      </w:tr>
      <w:tr w14:paraId="05D1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454" w:type="dxa"/>
          </w:tblCellMar>
        </w:tblPrEx>
        <w:trPr>
          <w:trHeight w:val="562" w:hRule="exact"/>
          <w:jc w:val="center"/>
        </w:trPr>
        <w:tc>
          <w:tcPr>
            <w:tcW w:w="2835" w:type="dxa"/>
            <w:gridSpan w:val="2"/>
          </w:tcPr>
          <w:p w14:paraId="4F62FED3">
            <w:pPr>
              <w:ind w:right="-340" w:rightChars="-162"/>
              <w:rPr>
                <w:rFonts w:asciiTheme="majorEastAsia" w:hAnsiTheme="majorEastAsia" w:eastAsiaTheme="majorEastAsia"/>
                <w:b/>
                <w:sz w:val="28"/>
                <w:szCs w:val="28"/>
              </w:rPr>
            </w:pPr>
            <w:r>
              <w:rPr>
                <w:rFonts w:hint="eastAsia" w:asciiTheme="majorEastAsia" w:hAnsiTheme="majorEastAsia" w:eastAsiaTheme="majorEastAsia"/>
                <w:b/>
                <w:sz w:val="28"/>
                <w:szCs w:val="28"/>
              </w:rPr>
              <w:t>项目名称</w:t>
            </w:r>
          </w:p>
        </w:tc>
        <w:tc>
          <w:tcPr>
            <w:tcW w:w="4959" w:type="dxa"/>
            <w:vAlign w:val="center"/>
          </w:tcPr>
          <w:p w14:paraId="4A40255F">
            <w:pPr>
              <w:snapToGrid w:val="0"/>
              <w:spacing w:line="360" w:lineRule="auto"/>
              <w:jc w:val="both"/>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尿动力学分析仪（含尿流率监测）</w:t>
            </w:r>
          </w:p>
        </w:tc>
      </w:tr>
      <w:tr w14:paraId="1C190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454" w:type="dxa"/>
          </w:tblCellMar>
        </w:tblPrEx>
        <w:trPr>
          <w:trHeight w:val="287" w:hRule="atLeast"/>
          <w:jc w:val="center"/>
        </w:trPr>
        <w:tc>
          <w:tcPr>
            <w:tcW w:w="1061" w:type="dxa"/>
          </w:tcPr>
          <w:p w14:paraId="28DD5B61">
            <w:pPr>
              <w:ind w:right="-340" w:rightChars="-162" w:firstLine="241" w:firstLineChars="100"/>
              <w:jc w:val="left"/>
              <w:rPr>
                <w:rFonts w:asciiTheme="majorEastAsia" w:hAnsiTheme="majorEastAsia" w:eastAsiaTheme="majorEastAsia"/>
                <w:bCs/>
                <w:sz w:val="24"/>
                <w:szCs w:val="24"/>
              </w:rPr>
            </w:pPr>
            <w:r>
              <w:rPr>
                <w:rFonts w:hint="eastAsia" w:asciiTheme="majorEastAsia" w:hAnsiTheme="majorEastAsia" w:eastAsiaTheme="majorEastAsia"/>
                <w:b/>
                <w:sz w:val="24"/>
                <w:szCs w:val="24"/>
              </w:rPr>
              <w:t>一</w:t>
            </w:r>
          </w:p>
        </w:tc>
        <w:tc>
          <w:tcPr>
            <w:tcW w:w="6733" w:type="dxa"/>
            <w:gridSpan w:val="2"/>
          </w:tcPr>
          <w:p w14:paraId="05283ACF">
            <w:pPr>
              <w:ind w:right="-340" w:rightChars="-162"/>
              <w:jc w:val="left"/>
              <w:rPr>
                <w:rFonts w:asciiTheme="majorEastAsia" w:hAnsiTheme="majorEastAsia" w:eastAsiaTheme="majorEastAsia"/>
                <w:bCs/>
                <w:sz w:val="24"/>
                <w:szCs w:val="24"/>
              </w:rPr>
            </w:pPr>
            <w:r>
              <w:rPr>
                <w:rFonts w:hint="eastAsia" w:asciiTheme="majorEastAsia" w:hAnsiTheme="majorEastAsia" w:eastAsiaTheme="majorEastAsia"/>
                <w:b/>
                <w:sz w:val="24"/>
                <w:szCs w:val="24"/>
              </w:rPr>
              <w:t>基本要求</w:t>
            </w:r>
          </w:p>
        </w:tc>
      </w:tr>
      <w:tr w14:paraId="0451F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454" w:type="dxa"/>
          </w:tblCellMar>
        </w:tblPrEx>
        <w:trPr>
          <w:trHeight w:val="287" w:hRule="atLeast"/>
          <w:jc w:val="center"/>
        </w:trPr>
        <w:tc>
          <w:tcPr>
            <w:tcW w:w="1061" w:type="dxa"/>
          </w:tcPr>
          <w:p w14:paraId="1B2A6C69">
            <w:pPr>
              <w:ind w:right="-340" w:rightChars="-162" w:firstLine="240" w:firstLineChars="100"/>
              <w:rPr>
                <w:rFonts w:asciiTheme="majorEastAsia" w:hAnsiTheme="majorEastAsia" w:eastAsiaTheme="majorEastAsia"/>
                <w:bCs/>
                <w:color w:val="auto"/>
                <w:sz w:val="24"/>
                <w:szCs w:val="24"/>
              </w:rPr>
            </w:pPr>
            <w:r>
              <w:rPr>
                <w:rFonts w:hint="eastAsia" w:asciiTheme="majorEastAsia" w:hAnsiTheme="majorEastAsia" w:eastAsiaTheme="majorEastAsia"/>
                <w:bCs/>
                <w:color w:val="auto"/>
                <w:sz w:val="24"/>
                <w:szCs w:val="24"/>
              </w:rPr>
              <w:t>1.1</w:t>
            </w:r>
          </w:p>
        </w:tc>
        <w:tc>
          <w:tcPr>
            <w:tcW w:w="6733" w:type="dxa"/>
            <w:gridSpan w:val="2"/>
          </w:tcPr>
          <w:p w14:paraId="332E59C1">
            <w:pPr>
              <w:ind w:right="-340" w:rightChars="-162"/>
              <w:rPr>
                <w:rFonts w:asciiTheme="majorEastAsia" w:hAnsiTheme="majorEastAsia" w:eastAsiaTheme="majorEastAsia"/>
                <w:bCs/>
                <w:color w:val="auto"/>
                <w:sz w:val="24"/>
                <w:szCs w:val="24"/>
              </w:rPr>
            </w:pPr>
            <w:r>
              <w:rPr>
                <w:rFonts w:hint="eastAsia" w:asciiTheme="majorEastAsia" w:hAnsiTheme="majorEastAsia" w:eastAsiaTheme="majorEastAsia"/>
                <w:bCs/>
                <w:color w:val="auto"/>
                <w:sz w:val="24"/>
                <w:szCs w:val="24"/>
              </w:rPr>
              <w:t>用途：膀胱尿道功能障碍性疾病的诊断，如上下尿路梗阻、尿失禁和神经源性膀胱。</w:t>
            </w:r>
          </w:p>
        </w:tc>
      </w:tr>
      <w:tr w14:paraId="47B9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454" w:type="dxa"/>
          </w:tblCellMar>
        </w:tblPrEx>
        <w:trPr>
          <w:trHeight w:val="289" w:hRule="atLeast"/>
          <w:jc w:val="center"/>
        </w:trPr>
        <w:tc>
          <w:tcPr>
            <w:tcW w:w="1061" w:type="dxa"/>
          </w:tcPr>
          <w:p w14:paraId="53849CC7">
            <w:pPr>
              <w:ind w:right="-340" w:rightChars="-162" w:firstLine="241" w:firstLineChars="100"/>
              <w:rPr>
                <w:rFonts w:asciiTheme="majorEastAsia" w:hAnsiTheme="majorEastAsia" w:eastAsiaTheme="majorEastAsia"/>
                <w:b/>
                <w:sz w:val="24"/>
                <w:szCs w:val="24"/>
              </w:rPr>
            </w:pPr>
            <w:r>
              <w:rPr>
                <w:rFonts w:hint="eastAsia" w:asciiTheme="majorEastAsia" w:hAnsiTheme="majorEastAsia" w:eastAsiaTheme="majorEastAsia"/>
                <w:b/>
                <w:sz w:val="24"/>
                <w:szCs w:val="24"/>
              </w:rPr>
              <w:t>二</w:t>
            </w:r>
          </w:p>
        </w:tc>
        <w:tc>
          <w:tcPr>
            <w:tcW w:w="6733" w:type="dxa"/>
            <w:gridSpan w:val="2"/>
          </w:tcPr>
          <w:p w14:paraId="3A3B8817">
            <w:pPr>
              <w:ind w:right="-340" w:rightChars="-162"/>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主要功能及参数</w:t>
            </w:r>
          </w:p>
        </w:tc>
      </w:tr>
      <w:tr w14:paraId="40980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454" w:type="dxa"/>
          </w:tblCellMar>
        </w:tblPrEx>
        <w:trPr>
          <w:cantSplit/>
          <w:trHeight w:val="2050" w:hRule="atLeast"/>
          <w:jc w:val="center"/>
        </w:trPr>
        <w:tc>
          <w:tcPr>
            <w:tcW w:w="7794" w:type="dxa"/>
            <w:gridSpan w:val="3"/>
          </w:tcPr>
          <w:p w14:paraId="39BCA17B">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1.独特尿流率分析系统，根据病人排尿后数据，自动生成该病人生理条件下的正常尿流曲线与实际排尿曲线叠加比较功能；具有病人检查的尿流率数据与正常参考值实时对比呈现功能。</w:t>
            </w:r>
          </w:p>
          <w:p w14:paraId="0BBD446A">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2.实时调节使得膀胱压和腹部压等量化；膀胱压和尿道压等量化。</w:t>
            </w:r>
          </w:p>
          <w:p w14:paraId="6F079F46">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3.膀胱压力容量测定，自动计算膀胱顺应性。</w:t>
            </w:r>
          </w:p>
          <w:p w14:paraId="1ECC94E2">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4.片段误差分析系统，如果有误差或者假象，可以自动辨别，以利于医生选定某段曲线进行分析，可祛除人为误差。</w:t>
            </w:r>
          </w:p>
          <w:p w14:paraId="54E70CCA">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5.压力—流率分析（包括梗阻图，膀胱作功图，尿道阻力因子图）。</w:t>
            </w:r>
          </w:p>
          <w:p w14:paraId="66C5D367">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6.具有自动分析功能。</w:t>
            </w:r>
          </w:p>
          <w:p w14:paraId="4C3813B8">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7.漏尿点压力分析及尿道压力描计分析。</w:t>
            </w:r>
          </w:p>
          <w:p w14:paraId="5EEDF512">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asciiTheme="majorEastAsia" w:hAnsiTheme="majorEastAsia" w:eastAsiaTheme="majorEastAsia"/>
                <w:bCs/>
                <w:sz w:val="24"/>
                <w:szCs w:val="24"/>
              </w:rPr>
            </w:pPr>
            <w:r>
              <w:rPr>
                <w:rFonts w:hint="eastAsia" w:asciiTheme="majorEastAsia" w:hAnsiTheme="majorEastAsia" w:eastAsiaTheme="majorEastAsia"/>
                <w:bCs/>
                <w:sz w:val="24"/>
                <w:szCs w:val="24"/>
              </w:rPr>
              <w:t>8.事件标记移动及注释显示功能及数据存储记录功能。</w:t>
            </w:r>
          </w:p>
        </w:tc>
      </w:tr>
      <w:tr w14:paraId="20998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454" w:type="dxa"/>
          </w:tblCellMar>
        </w:tblPrEx>
        <w:trPr>
          <w:trHeight w:val="287" w:hRule="atLeast"/>
          <w:jc w:val="center"/>
        </w:trPr>
        <w:tc>
          <w:tcPr>
            <w:tcW w:w="1061" w:type="dxa"/>
          </w:tcPr>
          <w:p w14:paraId="49B1F62A">
            <w:pPr>
              <w:ind w:right="-340" w:rightChars="-162" w:firstLine="241" w:firstLineChars="100"/>
              <w:rPr>
                <w:rFonts w:asciiTheme="majorEastAsia" w:hAnsiTheme="majorEastAsia" w:eastAsiaTheme="majorEastAsia"/>
                <w:b/>
                <w:sz w:val="24"/>
                <w:szCs w:val="24"/>
              </w:rPr>
            </w:pPr>
            <w:r>
              <w:rPr>
                <w:rFonts w:hint="eastAsia" w:asciiTheme="majorEastAsia" w:hAnsiTheme="majorEastAsia" w:eastAsiaTheme="majorEastAsia"/>
                <w:b/>
                <w:sz w:val="24"/>
                <w:szCs w:val="24"/>
              </w:rPr>
              <w:t>三</w:t>
            </w:r>
          </w:p>
        </w:tc>
        <w:tc>
          <w:tcPr>
            <w:tcW w:w="6733" w:type="dxa"/>
            <w:gridSpan w:val="2"/>
          </w:tcPr>
          <w:p w14:paraId="35671F3D">
            <w:pPr>
              <w:ind w:right="-340" w:rightChars="-162"/>
              <w:rPr>
                <w:rFonts w:asciiTheme="majorEastAsia" w:hAnsiTheme="majorEastAsia" w:eastAsiaTheme="majorEastAsia"/>
                <w:b/>
                <w:sz w:val="24"/>
                <w:szCs w:val="24"/>
              </w:rPr>
            </w:pPr>
            <w:r>
              <w:rPr>
                <w:rFonts w:hint="eastAsia" w:asciiTheme="majorEastAsia" w:hAnsiTheme="majorEastAsia" w:eastAsiaTheme="majorEastAsia"/>
                <w:b/>
                <w:sz w:val="24"/>
                <w:szCs w:val="24"/>
              </w:rPr>
              <w:t>主要配置及附件</w:t>
            </w:r>
          </w:p>
        </w:tc>
      </w:tr>
      <w:tr w14:paraId="0718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454" w:type="dxa"/>
          </w:tblCellMar>
        </w:tblPrEx>
        <w:trPr>
          <w:trHeight w:val="1451" w:hRule="atLeast"/>
          <w:jc w:val="center"/>
        </w:trPr>
        <w:tc>
          <w:tcPr>
            <w:tcW w:w="7794" w:type="dxa"/>
            <w:gridSpan w:val="3"/>
          </w:tcPr>
          <w:p w14:paraId="4D6EAB24">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1、尿动力主机</w:t>
            </w:r>
          </w:p>
          <w:p w14:paraId="5EAFD1AB">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2、肌电压力测量系统</w:t>
            </w:r>
          </w:p>
          <w:p w14:paraId="2745087E">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3、尿流率测量系统</w:t>
            </w:r>
          </w:p>
          <w:p w14:paraId="0F6726C0">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4、尿道压测定牵引器系统</w:t>
            </w:r>
          </w:p>
          <w:p w14:paraId="5C3C1C5E">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5、气体传导测压传感器：包含膀胱压传感器、腹压传感器、尿道压传感器等</w:t>
            </w:r>
          </w:p>
          <w:p w14:paraId="742CD8D1">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6、计算机工作站</w:t>
            </w:r>
          </w:p>
          <w:p w14:paraId="05251C96">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7、打印机</w:t>
            </w:r>
          </w:p>
          <w:p w14:paraId="3573DDD5">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8、工作站台车,四轮移动，前两轮带锁</w:t>
            </w:r>
            <w:bookmarkStart w:id="0" w:name="_GoBack"/>
            <w:bookmarkEnd w:id="0"/>
          </w:p>
          <w:p w14:paraId="14EC1515">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9、导管若干</w:t>
            </w:r>
          </w:p>
          <w:p w14:paraId="2545CF12">
            <w:pPr>
              <w:pStyle w:val="7"/>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pPr>
            <w:r>
              <w:rPr>
                <w:rFonts w:hint="eastAsia" w:asciiTheme="majorEastAsia" w:hAnsiTheme="majorEastAsia" w:eastAsiaTheme="majorEastAsia"/>
                <w:bCs/>
                <w:sz w:val="24"/>
                <w:szCs w:val="24"/>
              </w:rPr>
              <w:t>备注：提供耗材气体测压导管相关信息</w:t>
            </w:r>
          </w:p>
        </w:tc>
      </w:tr>
    </w:tbl>
    <w:p w14:paraId="4040C9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B768B"/>
    <w:rsid w:val="0C2B768B"/>
    <w:rsid w:val="204A4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Words>
  <Characters>40</Characters>
  <Lines>0</Lines>
  <Paragraphs>0</Paragraphs>
  <TotalTime>0</TotalTime>
  <ScaleCrop>false</ScaleCrop>
  <LinksUpToDate>false</LinksUpToDate>
  <CharactersWithSpaces>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2026-04-22T09:23:00Z</dcterms:created>
  <dc:creator>admin</dc:creator>
  <cp:lastModifiedBy>admin</cp:lastModifiedBy>
  <dcterms:modified xsi:type="dcterms:W3CDTF">2026-04-23T04:07:30Z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A8D9C8B96A91451490AE3FB2BFE9F63C_13</vt:lpwstr>
  </property>
  <property fmtid="{D5CDD505-2E9C-101B-9397-08002B2CF9AE}" pid="4" name="KSOTemplateDocerSaveRecord">
    <vt:lpwstr>eyJoZGlkIjoiNTlmZDc5ZDM2ZjE4MDA0ZTI4NGNlYTU1ZmIzMzY1ZGIiLCJ1c2VySWQiOiIxNjM2OTUxODE3In0=</vt:lpwstr>
  </property>
</Properties>
</file>