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项目名称：SDR产房改造相关设备</w:t>
      </w:r>
    </w:p>
    <w:p w14:paraId="5330B26B">
      <w:pPr>
        <w:spacing w:line="360" w:lineRule="auto"/>
        <w:jc w:val="center"/>
        <w:rPr>
          <w:rFonts w:hint="default" w:ascii="宋体" w:hAnsi="宋体" w:eastAsia="宋体"/>
          <w:b/>
          <w:color w:val="auto"/>
          <w:sz w:val="32"/>
          <w:u w:val="single"/>
          <w:lang w:val="en-US" w:eastAsia="zh-CN"/>
        </w:rPr>
      </w:pPr>
      <w:r>
        <w:rPr>
          <w:b/>
          <w:bCs/>
          <w:sz w:val="32"/>
          <w:szCs w:val="32"/>
        </w:rPr>
        <w:t>项目编号：</w:t>
      </w:r>
      <w:r>
        <w:rPr>
          <w:rFonts w:hint="eastAsia"/>
          <w:b/>
          <w:bCs/>
          <w:color w:val="auto"/>
          <w:sz w:val="32"/>
          <w:szCs w:val="32"/>
        </w:rPr>
        <w:t>CGZX</w:t>
      </w:r>
      <w:r>
        <w:rPr>
          <w:b/>
          <w:bCs/>
          <w:color w:val="auto"/>
          <w:sz w:val="32"/>
          <w:szCs w:val="32"/>
        </w:rPr>
        <w:t>-YLSB-2026</w:t>
      </w:r>
      <w:r>
        <w:rPr>
          <w:rFonts w:hint="eastAsia"/>
          <w:b/>
          <w:bCs/>
          <w:color w:val="auto"/>
          <w:sz w:val="32"/>
          <w:szCs w:val="32"/>
          <w:lang w:val="en-US" w:eastAsia="zh-CN"/>
        </w:rPr>
        <w:t>0519</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color w:val="FF0000"/>
          <w:sz w:val="32"/>
          <w:szCs w:val="32"/>
        </w:rPr>
      </w:pPr>
      <w:r>
        <w:rPr>
          <w:rFonts w:hint="eastAsia" w:ascii="宋体" w:hAnsi="宋体"/>
          <w:sz w:val="32"/>
          <w:szCs w:val="32"/>
        </w:rPr>
        <w:t>二〇二</w:t>
      </w:r>
      <w:r>
        <w:rPr>
          <w:rFonts w:hint="eastAsia" w:ascii="宋体" w:hAnsi="宋体"/>
          <w:color w:val="auto"/>
          <w:sz w:val="32"/>
          <w:szCs w:val="32"/>
        </w:rPr>
        <w:t>六</w:t>
      </w:r>
      <w:r>
        <w:rPr>
          <w:rFonts w:ascii="宋体" w:hAnsi="宋体"/>
          <w:color w:val="auto"/>
          <w:sz w:val="32"/>
          <w:szCs w:val="32"/>
        </w:rPr>
        <w:t>年</w:t>
      </w:r>
      <w:r>
        <w:rPr>
          <w:rFonts w:hint="eastAsia" w:ascii="宋体" w:hAnsi="宋体"/>
          <w:color w:val="auto"/>
          <w:sz w:val="32"/>
          <w:szCs w:val="32"/>
          <w:lang w:eastAsia="zh-CN"/>
        </w:rPr>
        <w:t>五</w:t>
      </w:r>
      <w:r>
        <w:rPr>
          <w:rFonts w:ascii="宋体" w:hAnsi="宋体"/>
          <w:color w:val="auto"/>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color w:val="auto"/>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w:t>
      </w:r>
      <w:r>
        <w:rPr>
          <w:rFonts w:hint="eastAsia"/>
          <w:b/>
          <w:color w:val="auto"/>
          <w:sz w:val="24"/>
        </w:rPr>
        <w:t>编号：CGZX-YLSB-</w:t>
      </w:r>
      <w:r>
        <w:rPr>
          <w:b/>
          <w:color w:val="auto"/>
          <w:sz w:val="24"/>
        </w:rPr>
        <w:t>20</w:t>
      </w:r>
      <w:r>
        <w:rPr>
          <w:rFonts w:hint="eastAsia"/>
          <w:b/>
          <w:color w:val="auto"/>
          <w:sz w:val="24"/>
        </w:rPr>
        <w:t>26</w:t>
      </w:r>
      <w:r>
        <w:rPr>
          <w:rFonts w:hint="eastAsia"/>
          <w:b/>
          <w:color w:val="auto"/>
          <w:sz w:val="24"/>
          <w:lang w:val="en-US" w:eastAsia="zh-CN"/>
        </w:rPr>
        <w:t>0519</w:t>
      </w:r>
      <w:r>
        <w:rPr>
          <w:rFonts w:hint="eastAsia"/>
          <w:b/>
          <w:color w:val="auto"/>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color w:val="auto"/>
          <w:sz w:val="24"/>
        </w:rPr>
        <w:t>年0</w:t>
      </w:r>
      <w:r>
        <w:rPr>
          <w:rFonts w:hint="eastAsia"/>
          <w:b/>
          <w:color w:val="auto"/>
          <w:sz w:val="24"/>
          <w:lang w:val="en-US" w:eastAsia="zh-CN"/>
        </w:rPr>
        <w:t>5</w:t>
      </w:r>
      <w:r>
        <w:rPr>
          <w:rFonts w:hint="eastAsia"/>
          <w:b/>
          <w:color w:val="auto"/>
          <w:sz w:val="24"/>
        </w:rPr>
        <w:t>月</w:t>
      </w:r>
      <w:r>
        <w:rPr>
          <w:rFonts w:hint="eastAsia"/>
          <w:b/>
          <w:color w:val="auto"/>
          <w:sz w:val="24"/>
          <w:lang w:val="en-US" w:eastAsia="zh-CN"/>
        </w:rPr>
        <w:t>27</w:t>
      </w:r>
      <w:r>
        <w:rPr>
          <w:rFonts w:hint="eastAsia"/>
          <w:b/>
          <w:color w:val="auto"/>
          <w:sz w:val="24"/>
        </w:rPr>
        <w:t>日下午</w:t>
      </w:r>
      <w:r>
        <w:rPr>
          <w:b/>
          <w:color w:val="auto"/>
          <w:sz w:val="24"/>
        </w:rPr>
        <w:t>14</w:t>
      </w:r>
      <w:r>
        <w:rPr>
          <w:rFonts w:hint="eastAsia"/>
          <w:b/>
          <w:color w:val="auto"/>
          <w:sz w:val="24"/>
        </w:rPr>
        <w:t>点</w:t>
      </w:r>
      <w:r>
        <w:rPr>
          <w:rFonts w:hint="eastAsia"/>
          <w:color w:val="auto"/>
          <w:sz w:val="24"/>
        </w:rPr>
        <w:t>，地点：浙江大学医学院附属妇产科医院（杭州市学士路1号）</w:t>
      </w:r>
      <w:r>
        <w:rPr>
          <w:rFonts w:hint="eastAsia"/>
          <w:b/>
          <w:color w:val="auto"/>
          <w:sz w:val="24"/>
        </w:rPr>
        <w:t>1号楼</w:t>
      </w:r>
      <w:r>
        <w:rPr>
          <w:b/>
          <w:color w:val="auto"/>
          <w:sz w:val="24"/>
        </w:rPr>
        <w:t>13</w:t>
      </w:r>
      <w:r>
        <w:rPr>
          <w:rFonts w:hint="eastAsia"/>
          <w:b/>
          <w:color w:val="auto"/>
          <w:sz w:val="24"/>
        </w:rPr>
        <w:t>楼1305会议室</w:t>
      </w:r>
      <w:r>
        <w:rPr>
          <w:rFonts w:hint="eastAsia"/>
          <w:color w:val="auto"/>
          <w:sz w:val="24"/>
        </w:rPr>
        <w:t>，</w:t>
      </w:r>
      <w:r>
        <w:rPr>
          <w:color w:val="auto"/>
          <w:sz w:val="24"/>
        </w:rPr>
        <w:t>报名</w:t>
      </w:r>
      <w:r>
        <w:rPr>
          <w:b/>
          <w:color w:val="auto"/>
          <w:sz w:val="24"/>
        </w:rPr>
        <w:t>截止日期为0</w:t>
      </w:r>
      <w:r>
        <w:rPr>
          <w:rFonts w:hint="eastAsia"/>
          <w:b/>
          <w:color w:val="auto"/>
          <w:sz w:val="24"/>
          <w:lang w:val="en-US" w:eastAsia="zh-CN"/>
        </w:rPr>
        <w:t>5</w:t>
      </w:r>
      <w:r>
        <w:rPr>
          <w:rFonts w:hint="eastAsia"/>
          <w:b/>
          <w:color w:val="auto"/>
          <w:sz w:val="24"/>
        </w:rPr>
        <w:t>月</w:t>
      </w:r>
      <w:r>
        <w:rPr>
          <w:rFonts w:hint="eastAsia"/>
          <w:b/>
          <w:color w:val="auto"/>
          <w:sz w:val="24"/>
          <w:lang w:val="en-US" w:eastAsia="zh-CN"/>
        </w:rPr>
        <w:t>26</w:t>
      </w:r>
      <w:r>
        <w:rPr>
          <w:rFonts w:hint="eastAsia"/>
          <w:b/>
          <w:color w:val="auto"/>
          <w:sz w:val="24"/>
        </w:rPr>
        <w:t>日1</w:t>
      </w:r>
      <w:r>
        <w:rPr>
          <w:b/>
          <w:color w:val="auto"/>
          <w:sz w:val="24"/>
        </w:rPr>
        <w:t>6</w:t>
      </w:r>
      <w:r>
        <w:rPr>
          <w:rFonts w:hint="eastAsia"/>
          <w:b/>
          <w:color w:val="auto"/>
          <w:sz w:val="24"/>
        </w:rPr>
        <w:t>:00</w:t>
      </w:r>
      <w:r>
        <w:rPr>
          <w:color w:val="auto"/>
          <w:sz w:val="24"/>
        </w:rPr>
        <w:t>（报名以邮件为准，</w:t>
      </w:r>
      <w:r>
        <w:rPr>
          <w:b/>
          <w:color w:val="auto"/>
          <w:sz w:val="24"/>
        </w:rPr>
        <w:t>邮件标题</w:t>
      </w:r>
      <w:r>
        <w:rPr>
          <w:rFonts w:hint="eastAsia"/>
          <w:b/>
          <w:color w:val="auto"/>
          <w:sz w:val="24"/>
        </w:rPr>
        <w:t>统一</w:t>
      </w:r>
      <w:r>
        <w:rPr>
          <w:b/>
          <w:color w:val="auto"/>
          <w:sz w:val="24"/>
        </w:rPr>
        <w:t>为：</w:t>
      </w:r>
      <w:r>
        <w:rPr>
          <w:rFonts w:hint="eastAsia"/>
          <w:b/>
          <w:color w:val="auto"/>
          <w:sz w:val="24"/>
        </w:rPr>
        <w:t>公告项目编号+</w:t>
      </w:r>
      <w:r>
        <w:rPr>
          <w:b/>
          <w:color w:val="auto"/>
          <w:sz w:val="24"/>
        </w:rPr>
        <w:t>所投</w:t>
      </w:r>
      <w:r>
        <w:rPr>
          <w:rFonts w:hint="eastAsia"/>
          <w:b/>
          <w:color w:val="auto"/>
          <w:sz w:val="24"/>
        </w:rPr>
        <w:t>项目</w:t>
      </w:r>
      <w:r>
        <w:rPr>
          <w:b/>
          <w:color w:val="auto"/>
          <w:sz w:val="24"/>
        </w:rPr>
        <w:t>号</w:t>
      </w:r>
      <w:r>
        <w:rPr>
          <w:rFonts w:hint="eastAsia"/>
          <w:b/>
          <w:color w:val="auto"/>
          <w:sz w:val="24"/>
        </w:rPr>
        <w:t>及</w:t>
      </w:r>
      <w:r>
        <w:rPr>
          <w:b/>
          <w:color w:val="auto"/>
          <w:sz w:val="24"/>
        </w:rPr>
        <w:t>名称，邮件内容请注明</w:t>
      </w:r>
      <w:r>
        <w:rPr>
          <w:rFonts w:hint="eastAsia"/>
          <w:b/>
          <w:color w:val="auto"/>
          <w:sz w:val="24"/>
        </w:rPr>
        <w:t>响应</w:t>
      </w:r>
      <w:r>
        <w:rPr>
          <w:b/>
          <w:color w:val="auto"/>
          <w:sz w:val="24"/>
        </w:rPr>
        <w:t>公司名称、</w:t>
      </w:r>
      <w:r>
        <w:rPr>
          <w:rFonts w:hint="eastAsia"/>
          <w:b/>
          <w:color w:val="auto"/>
          <w:sz w:val="24"/>
        </w:rPr>
        <w:t>授权</w:t>
      </w:r>
      <w:r>
        <w:rPr>
          <w:b/>
          <w:color w:val="auto"/>
          <w:sz w:val="24"/>
        </w:rPr>
        <w:t>人姓名及联系</w:t>
      </w:r>
      <w:r>
        <w:rPr>
          <w:b/>
          <w:sz w:val="24"/>
        </w:rPr>
        <w:t>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bookmarkStart w:id="6" w:name="_GoBack"/>
      <w:bookmarkEnd w:id="6"/>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color w:val="auto"/>
          <w:sz w:val="24"/>
        </w:rPr>
        <w:t>：</w:t>
      </w:r>
      <w:r>
        <w:rPr>
          <w:rFonts w:hint="eastAsia"/>
          <w:color w:val="auto"/>
          <w:sz w:val="24"/>
        </w:rPr>
        <w:t>陈老师</w:t>
      </w:r>
      <w:r>
        <w:rPr>
          <w:color w:val="auto"/>
          <w:sz w:val="24"/>
        </w:rPr>
        <w:t>0571-</w:t>
      </w:r>
      <w:r>
        <w:rPr>
          <w:rFonts w:hint="eastAsia"/>
          <w:color w:val="auto"/>
          <w:sz w:val="24"/>
        </w:rPr>
        <w:t>89</w:t>
      </w:r>
      <w:r>
        <w:rPr>
          <w:rFonts w:hint="eastAsia"/>
          <w:sz w:val="24"/>
        </w:rPr>
        <w:t>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highlight w:val="none"/>
        </w:rPr>
        <w:t>一</w:t>
      </w:r>
      <w:r>
        <w:rPr>
          <w:b/>
          <w:color w:val="auto"/>
          <w:sz w:val="32"/>
          <w:szCs w:val="32"/>
          <w:highlight w:val="none"/>
        </w:rPr>
        <w:t>、</w:t>
      </w:r>
      <w:r>
        <w:rPr>
          <w:rFonts w:hint="eastAsia"/>
          <w:b/>
          <w:color w:val="auto"/>
          <w:sz w:val="32"/>
          <w:szCs w:val="32"/>
          <w:highlight w:val="none"/>
        </w:rPr>
        <w:t>▲</w:t>
      </w:r>
      <w:r>
        <w:rPr>
          <w:b/>
          <w:sz w:val="32"/>
          <w:szCs w:val="32"/>
          <w:highlight w:val="none"/>
        </w:rPr>
        <w:t>总</w:t>
      </w:r>
      <w:r>
        <w:rPr>
          <w:b/>
          <w:sz w:val="32"/>
          <w:szCs w:val="32"/>
        </w:rPr>
        <w:t>体要求：</w:t>
      </w:r>
    </w:p>
    <w:p w14:paraId="71EBE5BE">
      <w:pPr>
        <w:numPr>
          <w:ilvl w:val="0"/>
          <w:numId w:val="1"/>
        </w:numPr>
        <w:rPr>
          <w:sz w:val="24"/>
        </w:rPr>
      </w:pPr>
      <w:r>
        <w:rPr>
          <w:b/>
          <w:sz w:val="24"/>
        </w:rPr>
        <w:t>产品</w:t>
      </w:r>
      <w:r>
        <w:rPr>
          <w:rFonts w:hint="eastAsia"/>
          <w:b/>
          <w:sz w:val="24"/>
          <w:lang w:eastAsia="zh-CN"/>
        </w:rPr>
        <w:t>原厂</w:t>
      </w:r>
      <w:r>
        <w:rPr>
          <w:b/>
          <w:sz w:val="24"/>
        </w:rPr>
        <w:t>保修</w:t>
      </w:r>
      <w:r>
        <w:rPr>
          <w:b/>
          <w:sz w:val="24"/>
          <w:highlight w:val="yellow"/>
        </w:rPr>
        <w:t>≥</w:t>
      </w:r>
      <w:r>
        <w:rPr>
          <w:rFonts w:hint="eastAsia"/>
          <w:b/>
          <w:sz w:val="24"/>
          <w:highlight w:val="yellow"/>
          <w:lang w:val="en-US" w:eastAsia="zh-CN"/>
        </w:rPr>
        <w:t>2</w:t>
      </w:r>
      <w:r>
        <w:rPr>
          <w:b/>
          <w:sz w:val="24"/>
          <w:highlight w:val="yellow"/>
        </w:rPr>
        <w:t>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b/>
          <w:bCs/>
          <w:sz w:val="24"/>
        </w:rPr>
      </w:pPr>
      <w:r>
        <w:rPr>
          <w:rFonts w:hint="eastAsia"/>
          <w:b/>
          <w:bCs/>
          <w:sz w:val="24"/>
        </w:rPr>
        <w:t>提供设备建议使用年限时长（根据说明书/铭牌截图</w:t>
      </w:r>
      <w:r>
        <w:rPr>
          <w:rFonts w:hint="eastAsia"/>
          <w:b/>
          <w:bCs/>
          <w:sz w:val="24"/>
          <w:lang w:eastAsia="zh-CN"/>
        </w:rPr>
        <w:t>证明</w:t>
      </w:r>
      <w:r>
        <w:rPr>
          <w:rFonts w:hint="eastAsia"/>
          <w:b/>
          <w:bCs/>
          <w:sz w:val="24"/>
        </w:rPr>
        <w:t>），若无说明理由。</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rPr>
        <w:t>SDR产房改造相关设备（预算</w:t>
      </w:r>
      <w:r>
        <w:rPr>
          <w:rFonts w:hint="eastAsia" w:eastAsiaTheme="minorEastAsia"/>
          <w:b/>
          <w:sz w:val="28"/>
          <w:szCs w:val="28"/>
          <w:lang w:val="en-US" w:eastAsia="zh-CN"/>
        </w:rPr>
        <w:t>9.8</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58FAAB3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用途：</w:t>
      </w:r>
      <w:r>
        <w:rPr>
          <w:rFonts w:hint="eastAsia" w:eastAsiaTheme="minorEastAsia"/>
          <w:sz w:val="24"/>
          <w:lang w:eastAsia="zh-CN"/>
        </w:rPr>
        <w:t>改造为</w:t>
      </w:r>
      <w:r>
        <w:rPr>
          <w:rFonts w:hint="eastAsia" w:eastAsiaTheme="minorEastAsia"/>
          <w:sz w:val="24"/>
          <w:lang w:val="en-US" w:eastAsia="zh-CN"/>
        </w:rPr>
        <w:t>2间</w:t>
      </w:r>
      <w:r>
        <w:rPr>
          <w:rFonts w:hint="eastAsia" w:eastAsiaTheme="minorEastAsia"/>
          <w:sz w:val="24"/>
        </w:rPr>
        <w:t>SDR产房</w:t>
      </w:r>
      <w:r>
        <w:rPr>
          <w:rFonts w:hint="eastAsia" w:eastAsiaTheme="minorEastAsia"/>
          <w:sz w:val="24"/>
          <w:lang w:eastAsia="zh-CN"/>
        </w:rPr>
        <w:t>。</w:t>
      </w:r>
      <w:r>
        <w:rPr>
          <w:rFonts w:hint="eastAsia" w:eastAsiaTheme="minorEastAsia"/>
          <w:sz w:val="24"/>
        </w:rPr>
        <w:t>系统通过模拟来自大自然的风光，色彩和声音为产房营造出一个温馨，轻松和自然的分娩氛围，以帮助孕妇自然放松，刺激孕妇释放催产素以增强子宫收缩帮助分娩，应具有减少疼痛感、增加舒适感、减轻压力、优化分娩体验的功能</w:t>
      </w:r>
      <w:r>
        <w:rPr>
          <w:rFonts w:hint="eastAsia" w:eastAsiaTheme="minorEastAsia"/>
          <w:sz w:val="24"/>
          <w:lang w:eastAsia="zh-CN"/>
        </w:rPr>
        <w:t>。</w:t>
      </w:r>
    </w:p>
    <w:p w14:paraId="5BA889D0">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控制系统可实现颜色、照度变化等系数不同配色，产生不同光效及模拟不同自然场景。色彩、饱和度、色温可调。</w:t>
      </w:r>
    </w:p>
    <w:p w14:paraId="07BEA60C">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控制系统：根据院方需求定制相应的操作系统，支持本地控制和网络控制两种管理模式，可支持PAD平板/遥控/触摸屏等控制方式。</w:t>
      </w:r>
    </w:p>
    <w:p w14:paraId="0D018B9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设备通电连网后自动完成与已配对附属设备的连接，无需人工干预。网络/供电中断恢复后，设备自动触发重连流程，自动恢复断电/断网前的控制状态及附属设备关联。</w:t>
      </w:r>
    </w:p>
    <w:p w14:paraId="1BA2C4B7">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具备扩展连接物联网控制模块：可实现对空间灯光、音响等的控制，可扩展与环境PM2.5传感器、温湿度检测传感器等对接，数值可以在控制系统显示。</w:t>
      </w:r>
      <w:r>
        <w:rPr>
          <w:rFonts w:hint="eastAsia" w:eastAsiaTheme="minorEastAsia"/>
          <w:b/>
          <w:bCs/>
          <w:sz w:val="24"/>
        </w:rPr>
        <w:t>（提供相关证明文件，并在</w:t>
      </w:r>
      <w:r>
        <w:rPr>
          <w:rFonts w:hint="eastAsia" w:eastAsiaTheme="minorEastAsia"/>
          <w:b/>
          <w:bCs/>
          <w:sz w:val="24"/>
          <w:lang w:eastAsia="zh-CN"/>
        </w:rPr>
        <w:t>响应</w:t>
      </w:r>
      <w:r>
        <w:rPr>
          <w:rFonts w:hint="eastAsia" w:eastAsiaTheme="minorEastAsia"/>
          <w:b/>
          <w:bCs/>
          <w:sz w:val="24"/>
        </w:rPr>
        <w:t>文件中注明所在页码）</w:t>
      </w:r>
    </w:p>
    <w:p w14:paraId="3A1B945A">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灯光系统：支持最大可达1080个音视频及灯光场景。实现灯光、音乐、主题、环境参数在妇产科分娩的多媒体设备进行控制、升级及监测。</w:t>
      </w:r>
    </w:p>
    <w:p w14:paraId="61461DC1">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△软件系统：应具备强度刺激和轻度刺激两种模式，并包含不少于7种主题可选。可单独控制灯光、声音、显示开启和关闭。系统可根据院方的实际要求或操作习惯进行主题模式的定制开发，并提供相关技术支持</w:t>
      </w:r>
      <w:r>
        <w:rPr>
          <w:rFonts w:hint="eastAsia" w:eastAsiaTheme="minorEastAsia"/>
          <w:b/>
          <w:bCs/>
          <w:sz w:val="24"/>
        </w:rPr>
        <w:t>（提供相关证明文件，并在</w:t>
      </w:r>
      <w:r>
        <w:rPr>
          <w:rFonts w:hint="eastAsia" w:eastAsiaTheme="minorEastAsia"/>
          <w:b/>
          <w:bCs/>
          <w:sz w:val="24"/>
          <w:lang w:eastAsia="zh-CN"/>
        </w:rPr>
        <w:t>响应</w:t>
      </w:r>
      <w:r>
        <w:rPr>
          <w:rFonts w:hint="eastAsia" w:eastAsiaTheme="minorEastAsia"/>
          <w:b/>
          <w:bCs/>
          <w:sz w:val="24"/>
        </w:rPr>
        <w:t>文件中注明所在页码）。</w:t>
      </w:r>
    </w:p>
    <w:p w14:paraId="5A88C6B2">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系统支持多个房间的多媒体内容（影像、声音、照明）能通过控制中心实现远程更新，无需人员现场操作。</w:t>
      </w:r>
    </w:p>
    <w:p w14:paraId="6F939DED">
      <w:pPr>
        <w:numPr>
          <w:ilvl w:val="0"/>
          <w:numId w:val="2"/>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数据存储空间最大支持≥ 4TB，内存≥4GB，双盘位3.5英寸，支持千兆路由的远程访问和不低于10台设备同时进行数字内容共享。</w:t>
      </w:r>
    </w:p>
    <w:p w14:paraId="05C02C34">
      <w:pPr>
        <w:numPr>
          <w:ilvl w:val="0"/>
          <w:numId w:val="2"/>
        </w:numPr>
        <w:snapToGrid w:val="0"/>
        <w:spacing w:before="156" w:beforeLines="50" w:line="276" w:lineRule="auto"/>
        <w:ind w:left="425" w:leftChars="0" w:hanging="425" w:firstLineChars="0"/>
        <w:rPr>
          <w:rFonts w:hint="eastAsia" w:eastAsiaTheme="minorEastAsia"/>
          <w:b/>
          <w:bCs/>
          <w:sz w:val="24"/>
        </w:rPr>
      </w:pPr>
      <w:r>
        <w:rPr>
          <w:rFonts w:hint="eastAsia" w:eastAsiaTheme="minorEastAsia"/>
          <w:sz w:val="24"/>
        </w:rPr>
        <w:t>△支持对接自然天空阳光模拟系统，控制调节模拟晴天、阴天、正午、傍晚等自然天空场景，可设定不同色温的光照模式及动态照明模式</w:t>
      </w:r>
      <w:r>
        <w:rPr>
          <w:rFonts w:hint="eastAsia" w:eastAsiaTheme="minorEastAsia"/>
          <w:b/>
          <w:bCs/>
          <w:sz w:val="24"/>
        </w:rPr>
        <w:t>（提供相关证明文件，并在</w:t>
      </w:r>
      <w:r>
        <w:rPr>
          <w:rFonts w:hint="eastAsia" w:eastAsiaTheme="minorEastAsia"/>
          <w:b/>
          <w:bCs/>
          <w:sz w:val="24"/>
          <w:lang w:eastAsia="zh-CN"/>
        </w:rPr>
        <w:t>响应</w:t>
      </w:r>
      <w:r>
        <w:rPr>
          <w:rFonts w:hint="eastAsia" w:eastAsiaTheme="minorEastAsia"/>
          <w:b/>
          <w:bCs/>
          <w:sz w:val="24"/>
        </w:rPr>
        <w:t>文件中注明所在页码）。</w:t>
      </w:r>
    </w:p>
    <w:p w14:paraId="75D4BF88">
      <w:pPr>
        <w:numPr>
          <w:ilvl w:val="0"/>
          <w:numId w:val="2"/>
        </w:numPr>
        <w:snapToGrid w:val="0"/>
        <w:spacing w:before="156" w:beforeLines="50" w:line="276" w:lineRule="auto"/>
        <w:ind w:left="425" w:leftChars="0" w:hanging="425" w:firstLineChars="0"/>
        <w:rPr>
          <w:rFonts w:eastAsiaTheme="minorEastAsia"/>
          <w:b/>
          <w:bCs/>
          <w:sz w:val="24"/>
        </w:rPr>
      </w:pPr>
      <w:r>
        <w:rPr>
          <w:rFonts w:hint="eastAsia" w:eastAsiaTheme="minorEastAsia"/>
          <w:b w:val="0"/>
          <w:bCs w:val="0"/>
          <w:sz w:val="24"/>
        </w:rPr>
        <w:t>△系统可以配置音乐镇痛分娩系统，结合运用音乐、呼吸、放松、催眠、自由体位、导乐陪伴、分娩球、抚触、按摩等方法进行系统服务。可以对疼痛等级进行分级，根据疼痛等级的划分以及宫口开的不同阶段提供相应的音乐语音情景，能够有效缩短产程，降低侧切率</w:t>
      </w:r>
      <w:r>
        <w:rPr>
          <w:rFonts w:hint="eastAsia" w:eastAsiaTheme="minorEastAsia"/>
          <w:b/>
          <w:bCs/>
          <w:sz w:val="24"/>
        </w:rPr>
        <w:t>（提供相关证明文件，并在</w:t>
      </w:r>
      <w:r>
        <w:rPr>
          <w:rFonts w:hint="eastAsia" w:eastAsiaTheme="minorEastAsia"/>
          <w:b/>
          <w:bCs/>
          <w:sz w:val="24"/>
          <w:lang w:eastAsia="zh-CN"/>
        </w:rPr>
        <w:t>响应</w:t>
      </w:r>
      <w:r>
        <w:rPr>
          <w:rFonts w:hint="eastAsia" w:eastAsiaTheme="minorEastAsia"/>
          <w:b/>
          <w:bCs/>
          <w:sz w:val="24"/>
        </w:rPr>
        <w:t>文件中注明所在页码）。</w:t>
      </w:r>
    </w:p>
    <w:p w14:paraId="67973665">
      <w:pPr>
        <w:numPr>
          <w:ilvl w:val="0"/>
          <w:numId w:val="2"/>
        </w:numPr>
        <w:snapToGrid w:val="0"/>
        <w:spacing w:before="156" w:beforeLines="50" w:line="276" w:lineRule="auto"/>
        <w:ind w:left="425" w:leftChars="0" w:hanging="425" w:firstLineChars="0"/>
        <w:rPr>
          <w:rFonts w:eastAsiaTheme="minorEastAsia"/>
          <w:b/>
          <w:sz w:val="24"/>
        </w:rPr>
      </w:pPr>
      <w:r>
        <w:rPr>
          <w:rFonts w:hint="eastAsia" w:eastAsiaTheme="minorEastAsia"/>
          <w:b w:val="0"/>
          <w:bCs w:val="0"/>
          <w:sz w:val="24"/>
        </w:rPr>
        <w:t>提</w:t>
      </w:r>
      <w:r>
        <w:rPr>
          <w:rFonts w:hint="eastAsia" w:eastAsiaTheme="minorEastAsia"/>
          <w:sz w:val="24"/>
        </w:rPr>
        <w:t>供相应的设计方案，并可根据医院的实际情况和要求进行调整或开发升级</w:t>
      </w:r>
      <w:r>
        <w:rPr>
          <w:rFonts w:hint="eastAsia" w:eastAsiaTheme="minorEastAsia"/>
          <w:sz w:val="24"/>
          <w:lang w:eastAsia="zh-CN"/>
        </w:rPr>
        <w:t>。</w:t>
      </w:r>
    </w:p>
    <w:p w14:paraId="4102B6E6">
      <w:pPr>
        <w:numPr>
          <w:ilvl w:val="0"/>
          <w:numId w:val="0"/>
        </w:numPr>
        <w:snapToGrid w:val="0"/>
        <w:spacing w:before="156" w:beforeLines="50" w:line="276" w:lineRule="auto"/>
        <w:ind w:leftChars="0"/>
        <w:rPr>
          <w:rFonts w:eastAsiaTheme="minorEastAsia"/>
          <w:b/>
          <w:sz w:val="24"/>
        </w:rPr>
      </w:pPr>
      <w:r>
        <w:rPr>
          <w:rFonts w:eastAsiaTheme="minorEastAsia"/>
          <w:b/>
          <w:sz w:val="24"/>
        </w:rPr>
        <w:t>二、配置</w:t>
      </w:r>
      <w:r>
        <w:rPr>
          <w:rFonts w:hint="eastAsia" w:eastAsiaTheme="minorEastAsia"/>
          <w:b/>
          <w:sz w:val="24"/>
        </w:rPr>
        <w:t>要求</w:t>
      </w:r>
    </w:p>
    <w:p w14:paraId="1EFAF0BE">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控制系统</w:t>
      </w:r>
      <w:r>
        <w:rPr>
          <w:rFonts w:hint="eastAsia" w:eastAsiaTheme="minorEastAsia"/>
          <w:sz w:val="24"/>
          <w:lang w:val="en-US" w:eastAsia="zh-CN"/>
        </w:rPr>
        <w:t>*2</w:t>
      </w:r>
    </w:p>
    <w:p w14:paraId="17B77CE1">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灯光系统</w:t>
      </w:r>
      <w:r>
        <w:rPr>
          <w:rFonts w:hint="eastAsia" w:eastAsiaTheme="minorEastAsia"/>
          <w:sz w:val="24"/>
          <w:lang w:val="en-US" w:eastAsia="zh-CN"/>
        </w:rPr>
        <w:t>*2</w:t>
      </w:r>
    </w:p>
    <w:p w14:paraId="4660930F">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软件系统</w:t>
      </w:r>
      <w:r>
        <w:rPr>
          <w:rFonts w:hint="eastAsia" w:eastAsiaTheme="minorEastAsia"/>
          <w:sz w:val="24"/>
          <w:lang w:val="en-US" w:eastAsia="zh-CN"/>
        </w:rPr>
        <w:t>*2</w:t>
      </w:r>
    </w:p>
    <w:p w14:paraId="2B7B6FF0">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数据存储系统</w:t>
      </w:r>
      <w:r>
        <w:rPr>
          <w:rFonts w:hint="eastAsia" w:eastAsiaTheme="minorEastAsia"/>
          <w:sz w:val="24"/>
          <w:lang w:val="en-US" w:eastAsia="zh-CN"/>
        </w:rPr>
        <w:t>*2</w:t>
      </w:r>
    </w:p>
    <w:p w14:paraId="50F3F7B6">
      <w:pPr>
        <w:numPr>
          <w:ilvl w:val="0"/>
          <w:numId w:val="3"/>
        </w:numPr>
        <w:snapToGrid w:val="0"/>
        <w:spacing w:before="156" w:beforeLines="50" w:line="276" w:lineRule="auto"/>
        <w:ind w:left="425" w:leftChars="0" w:hanging="425" w:firstLineChars="0"/>
        <w:rPr>
          <w:rFonts w:hint="eastAsia" w:eastAsiaTheme="minorEastAsia"/>
          <w:sz w:val="24"/>
        </w:rPr>
      </w:pPr>
      <w:r>
        <w:rPr>
          <w:rFonts w:hint="eastAsia" w:eastAsiaTheme="minorEastAsia"/>
          <w:sz w:val="24"/>
        </w:rPr>
        <w:t>设备正常工作的其他必备功能及附件（列出详细配置清单）</w:t>
      </w:r>
    </w:p>
    <w:p w14:paraId="7116A566">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highlight w:val="none"/>
              </w:rPr>
            </w:pPr>
            <w:r>
              <w:rPr>
                <w:color w:val="auto"/>
                <w:sz w:val="24"/>
                <w:highlight w:val="none"/>
              </w:rPr>
              <w:t>技术功能符合度：</w:t>
            </w:r>
            <w:r>
              <w:rPr>
                <w:sz w:val="24"/>
                <w:highlight w:val="none"/>
              </w:rPr>
              <w:t>对应于“</w:t>
            </w:r>
            <w:r>
              <w:rPr>
                <w:rFonts w:hint="eastAsia"/>
                <w:sz w:val="24"/>
                <w:highlight w:val="none"/>
              </w:rPr>
              <w:t>采购内容技术</w:t>
            </w:r>
            <w:r>
              <w:rPr>
                <w:sz w:val="24"/>
                <w:highlight w:val="none"/>
              </w:rPr>
              <w:t>要求”响应情况，</w:t>
            </w:r>
            <w:r>
              <w:rPr>
                <w:rFonts w:hint="eastAsia" w:ascii="宋体" w:hAnsi="宋体" w:cs="Cambria Math"/>
                <w:strike w:val="0"/>
                <w:dstrike w:val="0"/>
                <w:color w:val="auto"/>
                <w:sz w:val="24"/>
                <w:highlight w:val="none"/>
              </w:rPr>
              <w:t>△</w:t>
            </w:r>
            <w:r>
              <w:rPr>
                <w:strike w:val="0"/>
                <w:dstrike w:val="0"/>
                <w:color w:val="auto"/>
                <w:sz w:val="24"/>
                <w:highlight w:val="none"/>
              </w:rPr>
              <w:t>每一条不满足采购文件的扣5分，其他每一条不满足采购文件的扣2分，</w:t>
            </w:r>
            <w:r>
              <w:rPr>
                <w:sz w:val="24"/>
                <w:highlight w:val="none"/>
              </w:rPr>
              <w:t>扣完为止。</w:t>
            </w:r>
            <w:r>
              <w:rPr>
                <w:rFonts w:hint="eastAsia" w:ascii="宋体" w:hAnsi="宋体" w:cs="宋体"/>
                <w:sz w:val="24"/>
                <w:highlight w:val="none"/>
              </w:rPr>
              <w:t>▲</w:t>
            </w:r>
            <w:r>
              <w:rPr>
                <w:rFonts w:hint="eastAsia"/>
                <w:sz w:val="24"/>
                <w:highlight w:val="none"/>
              </w:rPr>
              <w:t>为实质性条款，若不满足响应无效。</w:t>
            </w:r>
          </w:p>
        </w:tc>
        <w:tc>
          <w:tcPr>
            <w:tcW w:w="581" w:type="pct"/>
            <w:vAlign w:val="center"/>
          </w:tcPr>
          <w:p w14:paraId="6F2858DC">
            <w:pPr>
              <w:jc w:val="center"/>
              <w:rPr>
                <w:sz w:val="24"/>
                <w:highlight w:val="none"/>
              </w:rPr>
            </w:pPr>
            <w:r>
              <w:rPr>
                <w:sz w:val="24"/>
                <w:highlight w:val="none"/>
              </w:rPr>
              <w:t>客观分</w:t>
            </w:r>
          </w:p>
        </w:tc>
        <w:tc>
          <w:tcPr>
            <w:tcW w:w="529" w:type="pct"/>
            <w:vAlign w:val="center"/>
          </w:tcPr>
          <w:p w14:paraId="79E5F4B1">
            <w:pPr>
              <w:jc w:val="center"/>
              <w:rPr>
                <w:sz w:val="24"/>
              </w:rPr>
            </w:pPr>
            <w:r>
              <w:rPr>
                <w:rFonts w:hint="eastAsia"/>
                <w:sz w:val="24"/>
                <w:highlight w:val="none"/>
              </w:rPr>
              <w:t>35</w:t>
            </w:r>
            <w:r>
              <w:rPr>
                <w:sz w:val="24"/>
                <w:highlight w:val="none"/>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w:t>
            </w:r>
            <w:r>
              <w:rPr>
                <w:sz w:val="24"/>
                <w:highlight w:val="none"/>
              </w:rPr>
              <w:t>评委对</w:t>
            </w:r>
            <w:r>
              <w:rPr>
                <w:rFonts w:hint="eastAsia"/>
                <w:color w:val="auto"/>
                <w:sz w:val="24"/>
                <w:highlight w:val="none"/>
              </w:rPr>
              <w:t>响应</w:t>
            </w:r>
            <w:r>
              <w:rPr>
                <w:rFonts w:hint="eastAsia"/>
                <w:color w:val="auto"/>
                <w:sz w:val="24"/>
                <w:highlight w:val="none"/>
                <w:lang w:eastAsia="zh-CN"/>
              </w:rPr>
              <w:t>内容</w:t>
            </w:r>
            <w:r>
              <w:rPr>
                <w:color w:val="auto"/>
                <w:sz w:val="24"/>
                <w:highlight w:val="none"/>
              </w:rPr>
              <w:t>中</w:t>
            </w:r>
            <w:r>
              <w:rPr>
                <w:sz w:val="24"/>
                <w:highlight w:val="none"/>
              </w:rPr>
              <w:t>是否</w:t>
            </w:r>
            <w:r>
              <w:rPr>
                <w:sz w:val="24"/>
              </w:rPr>
              <w:t>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w:t>
            </w:r>
            <w:r>
              <w:rPr>
                <w:rFonts w:hint="eastAsia"/>
                <w:b/>
                <w:sz w:val="32"/>
                <w:szCs w:val="32"/>
              </w:rPr>
              <w:t>▲</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w:t>
            </w:r>
            <w:r>
              <w:rPr>
                <w:rFonts w:hint="eastAsia"/>
                <w:b/>
                <w:sz w:val="24"/>
                <w:lang w:eastAsia="zh-CN"/>
              </w:rPr>
              <w:t>原厂</w:t>
            </w:r>
            <w:r>
              <w:rPr>
                <w:b/>
                <w:sz w:val="24"/>
              </w:rPr>
              <w:t>保修≥</w:t>
            </w:r>
            <w:r>
              <w:rPr>
                <w:rFonts w:hint="eastAsia"/>
                <w:b/>
                <w:sz w:val="24"/>
                <w:highlight w:val="yellow"/>
                <w:lang w:val="en-US" w:eastAsia="zh-CN"/>
              </w:rPr>
              <w:t>2</w:t>
            </w:r>
            <w:r>
              <w:rPr>
                <w:b/>
                <w:sz w:val="24"/>
                <w:highlight w:val="yellow"/>
              </w:rPr>
              <w:t>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w:t>
            </w:r>
            <w:r>
              <w:rPr>
                <w:rFonts w:hint="eastAsia" w:ascii="宋体" w:hAnsi="宋体"/>
                <w:sz w:val="24"/>
                <w:highlight w:val="none"/>
              </w:rPr>
              <w:t>诺</w:t>
            </w:r>
            <w:r>
              <w:rPr>
                <w:rFonts w:hint="eastAsia" w:ascii="宋体" w:hAnsi="宋体"/>
                <w:color w:val="auto"/>
                <w:sz w:val="24"/>
                <w:highlight w:val="none"/>
                <w:lang w:eastAsia="zh-CN"/>
              </w:rPr>
              <w:t>设备验收时</w:t>
            </w:r>
            <w:r>
              <w:rPr>
                <w:sz w:val="24"/>
                <w:highlight w:val="none"/>
              </w:rPr>
              <w:t>提供</w:t>
            </w:r>
            <w:r>
              <w:rPr>
                <w:sz w:val="24"/>
              </w:rPr>
              <w:t>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w:t>
            </w:r>
            <w:r>
              <w:rPr>
                <w:rFonts w:hint="eastAsia"/>
                <w:sz w:val="24"/>
                <w:lang w:val="en-US" w:eastAsia="zh-CN"/>
              </w:rPr>
              <w:t>8</w:t>
            </w:r>
            <w:r>
              <w:rPr>
                <w:rFonts w:hint="eastAsia"/>
                <w:sz w:val="24"/>
              </w:rPr>
              <w:t>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、提供设备建议使用年限时长（根据说明书/铭牌截图</w:t>
            </w:r>
            <w:r>
              <w:rPr>
                <w:rFonts w:hint="eastAsia"/>
                <w:sz w:val="24"/>
                <w:lang w:eastAsia="zh-CN"/>
              </w:rPr>
              <w:t>证明</w:t>
            </w:r>
            <w:r>
              <w:rPr>
                <w:rFonts w:hint="eastAsia"/>
                <w:sz w:val="24"/>
              </w:rPr>
              <w:t>），若无说明理由。</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lang w:eastAsia="zh-CN"/>
        </w:rPr>
        <w:t>次日起</w:t>
      </w:r>
      <w:r>
        <w:rPr>
          <w:rFonts w:hint="eastAsia" w:ascii="新宋体" w:hAnsi="新宋体" w:eastAsia="新宋体"/>
          <w:szCs w:val="21"/>
          <w:u w:val="single"/>
        </w:rPr>
        <w:t xml:space="preserve">  </w:t>
      </w:r>
      <w:r>
        <w:rPr>
          <w:rFonts w:hint="eastAsia" w:ascii="新宋体" w:hAnsi="新宋体" w:eastAsia="新宋体"/>
          <w:szCs w:val="21"/>
          <w:highlight w:val="none"/>
          <w:u w:val="single"/>
        </w:rPr>
        <w:t xml:space="preserve">  </w:t>
      </w:r>
      <w:r>
        <w:rPr>
          <w:rFonts w:hint="eastAsia" w:ascii="新宋体" w:hAnsi="新宋体" w:eastAsia="新宋体"/>
          <w:szCs w:val="21"/>
          <w:highlight w:val="none"/>
          <w:u w:val="single"/>
          <w:lang w:val="en-US" w:eastAsia="zh-CN"/>
        </w:rPr>
        <w:t xml:space="preserve"> </w:t>
      </w:r>
      <w:r>
        <w:rPr>
          <w:rFonts w:hint="eastAsia" w:ascii="新宋体" w:hAnsi="新宋体" w:eastAsia="新宋体"/>
          <w:szCs w:val="21"/>
          <w:highlight w:val="none"/>
        </w:rPr>
        <w:t>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4"/>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4"/>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none"/>
        </w:rPr>
        <w:t>式</w:t>
      </w:r>
      <w:r>
        <w:rPr>
          <w:rFonts w:hint="eastAsia" w:ascii="新宋体" w:hAnsi="新宋体" w:eastAsia="新宋体"/>
          <w:szCs w:val="21"/>
          <w:u w:val="single"/>
        </w:rPr>
        <w:t xml:space="preserve">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7936B191">
      <w:pPr>
        <w:numPr>
          <w:ilvl w:val="0"/>
          <w:numId w:val="4"/>
        </w:numPr>
        <w:spacing w:line="340" w:lineRule="exact"/>
        <w:ind w:right="-512" w:rightChars="-244"/>
        <w:rPr>
          <w:rFonts w:ascii="新宋体" w:hAnsi="新宋体" w:eastAsia="新宋体"/>
          <w:szCs w:val="21"/>
          <w:highlight w:val="none"/>
        </w:rPr>
      </w:pPr>
      <w:r>
        <w:rPr>
          <w:rFonts w:ascii="新宋体" w:hAnsi="新宋体" w:eastAsia="新宋体"/>
          <w:szCs w:val="21"/>
          <w:highlight w:val="none"/>
        </w:rPr>
        <w:t>本合同经甲方、乙方</w:t>
      </w:r>
      <w:r>
        <w:rPr>
          <w:rFonts w:hint="eastAsia" w:ascii="新宋体" w:hAnsi="新宋体" w:eastAsia="新宋体"/>
          <w:szCs w:val="21"/>
          <w:highlight w:val="none"/>
          <w:lang w:eastAsia="zh-CN"/>
        </w:rPr>
        <w:t>双方</w:t>
      </w:r>
      <w:r>
        <w:rPr>
          <w:rFonts w:ascii="新宋体" w:hAnsi="新宋体" w:eastAsia="新宋体"/>
          <w:szCs w:val="21"/>
          <w:highlight w:val="none"/>
        </w:rPr>
        <w:t>签字盖章后生效。</w:t>
      </w:r>
    </w:p>
    <w:p w14:paraId="31870796">
      <w:pPr>
        <w:numPr>
          <w:ilvl w:val="0"/>
          <w:numId w:val="4"/>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w:t>
            </w:r>
            <w:r>
              <w:rPr>
                <w:rFonts w:hint="eastAsia" w:ascii="新宋体" w:hAnsi="新宋体" w:eastAsia="新宋体"/>
                <w:szCs w:val="21"/>
                <w:lang w:eastAsia="zh-CN"/>
              </w:rPr>
              <w:t>或</w:t>
            </w:r>
            <w:r>
              <w:rPr>
                <w:rFonts w:hint="eastAsia" w:ascii="新宋体" w:hAnsi="新宋体" w:eastAsia="新宋体"/>
                <w:szCs w:val="21"/>
              </w:rPr>
              <w:t>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5722F54B">
      <w:pPr>
        <w:spacing w:line="340" w:lineRule="exact"/>
        <w:ind w:right="-512" w:rightChars="-244"/>
        <w:rPr>
          <w:rFonts w:ascii="新宋体" w:hAnsi="新宋体" w:eastAsia="新宋体"/>
          <w:szCs w:val="21"/>
        </w:rPr>
      </w:pPr>
    </w:p>
    <w:p w14:paraId="3F84561A">
      <w:pPr>
        <w:spacing w:line="340" w:lineRule="exact"/>
        <w:ind w:right="-512" w:rightChars="-244"/>
        <w:rPr>
          <w:rFonts w:ascii="新宋体" w:hAnsi="新宋体" w:eastAsia="新宋体"/>
          <w:szCs w:val="21"/>
        </w:rPr>
      </w:pPr>
    </w:p>
    <w:p w14:paraId="4D8F2911">
      <w:pPr>
        <w:spacing w:line="340" w:lineRule="exact"/>
        <w:ind w:right="-512" w:rightChars="-244"/>
        <w:rPr>
          <w:rFonts w:ascii="新宋体" w:hAnsi="新宋体" w:eastAsia="新宋体"/>
          <w:szCs w:val="21"/>
        </w:rPr>
      </w:pPr>
    </w:p>
    <w:p w14:paraId="009DD969">
      <w:pPr>
        <w:spacing w:line="340" w:lineRule="exact"/>
        <w:ind w:right="-512" w:rightChars="-244"/>
        <w:rPr>
          <w:rFonts w:ascii="新宋体" w:hAnsi="新宋体" w:eastAsia="新宋体"/>
          <w:szCs w:val="21"/>
        </w:rPr>
      </w:pPr>
    </w:p>
    <w:p w14:paraId="6E8A1EC1">
      <w:pPr>
        <w:spacing w:line="340" w:lineRule="exact"/>
        <w:ind w:right="-512" w:rightChars="-244"/>
        <w:rPr>
          <w:rFonts w:ascii="新宋体" w:hAnsi="新宋体" w:eastAsia="新宋体"/>
          <w:szCs w:val="21"/>
        </w:rPr>
      </w:pPr>
    </w:p>
    <w:p w14:paraId="088342DE">
      <w:pPr>
        <w:spacing w:line="340" w:lineRule="exact"/>
        <w:ind w:right="-512" w:rightChars="-244"/>
        <w:rPr>
          <w:rFonts w:ascii="新宋体" w:hAnsi="新宋体" w:eastAsia="新宋体"/>
          <w:szCs w:val="21"/>
        </w:rPr>
      </w:pPr>
    </w:p>
    <w:p w14:paraId="334677B1">
      <w:pPr>
        <w:spacing w:line="340" w:lineRule="exact"/>
        <w:ind w:right="-512" w:rightChars="-244"/>
        <w:rPr>
          <w:rFonts w:ascii="新宋体" w:hAnsi="新宋体" w:eastAsia="新宋体"/>
          <w:szCs w:val="21"/>
        </w:rPr>
      </w:pPr>
    </w:p>
    <w:p w14:paraId="37BEFE40">
      <w:pPr>
        <w:spacing w:line="340" w:lineRule="exact"/>
        <w:ind w:right="-512" w:rightChars="-244"/>
        <w:rPr>
          <w:rFonts w:ascii="新宋体" w:hAnsi="新宋体" w:eastAsia="新宋体"/>
          <w:szCs w:val="21"/>
        </w:rPr>
      </w:pPr>
    </w:p>
    <w:p w14:paraId="6E484170">
      <w:pPr>
        <w:spacing w:line="340" w:lineRule="exact"/>
        <w:ind w:right="-512" w:rightChars="-244"/>
        <w:rPr>
          <w:rFonts w:ascii="新宋体" w:hAnsi="新宋体" w:eastAsia="新宋体"/>
          <w:szCs w:val="21"/>
        </w:rPr>
      </w:pPr>
    </w:p>
    <w:p w14:paraId="2D406D80">
      <w:pPr>
        <w:spacing w:line="340" w:lineRule="exact"/>
        <w:ind w:right="-512" w:rightChars="-244"/>
        <w:rPr>
          <w:rFonts w:ascii="新宋体" w:hAnsi="新宋体" w:eastAsia="新宋体"/>
          <w:szCs w:val="21"/>
        </w:rPr>
      </w:pPr>
    </w:p>
    <w:p w14:paraId="6722530D">
      <w:pPr>
        <w:spacing w:line="340" w:lineRule="exact"/>
        <w:ind w:right="-512" w:rightChars="-244"/>
        <w:rPr>
          <w:rFonts w:ascii="新宋体" w:hAnsi="新宋体" w:eastAsia="新宋体"/>
          <w:szCs w:val="21"/>
        </w:rPr>
      </w:pPr>
    </w:p>
    <w:p w14:paraId="0D549E70">
      <w:pPr>
        <w:spacing w:line="340" w:lineRule="exact"/>
        <w:ind w:right="-512" w:rightChars="-244"/>
        <w:rPr>
          <w:rFonts w:ascii="新宋体" w:hAnsi="新宋体" w:eastAsia="新宋体"/>
          <w:szCs w:val="21"/>
        </w:rPr>
      </w:pPr>
    </w:p>
    <w:p w14:paraId="02558771">
      <w:pPr>
        <w:spacing w:line="340" w:lineRule="exact"/>
        <w:ind w:right="-512" w:rightChars="-244"/>
        <w:rPr>
          <w:rFonts w:ascii="新宋体" w:hAnsi="新宋体" w:eastAsia="新宋体"/>
          <w:szCs w:val="21"/>
        </w:rPr>
      </w:pPr>
    </w:p>
    <w:p w14:paraId="519B7013">
      <w:pPr>
        <w:spacing w:line="340" w:lineRule="exact"/>
        <w:ind w:right="-512" w:rightChars="-244"/>
        <w:rPr>
          <w:rFonts w:ascii="新宋体" w:hAnsi="新宋体" w:eastAsia="新宋体"/>
          <w:szCs w:val="21"/>
        </w:rPr>
      </w:pPr>
    </w:p>
    <w:p w14:paraId="472B6224">
      <w:pPr>
        <w:spacing w:line="340" w:lineRule="exact"/>
        <w:ind w:right="-512" w:rightChars="-244"/>
        <w:rPr>
          <w:rFonts w:ascii="新宋体" w:hAnsi="新宋体" w:eastAsia="新宋体"/>
          <w:szCs w:val="21"/>
        </w:rPr>
      </w:pPr>
    </w:p>
    <w:p w14:paraId="4D20C266">
      <w:pPr>
        <w:spacing w:line="340" w:lineRule="exact"/>
        <w:ind w:right="-512" w:rightChars="-244"/>
        <w:rPr>
          <w:rFonts w:ascii="新宋体" w:hAnsi="新宋体" w:eastAsia="新宋体"/>
          <w:szCs w:val="21"/>
        </w:rPr>
      </w:pPr>
    </w:p>
    <w:p w14:paraId="18D55DFF">
      <w:pPr>
        <w:spacing w:line="340" w:lineRule="exact"/>
        <w:ind w:right="-512" w:rightChars="-244"/>
        <w:rPr>
          <w:rFonts w:ascii="新宋体" w:hAnsi="新宋体" w:eastAsia="新宋体"/>
          <w:szCs w:val="21"/>
        </w:rPr>
      </w:pPr>
    </w:p>
    <w:p w14:paraId="46F0E161">
      <w:pPr>
        <w:spacing w:line="340" w:lineRule="exact"/>
        <w:ind w:right="-512" w:rightChars="-244"/>
        <w:rPr>
          <w:rFonts w:ascii="新宋体" w:hAnsi="新宋体" w:eastAsia="新宋体"/>
          <w:szCs w:val="21"/>
        </w:rPr>
      </w:pPr>
    </w:p>
    <w:p w14:paraId="18ADE7A1">
      <w:pPr>
        <w:spacing w:line="340" w:lineRule="exact"/>
        <w:ind w:right="-512" w:rightChars="-244"/>
        <w:rPr>
          <w:rFonts w:ascii="新宋体" w:hAnsi="新宋体" w:eastAsia="新宋体"/>
          <w:szCs w:val="21"/>
        </w:rPr>
      </w:pPr>
    </w:p>
    <w:p w14:paraId="2810FF9C">
      <w:pPr>
        <w:spacing w:line="340" w:lineRule="exact"/>
        <w:ind w:right="-512" w:rightChars="-244"/>
        <w:rPr>
          <w:rFonts w:ascii="新宋体" w:hAnsi="新宋体" w:eastAsia="新宋体"/>
          <w:szCs w:val="21"/>
        </w:rPr>
      </w:pPr>
    </w:p>
    <w:p w14:paraId="09807ABC">
      <w:pPr>
        <w:spacing w:line="340" w:lineRule="exact"/>
        <w:ind w:right="-512" w:rightChars="-244"/>
        <w:rPr>
          <w:rFonts w:ascii="新宋体" w:hAnsi="新宋体" w:eastAsia="新宋体"/>
          <w:szCs w:val="21"/>
        </w:rPr>
      </w:pPr>
    </w:p>
    <w:p w14:paraId="0E461B17">
      <w:pPr>
        <w:spacing w:line="340" w:lineRule="exact"/>
        <w:ind w:right="-512" w:rightChars="-244"/>
        <w:rPr>
          <w:rFonts w:ascii="新宋体" w:hAnsi="新宋体" w:eastAsia="新宋体"/>
          <w:szCs w:val="21"/>
        </w:rPr>
      </w:pPr>
    </w:p>
    <w:p w14:paraId="5A67993E">
      <w:pPr>
        <w:spacing w:line="340" w:lineRule="exact"/>
        <w:ind w:right="-512" w:rightChars="-244"/>
        <w:rPr>
          <w:rFonts w:ascii="新宋体" w:hAnsi="新宋体" w:eastAsia="新宋体"/>
          <w:szCs w:val="21"/>
        </w:rPr>
      </w:pPr>
    </w:p>
    <w:p w14:paraId="553D0EF9">
      <w:pPr>
        <w:spacing w:line="340" w:lineRule="exact"/>
        <w:ind w:right="-512" w:rightChars="-244"/>
        <w:rPr>
          <w:rFonts w:ascii="新宋体" w:hAnsi="新宋体" w:eastAsia="新宋体"/>
          <w:szCs w:val="21"/>
        </w:rPr>
      </w:pPr>
    </w:p>
    <w:p w14:paraId="7C78D5F2">
      <w:pPr>
        <w:spacing w:line="340" w:lineRule="exact"/>
        <w:ind w:right="-512" w:rightChars="-244"/>
        <w:rPr>
          <w:rFonts w:ascii="新宋体" w:hAnsi="新宋体" w:eastAsia="新宋体"/>
          <w:szCs w:val="21"/>
        </w:rPr>
      </w:pPr>
    </w:p>
    <w:p w14:paraId="48BC9AEE">
      <w:pPr>
        <w:spacing w:line="340" w:lineRule="exact"/>
        <w:ind w:right="-512" w:rightChars="-244"/>
        <w:rPr>
          <w:rFonts w:ascii="新宋体" w:hAnsi="新宋体" w:eastAsia="新宋体"/>
          <w:szCs w:val="21"/>
        </w:rPr>
      </w:pPr>
    </w:p>
    <w:p w14:paraId="5A5F032D">
      <w:pPr>
        <w:spacing w:line="340" w:lineRule="exact"/>
        <w:ind w:right="-512" w:rightChars="-244"/>
        <w:rPr>
          <w:rFonts w:ascii="新宋体" w:hAnsi="新宋体" w:eastAsia="新宋体"/>
          <w:szCs w:val="21"/>
        </w:rPr>
      </w:pPr>
    </w:p>
    <w:p w14:paraId="190ACEF4">
      <w:pPr>
        <w:spacing w:line="340" w:lineRule="exact"/>
        <w:ind w:right="-512" w:rightChars="-244"/>
        <w:rPr>
          <w:rFonts w:ascii="新宋体" w:hAnsi="新宋体" w:eastAsia="新宋体"/>
          <w:szCs w:val="21"/>
        </w:rPr>
      </w:pPr>
    </w:p>
    <w:p w14:paraId="15297C3B">
      <w:pPr>
        <w:widowControl/>
        <w:adjustRightInd w:val="0"/>
        <w:spacing w:line="360" w:lineRule="auto"/>
        <w:ind w:left="210" w:leftChars="100" w:right="210" w:rightChars="100"/>
        <w:jc w:val="center"/>
        <w:rPr>
          <w:rFonts w:hint="eastAsia" w:ascii="宋体" w:hAnsi="宋体" w:cs="宋体"/>
          <w:bCs/>
          <w:kern w:val="0"/>
          <w:sz w:val="24"/>
        </w:rPr>
      </w:pPr>
      <w:r>
        <w:rPr>
          <w:rFonts w:hint="eastAsia" w:ascii="宋体" w:hAnsi="宋体" w:cs="宋体"/>
          <w:bCs/>
          <w:kern w:val="0"/>
          <w:sz w:val="24"/>
        </w:rPr>
        <w:t>浙江大学医学院附属妇产科医院</w:t>
      </w:r>
    </w:p>
    <w:p w14:paraId="684C5214">
      <w:pPr>
        <w:widowControl/>
        <w:adjustRightInd w:val="0"/>
        <w:spacing w:line="360" w:lineRule="auto"/>
        <w:ind w:left="210" w:leftChars="100" w:right="210" w:rightChars="100"/>
        <w:jc w:val="center"/>
        <w:rPr>
          <w:rFonts w:ascii="宋体" w:hAnsi="宋体" w:cs="宋体"/>
          <w:kern w:val="0"/>
          <w:sz w:val="36"/>
          <w:szCs w:val="36"/>
        </w:rPr>
      </w:pPr>
      <w:r>
        <w:rPr>
          <w:rFonts w:hint="eastAsia" w:ascii="宋体" w:hAnsi="宋体" w:cs="宋体"/>
          <w:b/>
          <w:bCs/>
          <w:kern w:val="0"/>
          <w:sz w:val="36"/>
          <w:szCs w:val="36"/>
        </w:rPr>
        <w:t>物资服务采购廉洁协议</w:t>
      </w:r>
    </w:p>
    <w:p w14:paraId="4E42629E">
      <w:pPr>
        <w:spacing w:line="480" w:lineRule="auto"/>
        <w:rPr>
          <w:rFonts w:hint="eastAsia" w:ascii="宋体" w:hAnsi="宋体" w:cs="宋体"/>
          <w:color w:val="FF0000"/>
          <w:kern w:val="0"/>
          <w:sz w:val="24"/>
        </w:rPr>
      </w:pPr>
      <w:r>
        <w:rPr>
          <w:rFonts w:hint="eastAsia" w:ascii="宋体" w:hAnsi="宋体" w:cs="宋体"/>
          <w:kern w:val="0"/>
          <w:sz w:val="24"/>
        </w:rPr>
        <w:br w:type="textWrapping"/>
      </w:r>
      <w:r>
        <w:rPr>
          <w:rFonts w:hint="eastAsia" w:ascii="宋体" w:hAnsi="宋体" w:cs="宋体"/>
          <w:kern w:val="0"/>
          <w:sz w:val="24"/>
        </w:rPr>
        <w:t>甲方：浙江大学医学院附属妇产科医院                （采购方）</w:t>
      </w:r>
      <w:r>
        <w:rPr>
          <w:rFonts w:hint="eastAsia" w:ascii="宋体" w:hAnsi="宋体" w:cs="宋体"/>
          <w:kern w:val="0"/>
          <w:sz w:val="24"/>
        </w:rPr>
        <w:br w:type="textWrapping"/>
      </w:r>
      <w:r>
        <w:rPr>
          <w:rFonts w:hint="eastAsia" w:ascii="宋体" w:hAnsi="宋体" w:cs="宋体"/>
          <w:color w:val="FF0000"/>
          <w:kern w:val="0"/>
          <w:sz w:val="24"/>
        </w:rPr>
        <w:t xml:space="preserve">乙方： </w:t>
      </w:r>
      <w:r>
        <w:rPr>
          <w:rFonts w:ascii="宋体" w:hAnsi="宋体" w:cs="宋体"/>
          <w:color w:val="FF0000"/>
          <w:kern w:val="0"/>
          <w:sz w:val="24"/>
        </w:rPr>
        <w:t xml:space="preserve">               </w:t>
      </w:r>
      <w:r>
        <w:rPr>
          <w:rFonts w:hint="eastAsia" w:ascii="宋体" w:hAnsi="宋体" w:cs="宋体"/>
          <w:color w:val="FF0000"/>
          <w:kern w:val="0"/>
          <w:sz w:val="24"/>
        </w:rPr>
        <w:t>          （供货、服务方）</w:t>
      </w:r>
    </w:p>
    <w:p w14:paraId="486BDC30">
      <w:pPr>
        <w:spacing w:line="480" w:lineRule="auto"/>
        <w:rPr>
          <w:rFonts w:hint="eastAsia" w:ascii="宋体" w:hAnsi="宋体" w:cs="宋体"/>
          <w:kern w:val="0"/>
          <w:sz w:val="24"/>
        </w:rPr>
      </w:pPr>
      <w:r>
        <w:rPr>
          <w:rFonts w:hint="eastAsia" w:ascii="宋体" w:hAnsi="宋体" w:cs="宋体"/>
          <w:color w:val="FF0000"/>
          <w:kern w:val="0"/>
          <w:sz w:val="24"/>
        </w:rPr>
        <w:t xml:space="preserve">采购物资服务名称： </w:t>
      </w:r>
      <w:r>
        <w:rPr>
          <w:rFonts w:ascii="宋体" w:hAnsi="宋体" w:cs="宋体"/>
          <w:kern w:val="0"/>
          <w:sz w:val="24"/>
        </w:rPr>
        <w:t xml:space="preserve"> </w:t>
      </w:r>
    </w:p>
    <w:p w14:paraId="38769997">
      <w:pPr>
        <w:spacing w:line="480" w:lineRule="auto"/>
        <w:rPr>
          <w:rFonts w:hint="eastAsia" w:ascii="宋体" w:hAnsi="宋体" w:cs="宋体"/>
          <w:kern w:val="0"/>
          <w:sz w:val="24"/>
        </w:rPr>
      </w:pPr>
    </w:p>
    <w:p w14:paraId="7BB9A81E">
      <w:pPr>
        <w:spacing w:line="580" w:lineRule="exact"/>
        <w:ind w:firstLine="480" w:firstLineChars="200"/>
        <w:rPr>
          <w:rFonts w:hint="eastAsia" w:ascii="宋体" w:hAnsi="宋体" w:cs="宋体"/>
          <w:kern w:val="0"/>
          <w:sz w:val="24"/>
        </w:rPr>
      </w:pPr>
      <w:r>
        <w:rPr>
          <w:rFonts w:hint="eastAsia" w:ascii="宋体" w:hAnsi="宋体" w:cs="宋体"/>
          <w:kern w:val="0"/>
          <w:sz w:val="24"/>
        </w:rPr>
        <w:t>为进一步加强医疗卫生行风建设，规范医院购销行为，有效防范商业贿赂行为，营造公平交易、诚实守信的购销环境，经甲、乙双方协商，同意签订本协议，并共同遵守以下约定：</w:t>
      </w:r>
    </w:p>
    <w:p w14:paraId="3211CB34">
      <w:pPr>
        <w:spacing w:line="480" w:lineRule="auto"/>
        <w:ind w:firstLine="480" w:firstLineChars="200"/>
        <w:rPr>
          <w:rFonts w:hint="eastAsia"/>
          <w:color w:val="000000"/>
          <w:sz w:val="24"/>
        </w:rPr>
      </w:pPr>
      <w:r>
        <w:rPr>
          <w:rFonts w:hint="eastAsia" w:ascii="宋体" w:hAnsi="宋体" w:cs="宋体"/>
          <w:kern w:val="0"/>
          <w:sz w:val="24"/>
        </w:rPr>
        <w:t>一、</w:t>
      </w:r>
      <w:r>
        <w:rPr>
          <w:rFonts w:hint="eastAsia"/>
          <w:color w:val="000000"/>
          <w:sz w:val="24"/>
        </w:rPr>
        <w:t>甲、乙双方</w:t>
      </w:r>
      <w:r>
        <w:rPr>
          <w:rFonts w:hint="eastAsia" w:ascii="宋体" w:hAnsi="宋体" w:cs="宋体"/>
          <w:kern w:val="0"/>
          <w:sz w:val="24"/>
        </w:rPr>
        <w:t>在采购活动中</w:t>
      </w:r>
      <w:r>
        <w:rPr>
          <w:rFonts w:hint="eastAsia"/>
          <w:color w:val="000000"/>
          <w:sz w:val="24"/>
        </w:rPr>
        <w:t>必须严格遵守国家法律法规和招标采购工作管理规章制度，</w:t>
      </w:r>
      <w:r>
        <w:rPr>
          <w:rFonts w:hint="eastAsia" w:ascii="宋体" w:hAnsi="宋体" w:cs="宋体"/>
          <w:kern w:val="0"/>
          <w:sz w:val="24"/>
        </w:rPr>
        <w:t>遵循“公开、公平、公正”的原则，</w:t>
      </w:r>
      <w:r>
        <w:rPr>
          <w:rFonts w:hint="eastAsia"/>
          <w:color w:val="000000"/>
          <w:sz w:val="24"/>
        </w:rPr>
        <w:t>认真履行各自职责，积极维护国家和集体利益。</w:t>
      </w:r>
    </w:p>
    <w:p w14:paraId="478C63A2">
      <w:pPr>
        <w:spacing w:line="480" w:lineRule="auto"/>
        <w:rPr>
          <w:rFonts w:hint="eastAsia"/>
          <w:color w:val="000000"/>
          <w:sz w:val="24"/>
        </w:rPr>
      </w:pPr>
      <w:r>
        <w:rPr>
          <w:rFonts w:hint="eastAsia" w:ascii="宋体" w:hAnsi="宋体" w:cs="宋体"/>
          <w:kern w:val="0"/>
          <w:sz w:val="24"/>
        </w:rPr>
        <w:t>  二、</w:t>
      </w:r>
      <w:r>
        <w:rPr>
          <w:rFonts w:hint="eastAsia"/>
          <w:color w:val="000000"/>
          <w:sz w:val="24"/>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5" w:name="OLE_LINK1"/>
      <w:r>
        <w:rPr>
          <w:rFonts w:hint="eastAsia"/>
          <w:color w:val="000000"/>
          <w:sz w:val="24"/>
        </w:rPr>
        <w:t>要求或者接受</w:t>
      </w:r>
      <w:bookmarkEnd w:id="5"/>
      <w:r>
        <w:rPr>
          <w:rFonts w:hint="eastAsia"/>
          <w:color w:val="000000"/>
          <w:sz w:val="24"/>
        </w:rPr>
        <w:t>乙方为其住房装修、参加婚丧嫁娶活动、配偶子女的工作安排以及境内外旅游、考察活动等一切影响公平竞争的活动。</w:t>
      </w:r>
    </w:p>
    <w:p w14:paraId="5A0C168C">
      <w:pPr>
        <w:spacing w:line="480" w:lineRule="auto"/>
        <w:ind w:firstLine="480" w:firstLineChars="200"/>
        <w:rPr>
          <w:rFonts w:hint="eastAsia" w:ascii="宋体" w:hAnsi="宋体" w:cs="宋体"/>
          <w:kern w:val="0"/>
          <w:sz w:val="24"/>
        </w:rPr>
      </w:pPr>
      <w:r>
        <w:rPr>
          <w:rFonts w:hint="eastAsia" w:ascii="宋体" w:hAnsi="宋体" w:cs="宋体"/>
          <w:kern w:val="0"/>
          <w:sz w:val="24"/>
        </w:rPr>
        <w:t>三、乙方</w:t>
      </w:r>
      <w:r>
        <w:rPr>
          <w:rFonts w:hint="eastAsia"/>
          <w:color w:val="FF0000"/>
          <w:sz w:val="24"/>
        </w:rPr>
        <w:t>指定</w:t>
      </w:r>
      <w:r>
        <w:rPr>
          <w:rFonts w:hint="eastAsia"/>
          <w:color w:val="FF0000"/>
          <w:sz w:val="24"/>
          <w:u w:val="single"/>
        </w:rPr>
        <w:t xml:space="preserve">  </w:t>
      </w:r>
      <w:r>
        <w:rPr>
          <w:color w:val="FF0000"/>
          <w:sz w:val="24"/>
          <w:u w:val="single"/>
        </w:rPr>
        <w:t xml:space="preserve">      </w:t>
      </w:r>
      <w:r>
        <w:rPr>
          <w:rFonts w:hint="eastAsia"/>
          <w:color w:val="FF0000"/>
          <w:sz w:val="24"/>
          <w:u w:val="single"/>
        </w:rPr>
        <w:t xml:space="preserve">（身份证号： </w:t>
      </w:r>
      <w:r>
        <w:rPr>
          <w:color w:val="FF0000"/>
          <w:sz w:val="24"/>
          <w:u w:val="single"/>
        </w:rPr>
        <w:t xml:space="preserve">                    </w:t>
      </w:r>
      <w:r>
        <w:rPr>
          <w:rFonts w:hint="eastAsia"/>
          <w:color w:val="FF0000"/>
          <w:sz w:val="24"/>
          <w:u w:val="single"/>
        </w:rPr>
        <w:t xml:space="preserve">） </w:t>
      </w:r>
      <w:r>
        <w:rPr>
          <w:rFonts w:hint="eastAsia"/>
          <w:color w:val="FF0000"/>
          <w:sz w:val="24"/>
        </w:rPr>
        <w:t xml:space="preserve"> </w:t>
      </w:r>
      <w:r>
        <w:rPr>
          <w:rFonts w:hint="eastAsia"/>
          <w:color w:val="000000"/>
          <w:sz w:val="24"/>
        </w:rPr>
        <w:t>作为业务代表洽谈业务。乙方代表及其工作人员应依法依规开展工作，不得以任何借口和形式向甲方工作人员赠送钱物、礼品、礼金，报销</w:t>
      </w:r>
      <w:r>
        <w:rPr>
          <w:rFonts w:hint="eastAsia" w:ascii="宋体" w:hAnsi="宋体" w:cs="宋体"/>
          <w:kern w:val="0"/>
          <w:sz w:val="24"/>
        </w:rPr>
        <w:t>甲方人员开支的发票等，不得以各种名目安排甲方工作人员参加影响公正执行公务的宴请和高消费娱乐活动和境内、外旅游等。</w:t>
      </w:r>
    </w:p>
    <w:p w14:paraId="2946F0DD">
      <w:pPr>
        <w:spacing w:line="480" w:lineRule="auto"/>
        <w:ind w:firstLine="480" w:firstLineChars="200"/>
        <w:rPr>
          <w:rFonts w:hint="eastAsia" w:ascii="宋体" w:hAnsi="宋体" w:cs="宋体"/>
          <w:kern w:val="0"/>
          <w:sz w:val="24"/>
        </w:rPr>
      </w:pPr>
      <w:r>
        <w:rPr>
          <w:rFonts w:hint="eastAsia" w:ascii="宋体" w:hAnsi="宋体" w:cs="宋体"/>
          <w:kern w:val="0"/>
          <w:sz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5887C6A2">
      <w:pPr>
        <w:spacing w:line="480" w:lineRule="auto"/>
        <w:rPr>
          <w:rFonts w:hint="eastAsia" w:ascii="宋体" w:hAnsi="宋体" w:cs="宋体"/>
          <w:kern w:val="0"/>
          <w:sz w:val="24"/>
        </w:rPr>
      </w:pPr>
      <w:r>
        <w:rPr>
          <w:rFonts w:hint="eastAsia" w:ascii="宋体" w:hAnsi="宋体" w:cs="宋体"/>
          <w:kern w:val="0"/>
          <w:sz w:val="24"/>
        </w:rPr>
        <w:t>五、本协议与物资采购合同一并签订并具同等法律效力。一式二份，甲、乙双方各执一份。本协议自双方签字</w:t>
      </w:r>
      <w:r>
        <w:rPr>
          <w:rFonts w:hint="eastAsia" w:ascii="宋体" w:hAnsi="宋体" w:cs="宋体"/>
          <w:kern w:val="0"/>
          <w:sz w:val="24"/>
          <w:lang w:eastAsia="zh-CN"/>
        </w:rPr>
        <w:t>盖章</w:t>
      </w:r>
      <w:r>
        <w:rPr>
          <w:rFonts w:hint="eastAsia" w:ascii="宋体" w:hAnsi="宋体" w:cs="宋体"/>
          <w:kern w:val="0"/>
          <w:sz w:val="24"/>
        </w:rPr>
        <w:t>即刻生效。</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甲方单位（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6CB6EC09">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7F816737">
      <w:pPr>
        <w:widowControl/>
        <w:spacing w:before="100" w:beforeAutospacing="1" w:after="100" w:afterAutospacing="1"/>
        <w:ind w:firstLine="4468" w:firstLineChars="1862"/>
        <w:rPr>
          <w:rFonts w:hint="eastAsia" w:ascii="宋体" w:hAnsi="宋体" w:cs="宋体"/>
          <w:kern w:val="0"/>
          <w:sz w:val="24"/>
        </w:rPr>
      </w:pPr>
      <w:r>
        <w:rPr>
          <w:rFonts w:hint="eastAsia" w:ascii="宋体" w:hAnsi="宋体" w:cs="宋体"/>
          <w:kern w:val="0"/>
          <w:sz w:val="24"/>
        </w:rPr>
        <w:t>年       月       日</w:t>
      </w:r>
    </w:p>
    <w:p w14:paraId="6794EC09">
      <w:pPr>
        <w:spacing w:line="480" w:lineRule="auto"/>
        <w:rPr>
          <w:rFonts w:hint="eastAsia" w:ascii="宋体" w:hAnsi="宋体" w:cs="宋体"/>
          <w:kern w:val="0"/>
          <w:sz w:val="24"/>
        </w:rPr>
      </w:pPr>
    </w:p>
    <w:p w14:paraId="05502AD2">
      <w:pPr>
        <w:spacing w:line="480" w:lineRule="auto"/>
        <w:rPr>
          <w:rFonts w:hint="eastAsia" w:ascii="宋体" w:hAnsi="宋体" w:cs="宋体"/>
          <w:kern w:val="0"/>
          <w:sz w:val="24"/>
        </w:rPr>
      </w:pPr>
    </w:p>
    <w:p w14:paraId="188E14D0">
      <w:pPr>
        <w:spacing w:line="480" w:lineRule="auto"/>
        <w:rPr>
          <w:rFonts w:hint="eastAsia" w:ascii="宋体" w:hAnsi="宋体" w:cs="宋体"/>
          <w:kern w:val="0"/>
          <w:sz w:val="24"/>
        </w:rPr>
      </w:pPr>
      <w:r>
        <w:rPr>
          <w:rFonts w:hint="eastAsia" w:ascii="宋体" w:hAnsi="宋体" w:cs="宋体"/>
          <w:kern w:val="0"/>
          <w:sz w:val="24"/>
        </w:rPr>
        <w:t>乙方单位（</w:t>
      </w:r>
      <w:r>
        <w:rPr>
          <w:rFonts w:hint="eastAsia" w:ascii="宋体" w:hAnsi="宋体" w:cs="宋体"/>
          <w:kern w:val="0"/>
          <w:sz w:val="24"/>
          <w:lang w:eastAsia="zh-CN"/>
        </w:rPr>
        <w:t>盖</w:t>
      </w:r>
      <w:r>
        <w:rPr>
          <w:rFonts w:hint="eastAsia" w:ascii="宋体" w:hAnsi="宋体" w:cs="宋体"/>
          <w:kern w:val="0"/>
          <w:sz w:val="24"/>
        </w:rPr>
        <w:t>章）           法定(授权)代表人签名：</w:t>
      </w:r>
    </w:p>
    <w:p w14:paraId="447BD865">
      <w:pPr>
        <w:spacing w:line="480" w:lineRule="auto"/>
        <w:rPr>
          <w:rFonts w:hint="eastAsia" w:ascii="宋体" w:hAnsi="宋体" w:cs="宋体"/>
          <w:kern w:val="0"/>
          <w:sz w:val="24"/>
        </w:rPr>
      </w:pPr>
      <w:r>
        <w:rPr>
          <w:rFonts w:hint="eastAsia" w:ascii="宋体" w:hAnsi="宋体" w:cs="宋体"/>
          <w:kern w:val="0"/>
          <w:sz w:val="24"/>
        </w:rPr>
        <w:t xml:space="preserve">                           经办人签名：</w:t>
      </w:r>
    </w:p>
    <w:p w14:paraId="22B67879">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年       月       日</w:t>
      </w:r>
    </w:p>
    <w:p w14:paraId="3C1B35DD">
      <w:pPr>
        <w:widowControl/>
        <w:spacing w:before="100" w:beforeAutospacing="1" w:after="100" w:afterAutospacing="1"/>
        <w:ind w:firstLine="1080" w:firstLineChars="450"/>
        <w:rPr>
          <w:rFonts w:ascii="宋体" w:hAnsi="宋体" w:cs="宋体"/>
          <w:kern w:val="0"/>
          <w:sz w:val="24"/>
        </w:rPr>
      </w:pPr>
    </w:p>
    <w:p w14:paraId="7F2BBA27">
      <w:pPr>
        <w:widowControl/>
        <w:spacing w:before="100" w:beforeAutospacing="1" w:after="100" w:afterAutospacing="1"/>
        <w:ind w:firstLine="2310"/>
        <w:jc w:val="center"/>
        <w:rPr>
          <w:rFonts w:hint="eastAsia" w:ascii="宋体" w:hAnsi="宋体" w:cs="宋体"/>
          <w:kern w:val="0"/>
          <w:sz w:val="24"/>
        </w:rPr>
      </w:pPr>
      <w:r>
        <w:rPr>
          <w:rFonts w:hint="eastAsia" w:ascii="宋体" w:hAnsi="宋体" w:cs="宋体"/>
          <w:kern w:val="0"/>
          <w:sz w:val="24"/>
        </w:rPr>
        <w:t xml:space="preserve">              </w:t>
      </w:r>
    </w:p>
    <w:p w14:paraId="37A1D2DF"/>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D23B3"/>
    <w:multiLevelType w:val="singleLevel"/>
    <w:tmpl w:val="E3FD23B3"/>
    <w:lvl w:ilvl="0" w:tentative="0">
      <w:start w:val="1"/>
      <w:numFmt w:val="decimal"/>
      <w:lvlText w:val="%1."/>
      <w:lvlJc w:val="left"/>
      <w:pPr>
        <w:ind w:left="425" w:hanging="425"/>
      </w:pPr>
      <w:rPr>
        <w:rFonts w:hint="default"/>
        <w:b w:val="0"/>
        <w:bCs w:val="0"/>
      </w:rPr>
    </w:lvl>
  </w:abstractNum>
  <w:abstractNum w:abstractNumId="1">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
    <w:nsid w:val="27BCBA85"/>
    <w:multiLevelType w:val="singleLevel"/>
    <w:tmpl w:val="27BCBA8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49E"/>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96DB1"/>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DC8"/>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74E2EF7"/>
    <w:rsid w:val="098A2D84"/>
    <w:rsid w:val="0ADA132B"/>
    <w:rsid w:val="1742544F"/>
    <w:rsid w:val="1DC32EB5"/>
    <w:rsid w:val="21332BD0"/>
    <w:rsid w:val="2AA05E26"/>
    <w:rsid w:val="2F703D53"/>
    <w:rsid w:val="2FAC0A57"/>
    <w:rsid w:val="304C52D8"/>
    <w:rsid w:val="310C4CE7"/>
    <w:rsid w:val="3CCF40AD"/>
    <w:rsid w:val="40776F01"/>
    <w:rsid w:val="425839A6"/>
    <w:rsid w:val="43E10162"/>
    <w:rsid w:val="4A5611F5"/>
    <w:rsid w:val="4F80357A"/>
    <w:rsid w:val="5085694D"/>
    <w:rsid w:val="51C63C08"/>
    <w:rsid w:val="54462559"/>
    <w:rsid w:val="596A6026"/>
    <w:rsid w:val="599364B0"/>
    <w:rsid w:val="5A6645C8"/>
    <w:rsid w:val="5CAD1388"/>
    <w:rsid w:val="614064DF"/>
    <w:rsid w:val="66096397"/>
    <w:rsid w:val="675A2892"/>
    <w:rsid w:val="709938DD"/>
    <w:rsid w:val="79BF22E2"/>
    <w:rsid w:val="7C34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D9F-5139-444B-8CA8-418D9315472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3114</Words>
  <Characters>3305</Characters>
  <Lines>52</Lines>
  <Paragraphs>14</Paragraphs>
  <TotalTime>6</TotalTime>
  <ScaleCrop>false</ScaleCrop>
  <LinksUpToDate>false</LinksUpToDate>
  <CharactersWithSpaces>3374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2026-05-19T00:23:52Z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