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5"/>
        <w:widowControl w:val="0"/>
        <w:snapToGrid w:val="0"/>
        <w:spacing w:line="360" w:lineRule="auto"/>
        <w:ind w:firstLine="418" w:firstLineChars="52"/>
        <w:jc w:val="center"/>
        <w:rPr>
          <w:rFonts w:ascii="宋体" w:hAnsi="宋体"/>
          <w:color w:val="auto"/>
          <w:sz w:val="80"/>
          <w:szCs w:val="80"/>
        </w:rPr>
      </w:pPr>
    </w:p>
    <w:p w14:paraId="19993E5F">
      <w:pPr>
        <w:pStyle w:val="55"/>
        <w:widowControl w:val="0"/>
        <w:snapToGrid w:val="0"/>
        <w:spacing w:line="360" w:lineRule="auto"/>
        <w:ind w:firstLine="418" w:firstLineChars="52"/>
        <w:jc w:val="center"/>
        <w:rPr>
          <w:rFonts w:ascii="宋体" w:hAnsi="宋体"/>
          <w:color w:val="auto"/>
          <w:sz w:val="80"/>
          <w:szCs w:val="80"/>
        </w:rPr>
      </w:pPr>
    </w:p>
    <w:p w14:paraId="28E57A2D">
      <w:pPr>
        <w:pStyle w:val="55"/>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73D62895">
      <w:pPr>
        <w:pStyle w:val="55"/>
        <w:widowControl w:val="0"/>
        <w:snapToGrid w:val="0"/>
        <w:spacing w:line="360" w:lineRule="auto"/>
        <w:ind w:firstLine="0"/>
        <w:jc w:val="center"/>
        <w:rPr>
          <w:bCs/>
          <w:color w:val="auto"/>
          <w:kern w:val="2"/>
          <w:sz w:val="32"/>
          <w:szCs w:val="32"/>
        </w:rPr>
      </w:pPr>
    </w:p>
    <w:p w14:paraId="4822E8B8">
      <w:pPr>
        <w:pStyle w:val="55"/>
        <w:widowControl w:val="0"/>
        <w:snapToGrid w:val="0"/>
        <w:spacing w:line="360" w:lineRule="auto"/>
        <w:ind w:firstLine="0"/>
        <w:jc w:val="center"/>
        <w:rPr>
          <w:bCs/>
          <w:color w:val="auto"/>
          <w:kern w:val="2"/>
          <w:sz w:val="32"/>
          <w:szCs w:val="32"/>
        </w:rPr>
      </w:pPr>
    </w:p>
    <w:p w14:paraId="60CEAD87">
      <w:pPr>
        <w:pStyle w:val="55"/>
        <w:widowControl w:val="0"/>
        <w:snapToGrid w:val="0"/>
        <w:spacing w:line="360" w:lineRule="auto"/>
        <w:ind w:firstLine="0"/>
        <w:jc w:val="center"/>
        <w:rPr>
          <w:bCs/>
          <w:color w:val="auto"/>
          <w:kern w:val="2"/>
          <w:sz w:val="32"/>
          <w:szCs w:val="32"/>
        </w:rPr>
      </w:pPr>
    </w:p>
    <w:p w14:paraId="0376E400">
      <w:pPr>
        <w:pStyle w:val="55"/>
        <w:widowControl w:val="0"/>
        <w:snapToGrid w:val="0"/>
        <w:spacing w:line="360" w:lineRule="auto"/>
        <w:ind w:firstLine="0"/>
        <w:jc w:val="center"/>
        <w:rPr>
          <w:bCs/>
          <w:color w:val="auto"/>
          <w:kern w:val="2"/>
          <w:sz w:val="32"/>
          <w:szCs w:val="32"/>
        </w:rPr>
      </w:pPr>
    </w:p>
    <w:p w14:paraId="7B18D745">
      <w:pPr>
        <w:pStyle w:val="55"/>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项目名称：</w:t>
      </w:r>
      <w:r>
        <w:rPr>
          <w:rFonts w:hint="eastAsia"/>
          <w:bCs/>
          <w:color w:val="auto"/>
          <w:kern w:val="2"/>
          <w:sz w:val="32"/>
          <w:szCs w:val="32"/>
          <w:lang w:eastAsia="zh-CN"/>
        </w:rPr>
        <w:t>湖滨院区后勤安全智能运维平台维护服务</w:t>
      </w:r>
    </w:p>
    <w:p w14:paraId="77C7A35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60622-02</w:t>
      </w:r>
    </w:p>
    <w:p w14:paraId="0BF5319E">
      <w:pPr>
        <w:pStyle w:val="55"/>
        <w:widowControl w:val="0"/>
        <w:snapToGrid w:val="0"/>
        <w:spacing w:line="360" w:lineRule="auto"/>
        <w:ind w:firstLine="0"/>
        <w:jc w:val="center"/>
        <w:rPr>
          <w:rFonts w:ascii="宋体" w:hAnsi="宋体"/>
          <w:color w:val="auto"/>
        </w:rPr>
      </w:pPr>
    </w:p>
    <w:p w14:paraId="61CDDF59">
      <w:pPr>
        <w:pStyle w:val="55"/>
        <w:spacing w:line="360" w:lineRule="auto"/>
        <w:ind w:firstLine="0"/>
        <w:jc w:val="center"/>
        <w:rPr>
          <w:rFonts w:ascii="宋体" w:hAnsi="宋体"/>
          <w:color w:val="auto"/>
          <w:sz w:val="32"/>
          <w:szCs w:val="32"/>
        </w:rPr>
      </w:pPr>
    </w:p>
    <w:p w14:paraId="462C0814">
      <w:pPr>
        <w:pStyle w:val="55"/>
        <w:spacing w:line="360" w:lineRule="auto"/>
        <w:ind w:firstLine="0"/>
        <w:jc w:val="center"/>
        <w:rPr>
          <w:rFonts w:ascii="宋体" w:hAnsi="宋体"/>
          <w:color w:val="auto"/>
          <w:sz w:val="32"/>
          <w:szCs w:val="32"/>
        </w:rPr>
      </w:pPr>
    </w:p>
    <w:p w14:paraId="3F387C41">
      <w:pPr>
        <w:pStyle w:val="55"/>
        <w:spacing w:line="360" w:lineRule="auto"/>
        <w:ind w:firstLine="0"/>
        <w:jc w:val="center"/>
        <w:rPr>
          <w:rFonts w:ascii="宋体" w:hAnsi="宋体"/>
          <w:color w:val="auto"/>
          <w:sz w:val="32"/>
          <w:szCs w:val="32"/>
        </w:rPr>
      </w:pPr>
    </w:p>
    <w:p w14:paraId="0088C1D9">
      <w:pPr>
        <w:pStyle w:val="55"/>
        <w:spacing w:line="360" w:lineRule="auto"/>
        <w:ind w:firstLine="0"/>
        <w:jc w:val="center"/>
        <w:rPr>
          <w:rFonts w:ascii="宋体" w:hAnsi="宋体"/>
          <w:color w:val="auto"/>
          <w:sz w:val="32"/>
          <w:szCs w:val="32"/>
        </w:rPr>
      </w:pPr>
    </w:p>
    <w:p w14:paraId="272A1544">
      <w:pPr>
        <w:pStyle w:val="55"/>
        <w:spacing w:line="360" w:lineRule="auto"/>
        <w:ind w:firstLine="0"/>
        <w:jc w:val="center"/>
        <w:rPr>
          <w:rFonts w:ascii="宋体" w:hAnsi="宋体"/>
          <w:color w:val="auto"/>
          <w:sz w:val="32"/>
          <w:szCs w:val="32"/>
        </w:rPr>
      </w:pPr>
    </w:p>
    <w:p w14:paraId="7E9D4433">
      <w:pPr>
        <w:pStyle w:val="55"/>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5"/>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六</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6"/>
            <w:rPr>
              <w:sz w:val="28"/>
              <w:szCs w:val="28"/>
            </w:rPr>
          </w:pPr>
        </w:p>
        <w:p w14:paraId="00CE5C87">
          <w:pPr>
            <w:pStyle w:val="16"/>
            <w:tabs>
              <w:tab w:val="right" w:leader="dot" w:pos="8306"/>
            </w:tabs>
            <w:rPr>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"1-3" \h \z \u </w:instrText>
          </w:r>
          <w:r>
            <w:rPr>
              <w:rFonts w:asciiTheme="minorEastAsia" w:hAnsiTheme="minorEastAsia" w:eastAsiaTheme="minorEastAsia"/>
              <w:b/>
              <w:sz w:val="28"/>
              <w:szCs w:val="28"/>
            </w:rPr>
            <w:fldChar w:fldCharType="separate"/>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\l _Toc16023 </w:instrText>
          </w:r>
          <w:r>
            <w:rPr>
              <w:rFonts w:asciiTheme="minorEastAsia" w:hAnsiTheme="minorEastAsia" w:eastAsiaTheme="minorEastAsia"/>
              <w:sz w:val="28"/>
              <w:szCs w:val="28"/>
            </w:rPr>
            <w:fldChar w:fldCharType="separate"/>
          </w:r>
          <w:r>
            <w:rPr>
              <w:rFonts w:hint="eastAsia"/>
              <w:sz w:val="28"/>
              <w:szCs w:val="28"/>
            </w:rPr>
            <w:t xml:space="preserve">第一章 </w:t>
          </w:r>
          <w:r>
            <w:rPr>
              <w:sz w:val="28"/>
              <w:szCs w:val="28"/>
            </w:rPr>
            <w:t>采购公告</w:t>
          </w:r>
          <w:r>
            <w:rPr>
              <w:sz w:val="28"/>
              <w:szCs w:val="28"/>
            </w:rPr>
            <w:tab/>
          </w:r>
          <w:r>
            <w:rPr>
              <w:sz w:val="28"/>
              <w:szCs w:val="28"/>
            </w:rPr>
            <w:fldChar w:fldCharType="begin"/>
          </w:r>
          <w:r>
            <w:rPr>
              <w:sz w:val="28"/>
              <w:szCs w:val="28"/>
            </w:rPr>
            <w:instrText xml:space="preserve"> PAGEREF _Toc16023 \h </w:instrText>
          </w:r>
          <w:r>
            <w:rPr>
              <w:sz w:val="28"/>
              <w:szCs w:val="28"/>
            </w:rPr>
            <w:fldChar w:fldCharType="separate"/>
          </w:r>
          <w:r>
            <w:rPr>
              <w:sz w:val="28"/>
              <w:szCs w:val="28"/>
            </w:rPr>
            <w:t>- 1 -</w:t>
          </w:r>
          <w:r>
            <w:rPr>
              <w:sz w:val="28"/>
              <w:szCs w:val="28"/>
            </w:rPr>
            <w:fldChar w:fldCharType="end"/>
          </w:r>
          <w:r>
            <w:rPr>
              <w:rFonts w:asciiTheme="minorEastAsia" w:hAnsiTheme="minorEastAsia" w:eastAsiaTheme="minorEastAsia"/>
              <w:sz w:val="28"/>
              <w:szCs w:val="28"/>
            </w:rPr>
            <w:fldChar w:fldCharType="end"/>
          </w:r>
        </w:p>
        <w:p w14:paraId="5DCAD125">
          <w:pPr>
            <w:pStyle w:val="16"/>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_Toc9951 </w:instrText>
          </w:r>
          <w:r>
            <w:rPr>
              <w:rFonts w:asciiTheme="minorEastAsia" w:hAnsiTheme="minorEastAsia" w:eastAsiaTheme="minorEastAsia"/>
              <w:bCs/>
              <w:sz w:val="28"/>
              <w:szCs w:val="28"/>
              <w:lang w:val="zh-CN"/>
            </w:rPr>
            <w:fldChar w:fldCharType="separate"/>
          </w:r>
          <w:r>
            <w:rPr>
              <w:rFonts w:hint="eastAsia"/>
              <w:sz w:val="28"/>
              <w:szCs w:val="28"/>
            </w:rPr>
            <w:t xml:space="preserve">第二章 </w:t>
          </w:r>
          <w:r>
            <w:rPr>
              <w:sz w:val="28"/>
              <w:szCs w:val="28"/>
            </w:rPr>
            <w:t>采购内容</w:t>
          </w:r>
          <w:r>
            <w:rPr>
              <w:rFonts w:hint="eastAsia"/>
              <w:sz w:val="28"/>
              <w:szCs w:val="28"/>
            </w:rPr>
            <w:t>及</w:t>
          </w:r>
          <w:r>
            <w:rPr>
              <w:sz w:val="28"/>
              <w:szCs w:val="28"/>
            </w:rPr>
            <w:t>需求</w:t>
          </w:r>
          <w:r>
            <w:rPr>
              <w:sz w:val="28"/>
              <w:szCs w:val="28"/>
            </w:rPr>
            <w:tab/>
          </w:r>
          <w:r>
            <w:rPr>
              <w:sz w:val="28"/>
              <w:szCs w:val="28"/>
            </w:rPr>
            <w:fldChar w:fldCharType="begin"/>
          </w:r>
          <w:r>
            <w:rPr>
              <w:sz w:val="28"/>
              <w:szCs w:val="28"/>
            </w:rPr>
            <w:instrText xml:space="preserve"> PAGEREF _Toc9951 \h </w:instrText>
          </w:r>
          <w:r>
            <w:rPr>
              <w:sz w:val="28"/>
              <w:szCs w:val="28"/>
            </w:rPr>
            <w:fldChar w:fldCharType="separate"/>
          </w:r>
          <w:r>
            <w:rPr>
              <w:sz w:val="28"/>
              <w:szCs w:val="28"/>
            </w:rPr>
            <w:t>- 2 -</w:t>
          </w:r>
          <w:r>
            <w:rPr>
              <w:sz w:val="28"/>
              <w:szCs w:val="28"/>
            </w:rPr>
            <w:fldChar w:fldCharType="end"/>
          </w:r>
          <w:r>
            <w:rPr>
              <w:rFonts w:asciiTheme="minorEastAsia" w:hAnsiTheme="minorEastAsia" w:eastAsiaTheme="minorEastAsia"/>
              <w:bCs/>
              <w:sz w:val="28"/>
              <w:szCs w:val="28"/>
              <w:lang w:val="zh-CN"/>
            </w:rPr>
            <w:fldChar w:fldCharType="end"/>
          </w:r>
        </w:p>
        <w:p w14:paraId="04942EA9">
          <w:pPr>
            <w:pStyle w:val="16"/>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_Toc30692 </w:instrText>
          </w:r>
          <w:r>
            <w:rPr>
              <w:rFonts w:asciiTheme="minorEastAsia" w:hAnsiTheme="minorEastAsia" w:eastAsiaTheme="minorEastAsia"/>
              <w:bCs/>
              <w:sz w:val="28"/>
              <w:szCs w:val="28"/>
              <w:lang w:val="zh-CN"/>
            </w:rPr>
            <w:fldChar w:fldCharType="separate"/>
          </w:r>
          <w:r>
            <w:rPr>
              <w:rFonts w:hint="eastAsia" w:eastAsia="宋体"/>
              <w:sz w:val="28"/>
              <w:szCs w:val="28"/>
            </w:rPr>
            <w:t>第三章 评审办法</w:t>
          </w:r>
          <w:r>
            <w:rPr>
              <w:sz w:val="28"/>
              <w:szCs w:val="28"/>
            </w:rPr>
            <w:tab/>
          </w:r>
          <w:r>
            <w:rPr>
              <w:sz w:val="28"/>
              <w:szCs w:val="28"/>
            </w:rPr>
            <w:fldChar w:fldCharType="begin"/>
          </w:r>
          <w:r>
            <w:rPr>
              <w:sz w:val="28"/>
              <w:szCs w:val="28"/>
            </w:rPr>
            <w:instrText xml:space="preserve"> PAGEREF _Toc30692 \h </w:instrText>
          </w:r>
          <w:r>
            <w:rPr>
              <w:sz w:val="28"/>
              <w:szCs w:val="28"/>
            </w:rPr>
            <w:fldChar w:fldCharType="separate"/>
          </w:r>
          <w:r>
            <w:rPr>
              <w:sz w:val="28"/>
              <w:szCs w:val="28"/>
            </w:rPr>
            <w:t>- 7 -</w:t>
          </w:r>
          <w:r>
            <w:rPr>
              <w:sz w:val="28"/>
              <w:szCs w:val="28"/>
            </w:rPr>
            <w:fldChar w:fldCharType="end"/>
          </w:r>
          <w:r>
            <w:rPr>
              <w:rFonts w:asciiTheme="minorEastAsia" w:hAnsiTheme="minorEastAsia" w:eastAsiaTheme="minorEastAsia"/>
              <w:bCs/>
              <w:sz w:val="28"/>
              <w:szCs w:val="28"/>
              <w:lang w:val="zh-CN"/>
            </w:rPr>
            <w:fldChar w:fldCharType="end"/>
          </w:r>
        </w:p>
        <w:p w14:paraId="48E562D3">
          <w:pPr>
            <w:pStyle w:val="16"/>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_Toc31724 </w:instrText>
          </w:r>
          <w:r>
            <w:rPr>
              <w:rFonts w:asciiTheme="minorEastAsia" w:hAnsiTheme="minorEastAsia" w:eastAsiaTheme="minorEastAsia"/>
              <w:bCs/>
              <w:sz w:val="28"/>
              <w:szCs w:val="28"/>
              <w:lang w:val="zh-CN"/>
            </w:rPr>
            <w:fldChar w:fldCharType="separate"/>
          </w:r>
          <w:r>
            <w:rPr>
              <w:rFonts w:hint="eastAsia" w:eastAsia="宋体"/>
              <w:sz w:val="28"/>
              <w:szCs w:val="28"/>
            </w:rPr>
            <w:t>第四章 响应文件格式</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- 8 -</w:t>
          </w:r>
          <w:r>
            <w:rPr>
              <w:sz w:val="28"/>
              <w:szCs w:val="28"/>
            </w:rPr>
            <w:fldChar w:fldCharType="end"/>
          </w:r>
          <w:r>
            <w:rPr>
              <w:rFonts w:asciiTheme="minorEastAsia" w:hAnsiTheme="minorEastAsia" w:eastAsiaTheme="minorEastAsia"/>
              <w:bCs/>
              <w:sz w:val="28"/>
              <w:szCs w:val="28"/>
              <w:lang w:val="zh-CN"/>
            </w:rPr>
            <w:fldChar w:fldCharType="end"/>
          </w:r>
        </w:p>
        <w:p w14:paraId="24E9A4ED">
          <w:pPr>
            <w:pStyle w:val="16"/>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_Toc3195 </w:instrText>
          </w:r>
          <w:r>
            <w:rPr>
              <w:rFonts w:asciiTheme="minorEastAsia" w:hAnsiTheme="minorEastAsia" w:eastAsiaTheme="minorEastAsia"/>
              <w:bCs/>
              <w:sz w:val="28"/>
              <w:szCs w:val="28"/>
              <w:lang w:val="zh-CN"/>
            </w:rPr>
            <w:fldChar w:fldCharType="separate"/>
          </w:r>
          <w:r>
            <w:rPr>
              <w:rFonts w:hint="eastAsia" w:eastAsia="宋体"/>
              <w:sz w:val="28"/>
              <w:szCs w:val="28"/>
            </w:rPr>
            <w:t>第五章 合同主要条款</w:t>
          </w:r>
          <w:r>
            <w:rPr>
              <w:sz w:val="28"/>
              <w:szCs w:val="28"/>
            </w:rPr>
            <w:tab/>
          </w:r>
          <w:r>
            <w:rPr>
              <w:sz w:val="28"/>
              <w:szCs w:val="28"/>
            </w:rPr>
            <w:fldChar w:fldCharType="begin"/>
          </w:r>
          <w:r>
            <w:rPr>
              <w:sz w:val="28"/>
              <w:szCs w:val="28"/>
            </w:rPr>
            <w:instrText xml:space="preserve"> PAGEREF _Toc3195 \h </w:instrText>
          </w:r>
          <w:r>
            <w:rPr>
              <w:sz w:val="28"/>
              <w:szCs w:val="28"/>
            </w:rPr>
            <w:fldChar w:fldCharType="separate"/>
          </w:r>
          <w:r>
            <w:rPr>
              <w:sz w:val="28"/>
              <w:szCs w:val="28"/>
            </w:rPr>
            <w:t>- 14 -</w:t>
          </w:r>
          <w:r>
            <w:rPr>
              <w:sz w:val="28"/>
              <w:szCs w:val="28"/>
            </w:rPr>
            <w:fldChar w:fldCharType="end"/>
          </w:r>
          <w:r>
            <w:rPr>
              <w:rFonts w:asciiTheme="minorEastAsia" w:hAnsiTheme="minorEastAsia" w:eastAsiaTheme="minorEastAsia"/>
              <w:bCs/>
              <w:sz w:val="28"/>
              <w:szCs w:val="28"/>
              <w:lang w:val="zh-CN"/>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Cs/>
              <w:sz w:val="28"/>
              <w:szCs w:val="28"/>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20"/>
        <w:sectPr>
          <w:footerReference r:id="rId3" w:type="default"/>
          <w:pgSz w:w="11906" w:h="16838"/>
          <w:pgMar w:top="1440" w:right="1800" w:bottom="1440" w:left="1800" w:header="851" w:footer="992" w:gutter="0"/>
          <w:cols w:space="425" w:num="1"/>
          <w:docGrid w:type="lines" w:linePitch="312" w:charSpace="0"/>
        </w:sectPr>
      </w:pPr>
    </w:p>
    <w:p w14:paraId="7BE579F9">
      <w:pPr>
        <w:pStyle w:val="20"/>
      </w:pPr>
      <w:bookmarkStart w:id="0" w:name="_Toc16023"/>
      <w:r>
        <w:rPr>
          <w:rFonts w:hint="eastAsia"/>
        </w:rPr>
        <w:t xml:space="preserve">第一章 </w:t>
      </w:r>
      <w:r>
        <w:t>采购公告</w:t>
      </w:r>
      <w:bookmarkEnd w:id="0"/>
    </w:p>
    <w:p w14:paraId="4260B1BF">
      <w:pPr>
        <w:spacing w:line="360" w:lineRule="auto"/>
        <w:ind w:firstLine="482" w:firstLineChars="200"/>
        <w:rPr>
          <w:b/>
          <w:sz w:val="24"/>
        </w:rPr>
      </w:pPr>
    </w:p>
    <w:p w14:paraId="78A1BF9C">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FF0000"/>
          <w:sz w:val="24"/>
        </w:rPr>
        <w:t>CGZX-XXXM-202</w:t>
      </w:r>
      <w:r>
        <w:rPr>
          <w:rFonts w:hint="eastAsia"/>
          <w:b/>
          <w:color w:val="FF0000"/>
          <w:sz w:val="24"/>
          <w:lang w:val="en-US" w:eastAsia="zh-CN"/>
        </w:rPr>
        <w:t>60622-02</w:t>
      </w:r>
      <w:r>
        <w:rPr>
          <w:rFonts w:hint="eastAsia"/>
          <w:b/>
          <w:sz w:val="24"/>
        </w:rPr>
        <w:t>）</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w:t>
      </w:r>
      <w:bookmarkStart w:id="8" w:name="_GoBack"/>
      <w:bookmarkEnd w:id="8"/>
      <w:r>
        <w:rPr>
          <w:sz w:val="24"/>
        </w:rPr>
        <w:t>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lang w:eastAsia="zh-CN"/>
        </w:rPr>
        <w:t>湖滨院区后勤安全智能运维平台维护服务</w:t>
      </w:r>
      <w:r>
        <w:rPr>
          <w:rFonts w:hint="eastAsia"/>
          <w:color w:val="0000FF"/>
          <w:sz w:val="24"/>
        </w:rPr>
        <w:t>，预算金额</w:t>
      </w:r>
      <w:r>
        <w:rPr>
          <w:rFonts w:hint="eastAsia"/>
          <w:color w:val="0000FF"/>
          <w:sz w:val="24"/>
          <w:lang w:val="en-US" w:eastAsia="zh-CN"/>
        </w:rPr>
        <w:t>9</w:t>
      </w:r>
      <w:r>
        <w:rPr>
          <w:rFonts w:hint="eastAsia"/>
          <w:color w:val="0000FF"/>
          <w:sz w:val="24"/>
        </w:rPr>
        <w:t>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lang w:val="en-US" w:eastAsia="zh-CN"/>
        </w:rPr>
        <w:t>采购时间初步定于</w:t>
      </w:r>
      <w:r>
        <w:rPr>
          <w:rFonts w:hint="eastAsia"/>
          <w:b/>
          <w:bCs/>
          <w:color w:val="FF0000"/>
          <w:sz w:val="24"/>
          <w:lang w:val="en-US" w:eastAsia="zh-CN"/>
        </w:rPr>
        <w:t>2026年07月02日下午15点</w:t>
      </w:r>
      <w:r>
        <w:rPr>
          <w:rFonts w:hint="eastAsia"/>
          <w:sz w:val="24"/>
          <w:lang w:val="en-US" w:eastAsia="zh-CN"/>
        </w:rPr>
        <w:t>，地点：浙江大学医学院附属妇产科医院（杭州市学士路1号）</w:t>
      </w:r>
      <w:r>
        <w:rPr>
          <w:rFonts w:hint="eastAsia"/>
          <w:b/>
          <w:bCs/>
          <w:color w:val="FF0000"/>
          <w:sz w:val="24"/>
          <w:lang w:val="en-US" w:eastAsia="zh-CN"/>
        </w:rPr>
        <w:t>1号楼13楼1305会议室</w:t>
      </w:r>
      <w:r>
        <w:rPr>
          <w:rFonts w:hint="eastAsia"/>
          <w:b/>
          <w:bCs/>
          <w:sz w:val="24"/>
        </w:rPr>
        <w:t>，</w:t>
      </w:r>
      <w:r>
        <w:rPr>
          <w:b/>
          <w:bCs/>
          <w:color w:val="FF0000"/>
          <w:sz w:val="24"/>
        </w:rPr>
        <w:t>报名截</w:t>
      </w:r>
      <w:r>
        <w:rPr>
          <w:b/>
          <w:color w:val="FF0000"/>
          <w:sz w:val="24"/>
        </w:rPr>
        <w:t>止</w:t>
      </w:r>
      <w:r>
        <w:rPr>
          <w:rFonts w:hint="eastAsia"/>
          <w:b/>
          <w:color w:val="FF0000"/>
          <w:sz w:val="24"/>
          <w:lang w:val="en-US" w:eastAsia="zh-CN"/>
        </w:rPr>
        <w:t>时间2026年6月29日</w:t>
      </w:r>
      <w:r>
        <w:rPr>
          <w:sz w:val="24"/>
        </w:rPr>
        <w:t>（报名以邮件为准，</w:t>
      </w:r>
      <w:r>
        <w:rPr>
          <w:b/>
          <w:bCs/>
          <w:sz w:val="24"/>
        </w:rPr>
        <w:t>邮件标题</w:t>
      </w:r>
      <w:r>
        <w:rPr>
          <w:rFonts w:hint="eastAsia"/>
          <w:b/>
          <w:bCs/>
          <w:sz w:val="24"/>
          <w:lang w:val="en-US" w:eastAsia="zh-CN"/>
        </w:rPr>
        <w:t>统一为：公告项目</w:t>
      </w:r>
      <w:r>
        <w:rPr>
          <w:b/>
          <w:bCs/>
          <w:sz w:val="24"/>
        </w:rPr>
        <w:t>编号</w:t>
      </w:r>
      <w:r>
        <w:rPr>
          <w:rFonts w:hint="eastAsia"/>
          <w:b/>
          <w:bCs/>
          <w:sz w:val="24"/>
          <w:lang w:val="en-US" w:eastAsia="zh-CN"/>
        </w:rPr>
        <w:t>+</w:t>
      </w:r>
      <w:r>
        <w:rPr>
          <w:rFonts w:hint="eastAsia"/>
          <w:b/>
          <w:bCs/>
          <w:sz w:val="24"/>
        </w:rPr>
        <w:t>项目名称</w:t>
      </w:r>
      <w:r>
        <w:rPr>
          <w:rFonts w:hint="eastAsia"/>
          <w:b/>
          <w:bCs/>
          <w:sz w:val="24"/>
          <w:lang w:val="en-US" w:eastAsia="zh-CN"/>
        </w:rPr>
        <w:t>+</w:t>
      </w:r>
      <w:r>
        <w:rPr>
          <w:rFonts w:hint="eastAsia"/>
          <w:b/>
          <w:bCs/>
          <w:sz w:val="24"/>
        </w:rPr>
        <w:t>响应</w:t>
      </w:r>
      <w:r>
        <w:rPr>
          <w:b/>
          <w:bCs/>
          <w:sz w:val="24"/>
        </w:rPr>
        <w:t>公司名称</w:t>
      </w:r>
      <w:r>
        <w:rPr>
          <w:rFonts w:hint="eastAsia"/>
          <w:sz w:val="24"/>
          <w:lang w:eastAsia="zh-CN"/>
        </w:rPr>
        <w:t>，</w:t>
      </w:r>
      <w:r>
        <w:rPr>
          <w:rFonts w:hint="eastAsia"/>
          <w:sz w:val="24"/>
          <w:lang w:val="en-US" w:eastAsia="zh-CN"/>
        </w:rPr>
        <w:t>邮件内容注明相应公司名称、</w:t>
      </w:r>
      <w:r>
        <w:rPr>
          <w:rFonts w:hint="eastAsia"/>
          <w:sz w:val="24"/>
        </w:rPr>
        <w:t>授权</w:t>
      </w:r>
      <w:r>
        <w:rPr>
          <w:sz w:val="24"/>
        </w:rPr>
        <w:t>人姓名</w:t>
      </w:r>
      <w:r>
        <w:rPr>
          <w:rFonts w:hint="eastAsia"/>
          <w:sz w:val="24"/>
          <w:lang w:val="en-US" w:eastAsia="zh-CN"/>
        </w:rPr>
        <w:t>、</w:t>
      </w:r>
      <w:r>
        <w:rPr>
          <w:sz w:val="24"/>
        </w:rPr>
        <w:t>联系方式</w:t>
      </w:r>
      <w:r>
        <w:rPr>
          <w:rFonts w:hint="eastAsia"/>
          <w:sz w:val="24"/>
          <w:lang w:eastAsia="zh-CN"/>
        </w:rPr>
        <w:t>、</w:t>
      </w:r>
      <w:r>
        <w:rPr>
          <w:rFonts w:hint="eastAsia"/>
          <w:sz w:val="24"/>
          <w:lang w:val="en-US" w:eastAsia="zh-CN"/>
        </w:rPr>
        <w:t>设备厂家、规格型号（若有）</w:t>
      </w:r>
      <w:r>
        <w:rPr>
          <w:sz w:val="24"/>
        </w:rPr>
        <w:t>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7"/>
          <w:rFonts w:hint="eastAsia"/>
          <w:color w:val="auto"/>
          <w:sz w:val="24"/>
        </w:rPr>
        <w:t>5518003</w:t>
      </w:r>
      <w:r>
        <w:rPr>
          <w:rStyle w:val="27"/>
          <w:color w:val="auto"/>
          <w:sz w:val="24"/>
        </w:rPr>
        <w:t>@zju.edu.cn</w:t>
      </w:r>
      <w:r>
        <w:rPr>
          <w:rStyle w:val="27"/>
          <w:color w:val="auto"/>
          <w:sz w:val="24"/>
        </w:rPr>
        <w:fldChar w:fldCharType="end"/>
      </w:r>
      <w:r>
        <w:rPr>
          <w:rFonts w:hint="eastAsia"/>
          <w:sz w:val="24"/>
        </w:rPr>
        <w:t>。</w:t>
      </w:r>
    </w:p>
    <w:p w14:paraId="5812832F">
      <w:pPr>
        <w:pStyle w:val="20"/>
        <w:rPr>
          <w:rFonts w:hint="eastAsia"/>
        </w:rPr>
      </w:pPr>
    </w:p>
    <w:p w14:paraId="7922A598">
      <w:pPr>
        <w:pStyle w:val="20"/>
        <w:numPr>
          <w:ilvl w:val="0"/>
          <w:numId w:val="1"/>
        </w:numPr>
      </w:pPr>
      <w:bookmarkStart w:id="1" w:name="_Toc9951"/>
      <w:r>
        <w:t>采购内容</w:t>
      </w:r>
      <w:r>
        <w:rPr>
          <w:rFonts w:hint="eastAsia"/>
        </w:rPr>
        <w:t>及</w:t>
      </w:r>
      <w:r>
        <w:t>需求</w:t>
      </w:r>
      <w:bookmarkEnd w:id="1"/>
    </w:p>
    <w:p w14:paraId="5EE0B97A">
      <w:pPr>
        <w:numPr>
          <w:ilvl w:val="0"/>
          <w:numId w:val="0"/>
        </w:numPr>
      </w:pPr>
    </w:p>
    <w:p w14:paraId="25DF4EBE">
      <w:pPr>
        <w:pStyle w:val="4"/>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项目概况</w:t>
      </w:r>
    </w:p>
    <w:p w14:paraId="2B36927C">
      <w:pPr>
        <w:spacing w:line="360" w:lineRule="auto"/>
        <w:ind w:firstLine="424" w:firstLineChars="202"/>
        <w:rPr>
          <w:rFonts w:hint="eastAsia"/>
          <w:color w:val="auto"/>
          <w:lang w:val="en-US" w:eastAsia="zh-CN"/>
        </w:rPr>
      </w:pPr>
      <w:r>
        <w:rPr>
          <w:rFonts w:hint="eastAsia"/>
          <w:color w:val="auto"/>
          <w:lang w:val="en-US" w:eastAsia="zh-CN"/>
        </w:rPr>
        <w:t>湖滨院区后勤安全智能运维平台采用B/S架构、云端部署，是医院后勤基础设施智能安全运维的核心系统。平台覆盖配电、给排水、锅炉等关键设备及配电房、水泵房等重点场所，可对电压、水压、液位、温度等关键参数进行24小时实时监测、数据统计与异常智能报警，精准排查安全隐患。项目服务可替代传统人工粗放管理，实现后勤运维数字化、标准化，提升故障处置效率、降低设备故障率，同时优化资源配置、减少人力损耗，有效节约管理成本，筑牢院区后勤安全保障防线。</w:t>
      </w:r>
    </w:p>
    <w:p w14:paraId="6E65E0CE">
      <w:pPr>
        <w:pStyle w:val="4"/>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项目内容</w:t>
      </w:r>
    </w:p>
    <w:tbl>
      <w:tblPr>
        <w:tblStyle w:val="22"/>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211"/>
        <w:gridCol w:w="5582"/>
      </w:tblGrid>
      <w:tr w14:paraId="5C2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2" w:type="pct"/>
            <w:vAlign w:val="center"/>
          </w:tcPr>
          <w:p w14:paraId="22F97B83">
            <w:pPr>
              <w:spacing w:line="440" w:lineRule="exact"/>
              <w:jc w:val="center"/>
              <w:rPr>
                <w:rFonts w:ascii="宋体" w:hAnsi="宋体" w:cs="宋体"/>
                <w:b/>
                <w:bCs/>
                <w:szCs w:val="21"/>
              </w:rPr>
            </w:pPr>
            <w:r>
              <w:rPr>
                <w:rFonts w:hint="eastAsia" w:ascii="宋体" w:hAnsi="宋体" w:cs="宋体"/>
                <w:b/>
                <w:bCs/>
                <w:szCs w:val="21"/>
              </w:rPr>
              <w:t>序号</w:t>
            </w:r>
          </w:p>
        </w:tc>
        <w:tc>
          <w:tcPr>
            <w:tcW w:w="1242" w:type="pct"/>
            <w:vAlign w:val="center"/>
          </w:tcPr>
          <w:p w14:paraId="5CEA8A91">
            <w:pPr>
              <w:spacing w:line="440" w:lineRule="exact"/>
              <w:jc w:val="center"/>
              <w:rPr>
                <w:rFonts w:ascii="宋体" w:hAnsi="宋体" w:cs="宋体"/>
                <w:b/>
                <w:bCs/>
                <w:szCs w:val="21"/>
              </w:rPr>
            </w:pPr>
            <w:r>
              <w:rPr>
                <w:rFonts w:hint="eastAsia" w:ascii="宋体" w:hAnsi="宋体" w:cs="宋体"/>
                <w:b/>
                <w:bCs/>
                <w:szCs w:val="21"/>
              </w:rPr>
              <w:t>内容</w:t>
            </w:r>
          </w:p>
        </w:tc>
        <w:tc>
          <w:tcPr>
            <w:tcW w:w="3135" w:type="pct"/>
            <w:vAlign w:val="center"/>
          </w:tcPr>
          <w:p w14:paraId="1751531B">
            <w:pPr>
              <w:spacing w:line="440" w:lineRule="exact"/>
              <w:jc w:val="center"/>
              <w:rPr>
                <w:rFonts w:ascii="宋体" w:hAnsi="宋体" w:cs="宋体"/>
                <w:b/>
                <w:bCs/>
                <w:szCs w:val="21"/>
              </w:rPr>
            </w:pPr>
            <w:r>
              <w:rPr>
                <w:rFonts w:hint="eastAsia" w:ascii="宋体" w:hAnsi="宋体" w:cs="宋体"/>
                <w:b/>
                <w:bCs/>
                <w:szCs w:val="21"/>
              </w:rPr>
              <w:t>说明</w:t>
            </w:r>
          </w:p>
        </w:tc>
      </w:tr>
      <w:tr w14:paraId="687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22" w:type="pct"/>
            <w:vAlign w:val="center"/>
          </w:tcPr>
          <w:p w14:paraId="1A0A47F5">
            <w:pPr>
              <w:spacing w:line="440" w:lineRule="exact"/>
              <w:jc w:val="center"/>
              <w:rPr>
                <w:rFonts w:ascii="宋体" w:hAnsi="宋体" w:cs="宋体"/>
                <w:szCs w:val="21"/>
              </w:rPr>
            </w:pPr>
            <w:r>
              <w:rPr>
                <w:rFonts w:hint="eastAsia" w:ascii="宋体" w:hAnsi="宋体" w:cs="宋体"/>
                <w:kern w:val="0"/>
                <w:szCs w:val="21"/>
              </w:rPr>
              <w:t>1</w:t>
            </w:r>
          </w:p>
        </w:tc>
        <w:tc>
          <w:tcPr>
            <w:tcW w:w="1242" w:type="pct"/>
            <w:vAlign w:val="center"/>
          </w:tcPr>
          <w:p w14:paraId="2BDAC6E3">
            <w:pPr>
              <w:widowControl/>
              <w:spacing w:line="440" w:lineRule="exact"/>
              <w:rPr>
                <w:rFonts w:hint="default" w:ascii="宋体" w:hAnsi="宋体" w:eastAsia="宋体" w:cs="宋体"/>
                <w:color w:val="auto"/>
                <w:szCs w:val="21"/>
                <w:lang w:val="en-US" w:eastAsia="zh-CN"/>
              </w:rPr>
            </w:pPr>
            <w:r>
              <w:rPr>
                <w:rFonts w:hint="eastAsia" w:ascii="宋体" w:hAnsi="宋体" w:eastAsia="宋体" w:cs="宋体"/>
                <w:b w:val="0"/>
                <w:bCs w:val="0"/>
                <w:color w:val="auto"/>
                <w:kern w:val="0"/>
                <w:sz w:val="24"/>
                <w:szCs w:val="24"/>
                <w:lang w:val="en-US" w:eastAsia="zh-CN" w:bidi="ar"/>
              </w:rPr>
              <w:t>湖滨院区后勤安全智能运维平台维护服务</w:t>
            </w:r>
          </w:p>
        </w:tc>
        <w:tc>
          <w:tcPr>
            <w:tcW w:w="3135" w:type="pct"/>
            <w:vAlign w:val="center"/>
          </w:tcPr>
          <w:p w14:paraId="7E737DB5">
            <w:pPr>
              <w:keepNext w:val="0"/>
              <w:keepLines w:val="0"/>
              <w:widowControl/>
              <w:suppressLineNumbers w:val="0"/>
              <w:ind w:firstLine="480" w:firstLineChars="200"/>
              <w:jc w:val="left"/>
              <w:rPr>
                <w:rFonts w:hint="eastAsia" w:ascii="宋体" w:hAnsi="宋体" w:eastAsia="宋体" w:cs="宋体"/>
                <w:color w:val="auto"/>
                <w:szCs w:val="21"/>
                <w:lang w:val="en-US" w:eastAsia="zh-CN"/>
              </w:rPr>
            </w:pPr>
            <w:r>
              <w:rPr>
                <w:rFonts w:ascii="宋体" w:hAnsi="宋体" w:eastAsia="宋体" w:cs="宋体"/>
                <w:b w:val="0"/>
                <w:bCs w:val="0"/>
                <w:color w:val="auto"/>
                <w:kern w:val="0"/>
                <w:sz w:val="24"/>
                <w:szCs w:val="24"/>
                <w:lang w:val="en-US" w:eastAsia="zh-CN" w:bidi="ar"/>
              </w:rPr>
              <w:t>为我</w:t>
            </w:r>
            <w:r>
              <w:rPr>
                <w:rFonts w:hint="eastAsia" w:ascii="宋体" w:hAnsi="宋体" w:eastAsia="宋体" w:cs="宋体"/>
                <w:b w:val="0"/>
                <w:bCs w:val="0"/>
                <w:color w:val="auto"/>
                <w:kern w:val="0"/>
                <w:sz w:val="24"/>
                <w:szCs w:val="24"/>
                <w:lang w:val="en-US" w:eastAsia="zh-CN" w:bidi="ar"/>
              </w:rPr>
              <w:t>院</w:t>
            </w:r>
            <w:r>
              <w:rPr>
                <w:rFonts w:ascii="宋体" w:hAnsi="宋体" w:eastAsia="宋体" w:cs="宋体"/>
                <w:b w:val="0"/>
                <w:bCs w:val="0"/>
                <w:color w:val="auto"/>
                <w:kern w:val="0"/>
                <w:sz w:val="24"/>
                <w:szCs w:val="24"/>
                <w:lang w:val="en-US" w:eastAsia="zh-CN" w:bidi="ar"/>
              </w:rPr>
              <w:t>湖滨院区提供为期1年的后勤安全智能运维平台</w:t>
            </w:r>
            <w:r>
              <w:rPr>
                <w:rFonts w:hint="eastAsia" w:ascii="宋体" w:hAnsi="宋体" w:cs="宋体"/>
                <w:b w:val="0"/>
                <w:bCs w:val="0"/>
                <w:color w:val="auto"/>
                <w:kern w:val="0"/>
                <w:sz w:val="24"/>
                <w:szCs w:val="24"/>
                <w:lang w:val="en-US" w:eastAsia="zh-CN" w:bidi="ar"/>
              </w:rPr>
              <w:t>维护</w:t>
            </w:r>
            <w:r>
              <w:rPr>
                <w:rFonts w:ascii="宋体" w:hAnsi="宋体" w:eastAsia="宋体" w:cs="宋体"/>
                <w:b w:val="0"/>
                <w:bCs w:val="0"/>
                <w:color w:val="auto"/>
                <w:kern w:val="0"/>
                <w:sz w:val="24"/>
                <w:szCs w:val="24"/>
                <w:lang w:val="en-US" w:eastAsia="zh-CN" w:bidi="ar"/>
              </w:rPr>
              <w:t>服务。</w:t>
            </w:r>
            <w:r>
              <w:rPr>
                <w:rStyle w:val="25"/>
                <w:rFonts w:ascii="宋体" w:hAnsi="宋体" w:eastAsia="宋体" w:cs="宋体"/>
                <w:b w:val="0"/>
                <w:bCs w:val="0"/>
                <w:color w:val="auto"/>
                <w:kern w:val="0"/>
                <w:sz w:val="24"/>
                <w:szCs w:val="24"/>
                <w:lang w:val="en-US" w:eastAsia="zh-CN" w:bidi="ar"/>
              </w:rPr>
              <w:t>服务范围涵盖：云端资源服务</w:t>
            </w:r>
            <w:r>
              <w:rPr>
                <w:rFonts w:hint="eastAsia" w:ascii="宋体" w:hAnsi="宋体" w:cs="宋体"/>
                <w:b w:val="0"/>
                <w:bCs w:val="0"/>
                <w:color w:val="auto"/>
                <w:kern w:val="0"/>
                <w:sz w:val="24"/>
                <w:szCs w:val="24"/>
                <w:lang w:val="en-US" w:eastAsia="zh-CN" w:bidi="ar"/>
              </w:rPr>
              <w:t>、</w:t>
            </w:r>
            <w:r>
              <w:rPr>
                <w:rStyle w:val="25"/>
                <w:rFonts w:ascii="宋体" w:hAnsi="宋体" w:eastAsia="宋体" w:cs="宋体"/>
                <w:b w:val="0"/>
                <w:bCs w:val="0"/>
                <w:color w:val="auto"/>
                <w:kern w:val="0"/>
                <w:sz w:val="24"/>
                <w:szCs w:val="24"/>
                <w:lang w:val="en-US" w:eastAsia="zh-CN" w:bidi="ar"/>
              </w:rPr>
              <w:t>通信与报警服务</w:t>
            </w:r>
            <w:r>
              <w:rPr>
                <w:rFonts w:hint="eastAsia" w:ascii="宋体" w:hAnsi="宋体" w:cs="宋体"/>
                <w:b w:val="0"/>
                <w:bCs w:val="0"/>
                <w:color w:val="auto"/>
                <w:kern w:val="0"/>
                <w:sz w:val="24"/>
                <w:szCs w:val="24"/>
                <w:lang w:val="en-US" w:eastAsia="zh-CN" w:bidi="ar"/>
              </w:rPr>
              <w:t>、</w:t>
            </w:r>
            <w:r>
              <w:rPr>
                <w:rStyle w:val="25"/>
                <w:rFonts w:ascii="宋体" w:hAnsi="宋体" w:eastAsia="宋体" w:cs="宋体"/>
                <w:b w:val="0"/>
                <w:bCs w:val="0"/>
                <w:color w:val="auto"/>
                <w:kern w:val="0"/>
                <w:sz w:val="24"/>
                <w:szCs w:val="24"/>
                <w:lang w:val="en-US" w:eastAsia="zh-CN" w:bidi="ar"/>
              </w:rPr>
              <w:t>软件系统维护</w:t>
            </w:r>
            <w:r>
              <w:rPr>
                <w:rFonts w:hint="eastAsia" w:ascii="宋体" w:hAnsi="宋体" w:cs="宋体"/>
                <w:b w:val="0"/>
                <w:bCs w:val="0"/>
                <w:color w:val="auto"/>
                <w:kern w:val="0"/>
                <w:sz w:val="24"/>
                <w:szCs w:val="24"/>
                <w:lang w:val="en-US" w:eastAsia="zh-CN" w:bidi="ar"/>
              </w:rPr>
              <w:t>、</w:t>
            </w:r>
            <w:r>
              <w:rPr>
                <w:rStyle w:val="25"/>
                <w:rFonts w:ascii="宋体" w:hAnsi="宋体" w:eastAsia="宋体" w:cs="宋体"/>
                <w:b w:val="0"/>
                <w:bCs w:val="0"/>
                <w:color w:val="auto"/>
                <w:kern w:val="0"/>
                <w:sz w:val="24"/>
                <w:szCs w:val="24"/>
                <w:lang w:val="en-US" w:eastAsia="zh-CN" w:bidi="ar"/>
              </w:rPr>
              <w:t>硬件设备</w:t>
            </w:r>
            <w:r>
              <w:rPr>
                <w:rStyle w:val="25"/>
                <w:rFonts w:hint="eastAsia" w:ascii="宋体" w:hAnsi="宋体" w:cs="宋体"/>
                <w:b w:val="0"/>
                <w:bCs w:val="0"/>
                <w:color w:val="auto"/>
                <w:kern w:val="0"/>
                <w:sz w:val="24"/>
                <w:szCs w:val="24"/>
                <w:lang w:val="en-US" w:eastAsia="zh-CN" w:bidi="ar"/>
              </w:rPr>
              <w:t>维护</w:t>
            </w:r>
            <w:r>
              <w:rPr>
                <w:rFonts w:hint="eastAsia" w:ascii="宋体" w:hAnsi="宋体" w:cs="宋体"/>
                <w:b w:val="0"/>
                <w:bCs w:val="0"/>
                <w:color w:val="auto"/>
                <w:kern w:val="0"/>
                <w:sz w:val="24"/>
                <w:szCs w:val="24"/>
                <w:lang w:val="en-US" w:eastAsia="zh-CN" w:bidi="ar"/>
              </w:rPr>
              <w:t>、</w:t>
            </w:r>
            <w:r>
              <w:rPr>
                <w:rStyle w:val="25"/>
                <w:rFonts w:ascii="宋体" w:hAnsi="宋体" w:eastAsia="宋体" w:cs="宋体"/>
                <w:b w:val="0"/>
                <w:bCs w:val="0"/>
                <w:color w:val="auto"/>
                <w:kern w:val="0"/>
                <w:sz w:val="24"/>
                <w:szCs w:val="24"/>
                <w:lang w:val="en-US" w:eastAsia="zh-CN" w:bidi="ar"/>
              </w:rPr>
              <w:t>技术支持与响应</w:t>
            </w:r>
            <w:r>
              <w:rPr>
                <w:rFonts w:ascii="宋体" w:hAnsi="宋体" w:eastAsia="宋体" w:cs="宋体"/>
                <w:b w:val="0"/>
                <w:bCs w:val="0"/>
                <w:color w:val="auto"/>
                <w:kern w:val="0"/>
                <w:sz w:val="24"/>
                <w:szCs w:val="24"/>
                <w:lang w:val="en-US" w:eastAsia="zh-CN" w:bidi="ar"/>
              </w:rPr>
              <w:t>。</w:t>
            </w:r>
          </w:p>
        </w:tc>
      </w:tr>
    </w:tbl>
    <w:p w14:paraId="67D4DA30">
      <w:pPr>
        <w:pStyle w:val="4"/>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技术要求</w:t>
      </w:r>
    </w:p>
    <w:p w14:paraId="735850C4">
      <w:pPr>
        <w:pStyle w:val="33"/>
        <w:numPr>
          <w:ilvl w:val="0"/>
          <w:numId w:val="3"/>
        </w:numPr>
        <w:spacing w:line="440" w:lineRule="exact"/>
        <w:ind w:firstLineChars="0"/>
        <w:outlineLvl w:val="1"/>
        <w:rPr>
          <w:rFonts w:ascii="宋体" w:hAnsi="宋体" w:cs="宋体"/>
          <w:b/>
          <w:color w:val="auto"/>
          <w:szCs w:val="21"/>
        </w:rPr>
      </w:pPr>
      <w:r>
        <w:rPr>
          <w:rFonts w:hint="eastAsia" w:ascii="宋体" w:hAnsi="宋体" w:cs="宋体"/>
          <w:b/>
          <w:color w:val="auto"/>
          <w:szCs w:val="21"/>
        </w:rPr>
        <w:t>总体要求</w:t>
      </w:r>
    </w:p>
    <w:p w14:paraId="1A7E1AF8">
      <w:pPr>
        <w:keepNext w:val="0"/>
        <w:keepLines w:val="0"/>
        <w:widowControl/>
        <w:suppressLineNumbers w:val="0"/>
        <w:ind w:firstLine="480" w:firstLineChars="200"/>
        <w:jc w:val="left"/>
        <w:rPr>
          <w:color w:val="auto"/>
        </w:rPr>
      </w:pPr>
      <w:r>
        <w:rPr>
          <w:rFonts w:ascii="宋体" w:hAnsi="宋体" w:eastAsia="宋体" w:cs="宋体"/>
          <w:color w:val="auto"/>
          <w:kern w:val="0"/>
          <w:sz w:val="24"/>
          <w:szCs w:val="24"/>
          <w:lang w:val="en-US" w:eastAsia="zh-CN" w:bidi="ar"/>
        </w:rPr>
        <w:t>需保证</w:t>
      </w:r>
      <w:r>
        <w:rPr>
          <w:rFonts w:hint="eastAsia" w:ascii="宋体" w:hAnsi="宋体" w:cs="宋体"/>
          <w:color w:val="auto"/>
          <w:kern w:val="0"/>
          <w:sz w:val="24"/>
          <w:szCs w:val="24"/>
          <w:lang w:val="en-US" w:eastAsia="zh-CN" w:bidi="ar"/>
        </w:rPr>
        <w:t>软件运维</w:t>
      </w:r>
      <w:r>
        <w:rPr>
          <w:rFonts w:ascii="宋体" w:hAnsi="宋体" w:eastAsia="宋体" w:cs="宋体"/>
          <w:color w:val="auto"/>
          <w:kern w:val="0"/>
          <w:sz w:val="24"/>
          <w:szCs w:val="24"/>
          <w:lang w:val="en-US" w:eastAsia="zh-CN" w:bidi="ar"/>
        </w:rPr>
        <w:t>系统可用性、可维护性、可扩展性；硬件设备需与现有平台兼容，支持远程配置与监控。</w:t>
      </w:r>
    </w:p>
    <w:p w14:paraId="3FD9C207">
      <w:pPr>
        <w:pStyle w:val="33"/>
        <w:numPr>
          <w:ilvl w:val="0"/>
          <w:numId w:val="3"/>
        </w:numPr>
        <w:spacing w:line="440" w:lineRule="exact"/>
        <w:ind w:firstLineChars="0"/>
        <w:outlineLvl w:val="1"/>
        <w:rPr>
          <w:rFonts w:ascii="宋体" w:hAnsi="宋体" w:cs="宋体"/>
          <w:b/>
          <w:color w:val="auto"/>
          <w:szCs w:val="21"/>
        </w:rPr>
      </w:pPr>
      <w:r>
        <w:rPr>
          <w:rFonts w:hint="eastAsia" w:ascii="宋体" w:hAnsi="宋体" w:cs="宋体"/>
          <w:b/>
          <w:color w:val="auto"/>
          <w:szCs w:val="21"/>
          <w:lang w:val="en-US" w:eastAsia="zh-CN"/>
        </w:rPr>
        <w:t>维保服务要求</w:t>
      </w:r>
    </w:p>
    <w:tbl>
      <w:tblPr>
        <w:tblStyle w:val="22"/>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120"/>
        <w:gridCol w:w="5557"/>
      </w:tblGrid>
      <w:tr w14:paraId="2BE6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shd w:val="clear" w:color="auto" w:fill="auto"/>
            <w:vAlign w:val="center"/>
          </w:tcPr>
          <w:p w14:paraId="379A6193">
            <w:pPr>
              <w:spacing w:line="440" w:lineRule="exact"/>
              <w:jc w:val="center"/>
              <w:rPr>
                <w:rFonts w:ascii="宋体" w:hAnsi="宋体" w:eastAsia="宋体" w:cs="宋体"/>
                <w:b/>
                <w:bCs/>
                <w:kern w:val="2"/>
                <w:sz w:val="21"/>
                <w:szCs w:val="21"/>
                <w:lang w:val="en-US" w:eastAsia="zh-CN" w:bidi="ar-SA"/>
              </w:rPr>
            </w:pPr>
            <w:r>
              <w:rPr>
                <w:rFonts w:hint="eastAsia" w:ascii="宋体" w:hAnsi="宋体" w:cs="宋体"/>
                <w:b/>
                <w:bCs/>
                <w:szCs w:val="21"/>
              </w:rPr>
              <w:t>序号</w:t>
            </w:r>
          </w:p>
        </w:tc>
        <w:tc>
          <w:tcPr>
            <w:tcW w:w="1227" w:type="pct"/>
            <w:vAlign w:val="center"/>
          </w:tcPr>
          <w:p w14:paraId="49F5D975">
            <w:pPr>
              <w:spacing w:line="440" w:lineRule="exact"/>
              <w:jc w:val="center"/>
              <w:rPr>
                <w:rFonts w:hint="default" w:ascii="宋体" w:hAnsi="宋体" w:eastAsia="宋体" w:cs="宋体"/>
                <w:b/>
                <w:bCs/>
                <w:i/>
                <w:color w:val="FF0000"/>
                <w:szCs w:val="21"/>
                <w:lang w:val="en-US" w:eastAsia="zh-CN"/>
              </w:rPr>
            </w:pPr>
            <w:r>
              <w:rPr>
                <w:rFonts w:hint="eastAsia" w:ascii="宋体" w:hAnsi="宋体" w:cs="宋体"/>
                <w:b/>
                <w:bCs/>
                <w:i w:val="0"/>
                <w:iCs/>
                <w:color w:val="000000" w:themeColor="text1"/>
                <w:szCs w:val="21"/>
                <w:lang w:val="en-US" w:eastAsia="zh-CN"/>
              </w:rPr>
              <w:t>服务内容</w:t>
            </w:r>
          </w:p>
        </w:tc>
        <w:tc>
          <w:tcPr>
            <w:tcW w:w="3216" w:type="pct"/>
            <w:vAlign w:val="center"/>
          </w:tcPr>
          <w:p w14:paraId="5264E863">
            <w:pPr>
              <w:spacing w:line="440" w:lineRule="exact"/>
              <w:jc w:val="center"/>
              <w:rPr>
                <w:rFonts w:hint="default" w:ascii="宋体" w:hAnsi="宋体" w:cs="宋体"/>
                <w:b/>
                <w:bCs/>
                <w:i w:val="0"/>
                <w:iCs/>
                <w:color w:val="000000" w:themeColor="text1"/>
                <w:szCs w:val="21"/>
                <w:lang w:val="en-US" w:eastAsia="zh-CN"/>
              </w:rPr>
            </w:pPr>
            <w:r>
              <w:rPr>
                <w:rFonts w:hint="eastAsia" w:ascii="宋体" w:hAnsi="宋体" w:cs="宋体"/>
                <w:b/>
                <w:bCs/>
                <w:i w:val="0"/>
                <w:iCs/>
                <w:color w:val="000000" w:themeColor="text1"/>
                <w:szCs w:val="21"/>
                <w:lang w:val="en-US" w:eastAsia="zh-CN"/>
              </w:rPr>
              <w:t>服务要求</w:t>
            </w:r>
          </w:p>
        </w:tc>
      </w:tr>
      <w:tr w14:paraId="3716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14:paraId="2AAC593B">
            <w:pPr>
              <w:pStyle w:val="33"/>
              <w:numPr>
                <w:ilvl w:val="0"/>
                <w:numId w:val="0"/>
              </w:numPr>
              <w:spacing w:line="440" w:lineRule="exact"/>
              <w:ind w:leftChars="0"/>
              <w:jc w:val="both"/>
              <w:rPr>
                <w:rFonts w:hint="eastAsia" w:ascii="宋体" w:hAnsi="宋体" w:eastAsia="宋体" w:cs="宋体"/>
                <w:b/>
                <w:bCs/>
                <w:szCs w:val="21"/>
                <w:lang w:val="en-US" w:eastAsia="zh-CN"/>
              </w:rPr>
            </w:pPr>
            <w:r>
              <w:rPr>
                <w:rFonts w:hint="eastAsia" w:ascii="宋体" w:hAnsi="宋体" w:cs="宋体"/>
                <w:b/>
                <w:bCs/>
                <w:szCs w:val="21"/>
                <w:lang w:val="en-US" w:eastAsia="zh-CN"/>
              </w:rPr>
              <w:t>1</w:t>
            </w:r>
          </w:p>
        </w:tc>
        <w:tc>
          <w:tcPr>
            <w:tcW w:w="1227" w:type="pct"/>
            <w:vAlign w:val="center"/>
          </w:tcPr>
          <w:p w14:paraId="0A1615E7">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rPr>
              <w:t>云端资源服务</w:t>
            </w:r>
          </w:p>
        </w:tc>
        <w:tc>
          <w:tcPr>
            <w:tcW w:w="3216" w:type="pct"/>
            <w:vAlign w:val="center"/>
          </w:tcPr>
          <w:p w14:paraId="157BB0D1">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rPr>
              <w:t>华为云端服务器租赁（含公网域名及带宽）、云服务器空间管理与扩容</w:t>
            </w:r>
          </w:p>
        </w:tc>
      </w:tr>
      <w:tr w14:paraId="6176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14:paraId="3527E92B">
            <w:pPr>
              <w:pStyle w:val="33"/>
              <w:numPr>
                <w:ilvl w:val="0"/>
                <w:numId w:val="0"/>
              </w:numPr>
              <w:spacing w:line="440" w:lineRule="exact"/>
              <w:ind w:leftChars="0"/>
              <w:jc w:val="both"/>
              <w:rPr>
                <w:rFonts w:hint="eastAsia" w:ascii="宋体" w:hAnsi="宋体" w:eastAsia="宋体" w:cs="宋体"/>
                <w:b/>
                <w:bCs/>
                <w:szCs w:val="21"/>
                <w:lang w:val="en-US" w:eastAsia="zh-CN"/>
              </w:rPr>
            </w:pPr>
            <w:r>
              <w:rPr>
                <w:rFonts w:hint="eastAsia" w:ascii="宋体" w:hAnsi="宋体" w:cs="宋体"/>
                <w:b/>
                <w:bCs/>
                <w:szCs w:val="21"/>
                <w:lang w:val="en-US" w:eastAsia="zh-CN"/>
              </w:rPr>
              <w:t>2</w:t>
            </w:r>
          </w:p>
        </w:tc>
        <w:tc>
          <w:tcPr>
            <w:tcW w:w="1227" w:type="pct"/>
            <w:vAlign w:val="center"/>
          </w:tcPr>
          <w:p w14:paraId="28790B61">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rPr>
              <w:t>通信与报警服务</w:t>
            </w:r>
          </w:p>
        </w:tc>
        <w:tc>
          <w:tcPr>
            <w:tcW w:w="3216" w:type="pct"/>
            <w:vAlign w:val="center"/>
          </w:tcPr>
          <w:p w14:paraId="7DF9389D">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rPr>
              <w:t>提供平台短信/语音报警信息包、物联网卡流量费、网关信息管理，保障报警及数据传输</w:t>
            </w:r>
          </w:p>
        </w:tc>
      </w:tr>
      <w:tr w14:paraId="4A20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14:paraId="1F1B59A3">
            <w:pPr>
              <w:pStyle w:val="33"/>
              <w:widowControl w:val="0"/>
              <w:numPr>
                <w:ilvl w:val="0"/>
                <w:numId w:val="0"/>
              </w:numPr>
              <w:spacing w:line="440" w:lineRule="exact"/>
              <w:jc w:val="both"/>
              <w:rPr>
                <w:rFonts w:hint="eastAsia" w:ascii="宋体" w:hAnsi="宋体" w:eastAsia="宋体" w:cs="宋体"/>
                <w:b/>
                <w:bCs/>
                <w:szCs w:val="21"/>
                <w:lang w:val="en-US" w:eastAsia="zh-CN"/>
              </w:rPr>
            </w:pPr>
            <w:r>
              <w:rPr>
                <w:rFonts w:hint="eastAsia" w:ascii="宋体" w:hAnsi="宋体" w:cs="宋体"/>
                <w:b/>
                <w:bCs/>
                <w:szCs w:val="21"/>
                <w:lang w:val="en-US" w:eastAsia="zh-CN"/>
              </w:rPr>
              <w:t>3</w:t>
            </w:r>
          </w:p>
        </w:tc>
        <w:tc>
          <w:tcPr>
            <w:tcW w:w="1227" w:type="pct"/>
            <w:vAlign w:val="center"/>
          </w:tcPr>
          <w:p w14:paraId="0449B38B">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rPr>
              <w:t>软件系统维护</w:t>
            </w:r>
          </w:p>
        </w:tc>
        <w:tc>
          <w:tcPr>
            <w:tcW w:w="3216" w:type="pct"/>
            <w:vAlign w:val="center"/>
          </w:tcPr>
          <w:p w14:paraId="3F2F5C4E">
            <w:pPr>
              <w:spacing w:line="440" w:lineRule="exact"/>
              <w:jc w:val="both"/>
              <w:rPr>
                <w:rFonts w:hint="eastAsia" w:ascii="宋体" w:hAnsi="宋体" w:cs="宋体"/>
                <w:bCs/>
                <w:i w:val="0"/>
                <w:iCs/>
                <w:color w:val="auto"/>
                <w:szCs w:val="21"/>
              </w:rPr>
            </w:pPr>
            <w:r>
              <w:rPr>
                <w:rFonts w:hint="eastAsia" w:ascii="宋体" w:hAnsi="宋体" w:cs="宋体"/>
                <w:bCs/>
                <w:i w:val="0"/>
                <w:iCs/>
                <w:color w:val="auto"/>
                <w:szCs w:val="21"/>
                <w:lang w:val="en-US" w:eastAsia="zh-CN"/>
              </w:rPr>
              <w:t>对B/S架构平台进行系统框架/数据库/接口升级、表单/功能优化、数据（报警、设备档案、工单、日志）维护及新需求开发评估</w:t>
            </w:r>
          </w:p>
        </w:tc>
      </w:tr>
      <w:tr w14:paraId="2A0A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pct"/>
            <w:vAlign w:val="center"/>
          </w:tcPr>
          <w:p w14:paraId="67FB5BDE">
            <w:pPr>
              <w:spacing w:line="440" w:lineRule="exact"/>
              <w:jc w:val="both"/>
              <w:rPr>
                <w:rFonts w:hint="eastAsia" w:ascii="宋体" w:hAnsi="宋体" w:eastAsia="宋体" w:cs="宋体"/>
                <w:b/>
                <w:bCs/>
                <w:szCs w:val="21"/>
                <w:lang w:val="en-US" w:eastAsia="zh-CN"/>
              </w:rPr>
            </w:pPr>
            <w:r>
              <w:rPr>
                <w:rFonts w:hint="eastAsia" w:ascii="宋体" w:hAnsi="宋体" w:cs="宋体"/>
                <w:b/>
                <w:bCs/>
                <w:szCs w:val="21"/>
                <w:lang w:val="en-US" w:eastAsia="zh-CN"/>
              </w:rPr>
              <w:t>4</w:t>
            </w:r>
          </w:p>
        </w:tc>
        <w:tc>
          <w:tcPr>
            <w:tcW w:w="1227" w:type="pct"/>
            <w:vAlign w:val="center"/>
          </w:tcPr>
          <w:p w14:paraId="22E9EBBB">
            <w:pPr>
              <w:spacing w:line="440" w:lineRule="exact"/>
              <w:jc w:val="both"/>
              <w:rPr>
                <w:rFonts w:hint="default" w:ascii="宋体" w:hAnsi="宋体" w:cs="宋体"/>
                <w:bCs/>
                <w:i w:val="0"/>
                <w:iCs/>
                <w:color w:val="auto"/>
                <w:szCs w:val="21"/>
                <w:lang w:val="en-US"/>
              </w:rPr>
            </w:pPr>
            <w:r>
              <w:rPr>
                <w:rFonts w:hint="eastAsia" w:ascii="宋体" w:hAnsi="宋体" w:cs="宋体"/>
                <w:bCs/>
                <w:i w:val="0"/>
                <w:iCs/>
                <w:color w:val="auto"/>
                <w:szCs w:val="21"/>
                <w:lang w:val="en-US" w:eastAsia="zh-CN"/>
              </w:rPr>
              <w:t>硬件设备维护</w:t>
            </w:r>
          </w:p>
        </w:tc>
        <w:tc>
          <w:tcPr>
            <w:tcW w:w="3216" w:type="pct"/>
            <w:vAlign w:val="center"/>
          </w:tcPr>
          <w:p w14:paraId="37A0412F">
            <w:pPr>
              <w:spacing w:line="440" w:lineRule="exact"/>
              <w:jc w:val="both"/>
              <w:rPr>
                <w:rFonts w:hint="default" w:ascii="宋体" w:hAnsi="宋体" w:cs="宋体"/>
                <w:bCs/>
                <w:i w:val="0"/>
                <w:iCs/>
                <w:color w:val="auto"/>
                <w:szCs w:val="21"/>
                <w:lang w:val="en-US"/>
              </w:rPr>
            </w:pPr>
            <w:r>
              <w:rPr>
                <w:rFonts w:hint="eastAsia" w:ascii="宋体" w:hAnsi="宋体" w:cs="宋体"/>
                <w:bCs/>
                <w:i w:val="0"/>
                <w:iCs/>
                <w:color w:val="auto"/>
                <w:szCs w:val="21"/>
                <w:lang w:val="en-US" w:eastAsia="zh-CN"/>
              </w:rPr>
              <w:t>对所有关联的210个硬件设备（报警控制模块、电流/电压/压力/液位变送器、网关、无线测温传感器等）提供每季度1次的现场巡检、清洁、测试、保养。对于已超出质保期的硬件产品，后续涉及到硬件更换维修，合同期内累计更换及维修费用在5000元（含）以内由投标人承担，超出部分由采购人承担（需附硬件价格清单）</w:t>
            </w:r>
          </w:p>
        </w:tc>
      </w:tr>
      <w:tr w14:paraId="6358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14:paraId="60ABB913">
            <w:pPr>
              <w:pStyle w:val="33"/>
              <w:numPr>
                <w:ilvl w:val="0"/>
                <w:numId w:val="0"/>
              </w:numPr>
              <w:spacing w:line="440" w:lineRule="exact"/>
              <w:ind w:leftChars="0"/>
              <w:jc w:val="both"/>
              <w:rPr>
                <w:rFonts w:hint="eastAsia" w:ascii="宋体" w:hAnsi="宋体" w:eastAsia="宋体" w:cs="宋体"/>
                <w:b/>
                <w:bCs/>
                <w:color w:val="auto"/>
                <w:szCs w:val="21"/>
                <w:lang w:eastAsia="zh-CN"/>
              </w:rPr>
            </w:pPr>
            <w:r>
              <w:rPr>
                <w:rFonts w:hint="eastAsia" w:ascii="宋体" w:hAnsi="宋体" w:cs="宋体"/>
                <w:b/>
                <w:bCs/>
                <w:color w:val="auto"/>
                <w:szCs w:val="21"/>
                <w:lang w:val="en-US" w:eastAsia="zh-CN"/>
              </w:rPr>
              <w:t>5</w:t>
            </w:r>
          </w:p>
        </w:tc>
        <w:tc>
          <w:tcPr>
            <w:tcW w:w="1227" w:type="pct"/>
            <w:vAlign w:val="center"/>
          </w:tcPr>
          <w:p w14:paraId="0B4E36A8">
            <w:pPr>
              <w:spacing w:line="440" w:lineRule="exact"/>
              <w:jc w:val="both"/>
              <w:rPr>
                <w:rFonts w:hint="default" w:ascii="宋体" w:hAnsi="宋体" w:cs="宋体"/>
                <w:bCs/>
                <w:i w:val="0"/>
                <w:iCs/>
                <w:color w:val="auto"/>
                <w:szCs w:val="21"/>
                <w:lang w:val="en-US" w:eastAsia="zh-CN"/>
              </w:rPr>
            </w:pPr>
            <w:r>
              <w:rPr>
                <w:rFonts w:hint="eastAsia" w:ascii="宋体" w:hAnsi="宋体" w:cs="宋体"/>
                <w:bCs/>
                <w:i w:val="0"/>
                <w:iCs/>
                <w:color w:val="auto"/>
                <w:szCs w:val="21"/>
                <w:lang w:val="en-US" w:eastAsia="zh-CN"/>
              </w:rPr>
              <w:t>技术支持与响应</w:t>
            </w:r>
          </w:p>
        </w:tc>
        <w:tc>
          <w:tcPr>
            <w:tcW w:w="3216" w:type="pct"/>
            <w:vAlign w:val="center"/>
          </w:tcPr>
          <w:p w14:paraId="69AC28E8">
            <w:pPr>
              <w:spacing w:line="440" w:lineRule="exact"/>
              <w:jc w:val="both"/>
              <w:rPr>
                <w:rFonts w:hint="eastAsia" w:ascii="宋体" w:hAnsi="宋体" w:cs="宋体"/>
                <w:bCs/>
                <w:i w:val="0"/>
                <w:iCs/>
                <w:color w:val="auto"/>
                <w:szCs w:val="21"/>
                <w:lang w:val="en-US" w:eastAsia="zh-CN"/>
              </w:rPr>
            </w:pPr>
            <w:r>
              <w:rPr>
                <w:rFonts w:hint="eastAsia" w:ascii="宋体" w:hAnsi="宋体" w:cs="宋体"/>
                <w:bCs/>
                <w:i w:val="0"/>
                <w:iCs/>
                <w:color w:val="auto"/>
                <w:szCs w:val="21"/>
                <w:lang w:val="en-US" w:eastAsia="zh-CN"/>
              </w:rPr>
              <w:t>提供7×24小时远程技术支持，应急响应（必要时现场支持）及系统故障排查与修复。服务要求：为保障设备正常运行，投标方应指派具有资质的专业工程师，及时提供相应维保服务，并按季度出具运维表</w:t>
            </w:r>
          </w:p>
        </w:tc>
      </w:tr>
      <w:tr w14:paraId="7D6C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14:paraId="1410D094">
            <w:pPr>
              <w:pStyle w:val="33"/>
              <w:numPr>
                <w:ilvl w:val="0"/>
                <w:numId w:val="0"/>
              </w:numPr>
              <w:spacing w:line="440" w:lineRule="exact"/>
              <w:ind w:leftChars="0"/>
              <w:jc w:val="both"/>
              <w:rPr>
                <w:rFonts w:hint="eastAsia" w:ascii="宋体" w:hAnsi="宋体" w:cs="宋体"/>
                <w:b/>
                <w:bCs/>
                <w:szCs w:val="21"/>
                <w:lang w:val="en-US" w:eastAsia="zh-CN"/>
              </w:rPr>
            </w:pPr>
          </w:p>
        </w:tc>
        <w:tc>
          <w:tcPr>
            <w:tcW w:w="1227" w:type="pct"/>
            <w:vAlign w:val="center"/>
          </w:tcPr>
          <w:p w14:paraId="54E6DEA7">
            <w:pPr>
              <w:spacing w:line="440" w:lineRule="exact"/>
              <w:jc w:val="both"/>
              <w:rPr>
                <w:rFonts w:hint="eastAsia" w:ascii="宋体" w:hAnsi="宋体" w:cs="宋体"/>
                <w:bCs/>
                <w:i w:val="0"/>
                <w:iCs/>
                <w:color w:val="FF0000"/>
                <w:szCs w:val="21"/>
                <w:lang w:val="en-US" w:eastAsia="zh-CN"/>
              </w:rPr>
            </w:pPr>
          </w:p>
        </w:tc>
        <w:tc>
          <w:tcPr>
            <w:tcW w:w="3216" w:type="pct"/>
            <w:vAlign w:val="center"/>
          </w:tcPr>
          <w:p w14:paraId="501EBDD0">
            <w:pPr>
              <w:spacing w:line="440" w:lineRule="exact"/>
              <w:jc w:val="both"/>
              <w:rPr>
                <w:rFonts w:hint="eastAsia" w:ascii="宋体" w:hAnsi="宋体" w:cs="宋体"/>
                <w:bCs/>
                <w:i w:val="0"/>
                <w:iCs/>
                <w:color w:val="FF0000"/>
                <w:szCs w:val="21"/>
                <w:lang w:val="en-US" w:eastAsia="zh-CN"/>
              </w:rPr>
            </w:pPr>
          </w:p>
        </w:tc>
      </w:tr>
    </w:tbl>
    <w:p w14:paraId="3F37F288">
      <w:pPr>
        <w:spacing w:line="360" w:lineRule="auto"/>
        <w:rPr>
          <w:rFonts w:ascii="宋体" w:hAnsi="宋体" w:cs="宋体"/>
          <w:b/>
          <w:bCs/>
          <w:sz w:val="28"/>
          <w:szCs w:val="28"/>
        </w:rPr>
      </w:pPr>
      <w:r>
        <w:rPr>
          <w:rFonts w:hint="eastAsia" w:ascii="宋体" w:hAnsi="宋体" w:cs="宋体"/>
          <w:b/>
          <w:bCs/>
          <w:sz w:val="28"/>
          <w:szCs w:val="28"/>
          <w:lang w:val="en-US" w:eastAsia="zh-CN"/>
        </w:rPr>
        <w:t>附硬件</w:t>
      </w:r>
      <w:r>
        <w:rPr>
          <w:rFonts w:hint="eastAsia" w:ascii="宋体" w:hAnsi="宋体" w:cs="宋体"/>
          <w:b/>
          <w:bCs/>
          <w:sz w:val="28"/>
          <w:szCs w:val="28"/>
        </w:rPr>
        <w:t>维护</w:t>
      </w:r>
      <w:r>
        <w:rPr>
          <w:rFonts w:ascii="宋体" w:hAnsi="宋体" w:cs="宋体"/>
          <w:b/>
          <w:bCs/>
          <w:sz w:val="28"/>
          <w:szCs w:val="28"/>
        </w:rPr>
        <w:t>清单</w:t>
      </w:r>
      <w:r>
        <w:rPr>
          <w:rFonts w:hint="eastAsia" w:ascii="宋体" w:hAnsi="宋体" w:cs="宋体"/>
          <w:b/>
          <w:bCs/>
          <w:sz w:val="28"/>
          <w:szCs w:val="28"/>
        </w:rPr>
        <w:t>：</w:t>
      </w:r>
    </w:p>
    <w:tbl>
      <w:tblPr>
        <w:tblStyle w:val="22"/>
        <w:tblW w:w="8641"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743"/>
        <w:gridCol w:w="704"/>
        <w:gridCol w:w="704"/>
        <w:gridCol w:w="4824"/>
      </w:tblGrid>
      <w:tr w14:paraId="39A4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20F24D1D">
            <w:pPr>
              <w:spacing w:line="44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1743" w:type="dxa"/>
            <w:shd w:val="clear" w:color="auto" w:fill="auto"/>
            <w:vAlign w:val="center"/>
          </w:tcPr>
          <w:p w14:paraId="614033EE">
            <w:pPr>
              <w:spacing w:line="440" w:lineRule="exact"/>
              <w:jc w:val="center"/>
              <w:rPr>
                <w:rFonts w:hint="eastAsia" w:ascii="宋体" w:hAnsi="宋体" w:eastAsia="宋体" w:cs="宋体"/>
                <w:b/>
                <w:bCs/>
                <w:szCs w:val="21"/>
              </w:rPr>
            </w:pPr>
            <w:r>
              <w:rPr>
                <w:rFonts w:hint="eastAsia" w:ascii="宋体" w:hAnsi="宋体" w:eastAsia="宋体" w:cs="宋体"/>
                <w:b/>
                <w:bCs/>
                <w:szCs w:val="21"/>
              </w:rPr>
              <w:t>设备名称</w:t>
            </w:r>
          </w:p>
        </w:tc>
        <w:tc>
          <w:tcPr>
            <w:tcW w:w="704" w:type="dxa"/>
            <w:shd w:val="clear" w:color="auto" w:fill="auto"/>
            <w:vAlign w:val="center"/>
          </w:tcPr>
          <w:p w14:paraId="703E350F">
            <w:pPr>
              <w:spacing w:line="440" w:lineRule="exact"/>
              <w:jc w:val="center"/>
              <w:rPr>
                <w:rFonts w:hint="eastAsia" w:ascii="宋体" w:hAnsi="宋体" w:eastAsia="宋体" w:cs="宋体"/>
                <w:b/>
                <w:bCs/>
                <w:szCs w:val="21"/>
              </w:rPr>
            </w:pPr>
            <w:r>
              <w:rPr>
                <w:rFonts w:hint="eastAsia" w:ascii="宋体" w:hAnsi="宋体" w:eastAsia="宋体" w:cs="宋体"/>
                <w:b/>
                <w:bCs/>
                <w:szCs w:val="21"/>
              </w:rPr>
              <w:t>数量</w:t>
            </w:r>
          </w:p>
        </w:tc>
        <w:tc>
          <w:tcPr>
            <w:tcW w:w="704" w:type="dxa"/>
            <w:shd w:val="clear" w:color="auto" w:fill="auto"/>
            <w:vAlign w:val="center"/>
          </w:tcPr>
          <w:p w14:paraId="4813EF3B">
            <w:pPr>
              <w:spacing w:line="440" w:lineRule="exact"/>
              <w:jc w:val="center"/>
              <w:rPr>
                <w:rFonts w:hint="eastAsia" w:ascii="宋体" w:hAnsi="宋体" w:eastAsia="宋体" w:cs="宋体"/>
                <w:b/>
                <w:bCs/>
                <w:szCs w:val="21"/>
                <w:lang w:val="en-US" w:eastAsia="zh-CN"/>
              </w:rPr>
            </w:pPr>
            <w:r>
              <w:rPr>
                <w:rFonts w:hint="eastAsia" w:ascii="宋体" w:hAnsi="宋体" w:eastAsia="宋体" w:cs="宋体"/>
                <w:b/>
                <w:bCs/>
                <w:szCs w:val="21"/>
              </w:rPr>
              <w:t>单</w:t>
            </w:r>
            <w:r>
              <w:rPr>
                <w:rFonts w:hint="eastAsia" w:ascii="宋体" w:hAnsi="宋体" w:cs="宋体"/>
                <w:b/>
                <w:bCs/>
                <w:szCs w:val="21"/>
                <w:lang w:val="en-US" w:eastAsia="zh-CN"/>
              </w:rPr>
              <w:t>价</w:t>
            </w:r>
          </w:p>
        </w:tc>
        <w:tc>
          <w:tcPr>
            <w:tcW w:w="4824" w:type="dxa"/>
            <w:shd w:val="clear" w:color="auto" w:fill="auto"/>
            <w:vAlign w:val="center"/>
          </w:tcPr>
          <w:p w14:paraId="4C059950">
            <w:pPr>
              <w:spacing w:line="440" w:lineRule="exact"/>
              <w:jc w:val="center"/>
              <w:rPr>
                <w:rFonts w:hint="eastAsia" w:ascii="宋体" w:hAnsi="宋体" w:eastAsia="宋体" w:cs="宋体"/>
                <w:b/>
                <w:bCs/>
                <w:szCs w:val="21"/>
              </w:rPr>
            </w:pPr>
            <w:r>
              <w:rPr>
                <w:rFonts w:hint="eastAsia" w:ascii="宋体" w:hAnsi="宋体" w:eastAsia="宋体" w:cs="宋体"/>
                <w:b/>
                <w:bCs/>
                <w:szCs w:val="21"/>
              </w:rPr>
              <w:t>服务要求</w:t>
            </w:r>
          </w:p>
        </w:tc>
      </w:tr>
      <w:tr w14:paraId="0177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2C836848">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w:t>
            </w:r>
          </w:p>
        </w:tc>
        <w:tc>
          <w:tcPr>
            <w:tcW w:w="1743" w:type="dxa"/>
            <w:shd w:val="clear" w:color="auto" w:fill="auto"/>
            <w:vAlign w:val="center"/>
          </w:tcPr>
          <w:p w14:paraId="64FEE606">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报警控制模块</w:t>
            </w:r>
          </w:p>
        </w:tc>
        <w:tc>
          <w:tcPr>
            <w:tcW w:w="704" w:type="dxa"/>
            <w:shd w:val="clear" w:color="auto" w:fill="auto"/>
            <w:vAlign w:val="center"/>
          </w:tcPr>
          <w:p w14:paraId="1CF2812A">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28</w:t>
            </w:r>
          </w:p>
        </w:tc>
        <w:tc>
          <w:tcPr>
            <w:tcW w:w="704" w:type="dxa"/>
            <w:shd w:val="clear" w:color="auto" w:fill="auto"/>
            <w:vAlign w:val="center"/>
          </w:tcPr>
          <w:p w14:paraId="4E83C8A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6E9B5CC8">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0D774DF2">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004A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1CF4FD3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w:t>
            </w:r>
          </w:p>
        </w:tc>
        <w:tc>
          <w:tcPr>
            <w:tcW w:w="1743" w:type="dxa"/>
            <w:shd w:val="clear" w:color="auto" w:fill="auto"/>
            <w:vAlign w:val="center"/>
          </w:tcPr>
          <w:p w14:paraId="4A8DF064">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电流变送器</w:t>
            </w:r>
          </w:p>
        </w:tc>
        <w:tc>
          <w:tcPr>
            <w:tcW w:w="704" w:type="dxa"/>
            <w:shd w:val="clear" w:color="auto" w:fill="auto"/>
            <w:vAlign w:val="center"/>
          </w:tcPr>
          <w:p w14:paraId="2E471921">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29</w:t>
            </w:r>
          </w:p>
        </w:tc>
        <w:tc>
          <w:tcPr>
            <w:tcW w:w="704" w:type="dxa"/>
            <w:shd w:val="clear" w:color="auto" w:fill="auto"/>
            <w:vAlign w:val="center"/>
          </w:tcPr>
          <w:p w14:paraId="170DB7BC">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4265D9E5">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4429E04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2C35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65B2E51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3</w:t>
            </w:r>
          </w:p>
        </w:tc>
        <w:tc>
          <w:tcPr>
            <w:tcW w:w="1743" w:type="dxa"/>
            <w:shd w:val="clear" w:color="auto" w:fill="auto"/>
            <w:vAlign w:val="center"/>
          </w:tcPr>
          <w:p w14:paraId="4312D01F">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电压变送器</w:t>
            </w:r>
          </w:p>
        </w:tc>
        <w:tc>
          <w:tcPr>
            <w:tcW w:w="704" w:type="dxa"/>
            <w:shd w:val="clear" w:color="auto" w:fill="auto"/>
            <w:vAlign w:val="center"/>
          </w:tcPr>
          <w:p w14:paraId="3BA81356">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28</w:t>
            </w:r>
          </w:p>
        </w:tc>
        <w:tc>
          <w:tcPr>
            <w:tcW w:w="704" w:type="dxa"/>
            <w:shd w:val="clear" w:color="auto" w:fill="auto"/>
            <w:vAlign w:val="center"/>
          </w:tcPr>
          <w:p w14:paraId="2704C39E">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68F76428">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7575653B">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364B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7B87D176">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4</w:t>
            </w:r>
          </w:p>
        </w:tc>
        <w:tc>
          <w:tcPr>
            <w:tcW w:w="1743" w:type="dxa"/>
            <w:shd w:val="clear" w:color="auto" w:fill="auto"/>
            <w:vAlign w:val="center"/>
          </w:tcPr>
          <w:p w14:paraId="676C14FF">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网关</w:t>
            </w:r>
          </w:p>
        </w:tc>
        <w:tc>
          <w:tcPr>
            <w:tcW w:w="704" w:type="dxa"/>
            <w:shd w:val="clear" w:color="auto" w:fill="auto"/>
            <w:vAlign w:val="center"/>
          </w:tcPr>
          <w:p w14:paraId="44D71852">
            <w:pPr>
              <w:pStyle w:val="33"/>
              <w:numPr>
                <w:ilvl w:val="0"/>
                <w:numId w:val="0"/>
              </w:numPr>
              <w:spacing w:line="440" w:lineRule="exact"/>
              <w:ind w:leftChars="0"/>
              <w:jc w:val="both"/>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50</w:t>
            </w:r>
          </w:p>
        </w:tc>
        <w:tc>
          <w:tcPr>
            <w:tcW w:w="704" w:type="dxa"/>
            <w:shd w:val="clear" w:color="auto" w:fill="auto"/>
            <w:vAlign w:val="center"/>
          </w:tcPr>
          <w:p w14:paraId="4C294B10">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4DC18FBB">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检查网关运行状态，测试信号的稳定性，定期对网关进行升级。</w:t>
            </w:r>
          </w:p>
        </w:tc>
      </w:tr>
      <w:tr w14:paraId="79F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779CBA2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5</w:t>
            </w:r>
          </w:p>
        </w:tc>
        <w:tc>
          <w:tcPr>
            <w:tcW w:w="1743" w:type="dxa"/>
            <w:shd w:val="clear" w:color="auto" w:fill="auto"/>
            <w:vAlign w:val="center"/>
          </w:tcPr>
          <w:p w14:paraId="66988C2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无线测温传感器</w:t>
            </w:r>
          </w:p>
        </w:tc>
        <w:tc>
          <w:tcPr>
            <w:tcW w:w="704" w:type="dxa"/>
            <w:shd w:val="clear" w:color="auto" w:fill="auto"/>
            <w:vAlign w:val="center"/>
          </w:tcPr>
          <w:p w14:paraId="2FFE1015">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12</w:t>
            </w:r>
          </w:p>
        </w:tc>
        <w:tc>
          <w:tcPr>
            <w:tcW w:w="704" w:type="dxa"/>
            <w:shd w:val="clear" w:color="auto" w:fill="auto"/>
            <w:vAlign w:val="center"/>
          </w:tcPr>
          <w:p w14:paraId="23E883A2">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4DD514D3">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4501A5D3">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0B85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23589A80">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6</w:t>
            </w:r>
          </w:p>
        </w:tc>
        <w:tc>
          <w:tcPr>
            <w:tcW w:w="1743" w:type="dxa"/>
            <w:shd w:val="clear" w:color="auto" w:fill="auto"/>
            <w:vAlign w:val="center"/>
          </w:tcPr>
          <w:p w14:paraId="6A499A9F">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无线测温收发器</w:t>
            </w:r>
          </w:p>
        </w:tc>
        <w:tc>
          <w:tcPr>
            <w:tcW w:w="704" w:type="dxa"/>
            <w:shd w:val="clear" w:color="auto" w:fill="auto"/>
            <w:vAlign w:val="center"/>
          </w:tcPr>
          <w:p w14:paraId="777109AC">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w:t>
            </w:r>
          </w:p>
        </w:tc>
        <w:tc>
          <w:tcPr>
            <w:tcW w:w="704" w:type="dxa"/>
            <w:shd w:val="clear" w:color="auto" w:fill="auto"/>
            <w:vAlign w:val="center"/>
          </w:tcPr>
          <w:p w14:paraId="4DAF838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6B2090E2">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279A2439">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573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7B9CA0A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7</w:t>
            </w:r>
          </w:p>
        </w:tc>
        <w:tc>
          <w:tcPr>
            <w:tcW w:w="1743" w:type="dxa"/>
            <w:shd w:val="clear" w:color="auto" w:fill="auto"/>
            <w:vAlign w:val="center"/>
          </w:tcPr>
          <w:p w14:paraId="3B5C41A3">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压力变送器</w:t>
            </w:r>
          </w:p>
        </w:tc>
        <w:tc>
          <w:tcPr>
            <w:tcW w:w="704" w:type="dxa"/>
            <w:shd w:val="clear" w:color="auto" w:fill="auto"/>
            <w:vAlign w:val="center"/>
          </w:tcPr>
          <w:p w14:paraId="72906F55">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29</w:t>
            </w:r>
          </w:p>
        </w:tc>
        <w:tc>
          <w:tcPr>
            <w:tcW w:w="704" w:type="dxa"/>
            <w:shd w:val="clear" w:color="auto" w:fill="auto"/>
            <w:vAlign w:val="center"/>
          </w:tcPr>
          <w:p w14:paraId="4EF5EB2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528FD40A">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24A16018">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178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190ABB2C">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8</w:t>
            </w:r>
          </w:p>
        </w:tc>
        <w:tc>
          <w:tcPr>
            <w:tcW w:w="1743" w:type="dxa"/>
            <w:shd w:val="clear" w:color="auto" w:fill="auto"/>
            <w:vAlign w:val="center"/>
          </w:tcPr>
          <w:p w14:paraId="1187CFDA">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液位传感器</w:t>
            </w:r>
          </w:p>
        </w:tc>
        <w:tc>
          <w:tcPr>
            <w:tcW w:w="704" w:type="dxa"/>
            <w:shd w:val="clear" w:color="auto" w:fill="auto"/>
            <w:vAlign w:val="center"/>
          </w:tcPr>
          <w:p w14:paraId="3321D9E4">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9</w:t>
            </w:r>
          </w:p>
        </w:tc>
        <w:tc>
          <w:tcPr>
            <w:tcW w:w="704" w:type="dxa"/>
            <w:shd w:val="clear" w:color="auto" w:fill="auto"/>
            <w:vAlign w:val="center"/>
          </w:tcPr>
          <w:p w14:paraId="2CD7D3C8">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48B2453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511AB324">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3E4B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43875AFB">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9</w:t>
            </w:r>
          </w:p>
        </w:tc>
        <w:tc>
          <w:tcPr>
            <w:tcW w:w="1743" w:type="dxa"/>
            <w:shd w:val="clear" w:color="auto" w:fill="auto"/>
            <w:vAlign w:val="center"/>
          </w:tcPr>
          <w:p w14:paraId="5250628D">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温度传感器</w:t>
            </w:r>
          </w:p>
        </w:tc>
        <w:tc>
          <w:tcPr>
            <w:tcW w:w="704" w:type="dxa"/>
            <w:shd w:val="clear" w:color="auto" w:fill="auto"/>
            <w:vAlign w:val="center"/>
          </w:tcPr>
          <w:p w14:paraId="5A42A1E3">
            <w:pPr>
              <w:pStyle w:val="33"/>
              <w:numPr>
                <w:ilvl w:val="0"/>
                <w:numId w:val="0"/>
              </w:numPr>
              <w:spacing w:line="440" w:lineRule="exact"/>
              <w:ind w:leftChars="0"/>
              <w:jc w:val="both"/>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2</w:t>
            </w:r>
          </w:p>
        </w:tc>
        <w:tc>
          <w:tcPr>
            <w:tcW w:w="704" w:type="dxa"/>
            <w:shd w:val="clear" w:color="auto" w:fill="auto"/>
            <w:vAlign w:val="center"/>
          </w:tcPr>
          <w:p w14:paraId="13965BD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只</w:t>
            </w:r>
          </w:p>
        </w:tc>
        <w:tc>
          <w:tcPr>
            <w:tcW w:w="4824" w:type="dxa"/>
            <w:shd w:val="clear" w:color="auto" w:fill="auto"/>
            <w:vAlign w:val="center"/>
          </w:tcPr>
          <w:p w14:paraId="5ABF0AC7">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对传感器的端子接头、电源接头、电源等易造成信号丢失的配件每个季度一次进行全面检查，包括清洁配电箱、硬件设备的外部灰尘等。一旦发现老化现象应及时更换、焊接。</w:t>
            </w:r>
          </w:p>
          <w:p w14:paraId="474C5ACF">
            <w:pPr>
              <w:pStyle w:val="33"/>
              <w:numPr>
                <w:ilvl w:val="0"/>
                <w:numId w:val="0"/>
              </w:numPr>
              <w:spacing w:line="440" w:lineRule="exact"/>
              <w:ind w:leftChars="0"/>
              <w:jc w:val="both"/>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线上平台查看告警列表状态，分析告警原因，及时处理告警工单，对测点异常列表进行核对分析，及时反馈给相关研发、技术人员。</w:t>
            </w:r>
          </w:p>
        </w:tc>
      </w:tr>
      <w:tr w14:paraId="197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auto"/>
            <w:vAlign w:val="center"/>
          </w:tcPr>
          <w:p w14:paraId="3D217F4F">
            <w:pPr>
              <w:pStyle w:val="33"/>
              <w:numPr>
                <w:ilvl w:val="0"/>
                <w:numId w:val="0"/>
              </w:numPr>
              <w:spacing w:line="440" w:lineRule="exact"/>
              <w:ind w:leftChars="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743" w:type="dxa"/>
            <w:shd w:val="clear" w:color="auto" w:fill="auto"/>
            <w:vAlign w:val="center"/>
          </w:tcPr>
          <w:p w14:paraId="3AC9CADE">
            <w:pPr>
              <w:pStyle w:val="33"/>
              <w:numPr>
                <w:ilvl w:val="0"/>
                <w:numId w:val="0"/>
              </w:numPr>
              <w:spacing w:line="440" w:lineRule="exact"/>
              <w:ind w:leftChars="0"/>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rPr>
              <w:t>8路模拟量输入模块</w:t>
            </w:r>
          </w:p>
        </w:tc>
        <w:tc>
          <w:tcPr>
            <w:tcW w:w="704" w:type="dxa"/>
            <w:shd w:val="clear" w:color="auto" w:fill="auto"/>
            <w:vAlign w:val="center"/>
          </w:tcPr>
          <w:p w14:paraId="07C28B77">
            <w:pPr>
              <w:pStyle w:val="33"/>
              <w:numPr>
                <w:ilvl w:val="0"/>
                <w:numId w:val="0"/>
              </w:numPr>
              <w:spacing w:line="440" w:lineRule="exact"/>
              <w:ind w:leftChars="0"/>
              <w:jc w:val="both"/>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w:t>
            </w:r>
          </w:p>
        </w:tc>
        <w:tc>
          <w:tcPr>
            <w:tcW w:w="704" w:type="dxa"/>
            <w:shd w:val="clear" w:color="auto" w:fill="auto"/>
            <w:vAlign w:val="center"/>
          </w:tcPr>
          <w:p w14:paraId="63D910DB">
            <w:pPr>
              <w:pStyle w:val="33"/>
              <w:numPr>
                <w:ilvl w:val="0"/>
                <w:numId w:val="0"/>
              </w:numPr>
              <w:spacing w:line="440" w:lineRule="exact"/>
              <w:ind w:leftChars="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只</w:t>
            </w:r>
          </w:p>
        </w:tc>
        <w:tc>
          <w:tcPr>
            <w:tcW w:w="4824" w:type="dxa"/>
            <w:shd w:val="clear" w:color="auto" w:fill="auto"/>
            <w:vAlign w:val="center"/>
          </w:tcPr>
          <w:p w14:paraId="288D21C6">
            <w:pPr>
              <w:spacing w:line="440" w:lineRule="exact"/>
              <w:ind w:firstLine="210" w:firstLineChars="100"/>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rPr>
              <w:t>对传感器的端子接头、电源接头、电源等易造成信号丢失的配件每个季度一次进行全面检查，包括清洁配电箱、硬件设备的外部灰尘等。一旦发现老化现象应及时更换、焊接。</w:t>
            </w:r>
            <w:r>
              <w:rPr>
                <w:rFonts w:hint="eastAsia" w:ascii="宋体" w:hAnsi="宋体" w:eastAsia="宋体" w:cs="宋体"/>
                <w:color w:val="auto"/>
                <w:sz w:val="21"/>
                <w:szCs w:val="21"/>
                <w:lang w:val="en-US" w:eastAsia="zh-CN"/>
              </w:rPr>
              <w:t>各通道压值测试，校准通道量程。</w:t>
            </w:r>
          </w:p>
        </w:tc>
      </w:tr>
    </w:tbl>
    <w:p w14:paraId="5E0E7E75">
      <w:pPr>
        <w:pStyle w:val="4"/>
        <w:numPr>
          <w:ilvl w:val="0"/>
          <w:numId w:val="0"/>
        </w:numPr>
        <w:tabs>
          <w:tab w:val="left" w:pos="720"/>
          <w:tab w:val="left" w:pos="1980"/>
        </w:tabs>
        <w:spacing w:before="0" w:after="0" w:line="440" w:lineRule="exact"/>
        <w:ind w:leftChars="0"/>
        <w:outlineLvl w:val="0"/>
        <w:rPr>
          <w:rFonts w:hAnsi="宋体" w:cs="宋体"/>
          <w:sz w:val="21"/>
          <w:szCs w:val="21"/>
        </w:rPr>
      </w:pPr>
    </w:p>
    <w:p w14:paraId="34401B11">
      <w:pPr>
        <w:pStyle w:val="4"/>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项目实施与验收</w:t>
      </w:r>
    </w:p>
    <w:p w14:paraId="693E202B">
      <w:pPr>
        <w:numPr>
          <w:ilvl w:val="0"/>
          <w:numId w:val="4"/>
        </w:numPr>
        <w:spacing w:line="360" w:lineRule="auto"/>
        <w:rPr>
          <w:color w:val="auto"/>
        </w:rPr>
      </w:pPr>
      <w:r>
        <w:rPr>
          <w:color w:val="000000"/>
        </w:rPr>
        <w:t>投标</w:t>
      </w:r>
      <w:r>
        <w:rPr>
          <w:rFonts w:hint="eastAsia"/>
          <w:color w:val="000000"/>
        </w:rPr>
        <w:t>人</w:t>
      </w:r>
      <w:r>
        <w:rPr>
          <w:color w:val="000000"/>
        </w:rPr>
        <w:t>需要根据项目建设内容和进度需要，</w:t>
      </w:r>
      <w:r>
        <w:rPr>
          <w:rFonts w:hint="eastAsia"/>
          <w:color w:val="000000"/>
          <w:highlight w:val="yellow"/>
          <w:u w:val="single"/>
          <w:lang w:val="en-US" w:eastAsia="zh-CN"/>
        </w:rPr>
        <w:t>安排</w:t>
      </w:r>
      <w:r>
        <w:rPr>
          <w:color w:val="000000"/>
        </w:rPr>
        <w:t>具有一定资质能力水平的成员组成项目</w:t>
      </w:r>
      <w:r>
        <w:rPr>
          <w:color w:val="auto"/>
        </w:rPr>
        <w:t>小组对系统进行实施及服务。</w:t>
      </w:r>
    </w:p>
    <w:p w14:paraId="1990A59B">
      <w:pPr>
        <w:numPr>
          <w:ilvl w:val="0"/>
          <w:numId w:val="4"/>
        </w:num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合同签订后，</w:t>
      </w:r>
      <w:r>
        <w:rPr>
          <w:rFonts w:hint="eastAsia" w:ascii="Times New Roman" w:hAnsi="Times New Roman" w:eastAsia="宋体" w:cs="Times New Roman"/>
          <w:color w:val="000000"/>
          <w:lang w:val="en-US" w:eastAsia="zh-CN"/>
        </w:rPr>
        <w:t>根据中标方提供季度维保报告。</w:t>
      </w:r>
    </w:p>
    <w:p w14:paraId="3C4AFA76">
      <w:pPr>
        <w:pStyle w:val="4"/>
        <w:numPr>
          <w:ilvl w:val="0"/>
          <w:numId w:val="2"/>
        </w:numPr>
        <w:tabs>
          <w:tab w:val="left" w:pos="720"/>
          <w:tab w:val="left" w:pos="1980"/>
        </w:tabs>
        <w:spacing w:before="0" w:after="0" w:line="440" w:lineRule="exact"/>
        <w:outlineLvl w:val="0"/>
        <w:rPr>
          <w:rFonts w:hAnsi="宋体" w:cs="宋体"/>
          <w:color w:val="auto"/>
          <w:sz w:val="21"/>
          <w:szCs w:val="21"/>
          <w:highlight w:val="none"/>
        </w:rPr>
      </w:pPr>
      <w:r>
        <w:rPr>
          <w:rFonts w:hint="eastAsia" w:hAnsi="宋体" w:cs="宋体"/>
          <w:color w:val="auto"/>
          <w:sz w:val="21"/>
          <w:szCs w:val="21"/>
          <w:highlight w:val="none"/>
        </w:rPr>
        <w:t>售后服务</w:t>
      </w:r>
    </w:p>
    <w:p w14:paraId="6F92ACD6">
      <w:pPr>
        <w:numPr>
          <w:ilvl w:val="0"/>
          <w:numId w:val="5"/>
        </w:numPr>
        <w:spacing w:line="360" w:lineRule="auto"/>
        <w:rPr>
          <w:rFonts w:hint="eastAsia" w:ascii="宋体" w:hAnsi="宋体" w:cs="宋体"/>
          <w:bCs/>
          <w:strike w:val="0"/>
          <w:dstrike w:val="0"/>
          <w:color w:val="auto"/>
          <w:szCs w:val="21"/>
          <w:highlight w:val="none"/>
        </w:rPr>
      </w:pPr>
      <w:r>
        <w:rPr>
          <w:rFonts w:hint="eastAsia"/>
          <w:strike w:val="0"/>
          <w:dstrike w:val="0"/>
          <w:color w:val="auto"/>
          <w:highlight w:val="none"/>
          <w:lang w:val="en-US" w:eastAsia="zh-CN"/>
        </w:rPr>
        <w:t>合同签订</w:t>
      </w:r>
      <w:r>
        <w:rPr>
          <w:rFonts w:hint="eastAsia"/>
          <w:strike w:val="0"/>
          <w:dstrike w:val="0"/>
          <w:color w:val="auto"/>
          <w:highlight w:val="none"/>
        </w:rPr>
        <w:t>后</w:t>
      </w:r>
      <w:r>
        <w:rPr>
          <w:rFonts w:hint="eastAsia"/>
          <w:strike w:val="0"/>
          <w:dstrike w:val="0"/>
          <w:color w:val="auto"/>
          <w:highlight w:val="none"/>
          <w:lang w:eastAsia="zh-CN"/>
        </w:rPr>
        <w:t>，</w:t>
      </w:r>
      <w:r>
        <w:rPr>
          <w:rFonts w:hint="eastAsia"/>
          <w:strike w:val="0"/>
          <w:dstrike w:val="0"/>
          <w:color w:val="auto"/>
          <w:highlight w:val="none"/>
          <w:lang w:val="en-US" w:eastAsia="zh-CN"/>
        </w:rPr>
        <w:t>升提供一年维保服务</w:t>
      </w:r>
      <w:r>
        <w:rPr>
          <w:rFonts w:hint="eastAsia"/>
          <w:strike w:val="0"/>
          <w:dstrike w:val="0"/>
          <w:color w:val="auto"/>
        </w:rPr>
        <w:t>。</w:t>
      </w:r>
    </w:p>
    <w:p w14:paraId="3CFA8789">
      <w:pPr>
        <w:numPr>
          <w:ilvl w:val="0"/>
          <w:numId w:val="5"/>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项目软件系统维</w:t>
      </w:r>
      <w:r>
        <w:rPr>
          <w:rFonts w:hint="eastAsia" w:ascii="宋体" w:hAnsi="宋体" w:cs="宋体"/>
          <w:bCs/>
          <w:color w:val="auto"/>
          <w:szCs w:val="21"/>
          <w:highlight w:val="none"/>
        </w:rPr>
        <w:t>保</w:t>
      </w: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rPr>
        <w:t>期</w:t>
      </w:r>
      <w:r>
        <w:rPr>
          <w:rFonts w:hint="eastAsia" w:ascii="宋体" w:hAnsi="宋体" w:cs="宋体"/>
          <w:bCs/>
          <w:color w:val="auto"/>
          <w:szCs w:val="21"/>
          <w:highlight w:val="none"/>
          <w:lang w:val="en-US" w:eastAsia="zh-CN"/>
        </w:rPr>
        <w:t>间</w:t>
      </w:r>
      <w:r>
        <w:rPr>
          <w:rFonts w:hint="eastAsia" w:ascii="宋体" w:hAnsi="宋体" w:cs="宋体"/>
          <w:bCs/>
          <w:color w:val="auto"/>
          <w:szCs w:val="21"/>
          <w:highlight w:val="none"/>
        </w:rPr>
        <w:t>，提供1人专职负责</w:t>
      </w:r>
      <w:r>
        <w:rPr>
          <w:rFonts w:hint="eastAsia" w:ascii="宋体" w:hAnsi="宋体" w:cs="宋体"/>
          <w:bCs/>
          <w:color w:val="auto"/>
          <w:szCs w:val="21"/>
          <w:highlight w:val="none"/>
          <w:lang w:val="en-US" w:eastAsia="zh-CN"/>
        </w:rPr>
        <w:t>信息系统</w:t>
      </w:r>
      <w:r>
        <w:rPr>
          <w:rFonts w:hint="eastAsia" w:ascii="宋体" w:hAnsi="宋体" w:cs="宋体"/>
          <w:bCs/>
          <w:color w:val="auto"/>
          <w:szCs w:val="21"/>
          <w:highlight w:val="none"/>
        </w:rPr>
        <w:t>运行保障，含所有投标内容软硬件的维护。</w:t>
      </w:r>
    </w:p>
    <w:p w14:paraId="558E17BC">
      <w:pPr>
        <w:numPr>
          <w:ilvl w:val="0"/>
          <w:numId w:val="5"/>
        </w:numPr>
        <w:spacing w:line="360" w:lineRule="auto"/>
        <w:rPr>
          <w:rFonts w:hint="eastAsia"/>
          <w:color w:val="auto"/>
        </w:rPr>
      </w:pPr>
      <w:r>
        <w:rPr>
          <w:rFonts w:hint="eastAsia"/>
          <w:color w:val="auto"/>
        </w:rPr>
        <w:t>因系统本身缺陷造成各种故障应由卖方免费技术服务和维修，包括质保期外发生的情况。</w:t>
      </w:r>
    </w:p>
    <w:p w14:paraId="55CBBCED">
      <w:pPr>
        <w:numPr>
          <w:ilvl w:val="0"/>
          <w:numId w:val="5"/>
        </w:numPr>
        <w:spacing w:line="360" w:lineRule="auto"/>
        <w:rPr>
          <w:rFonts w:hint="eastAsia"/>
          <w:color w:val="auto"/>
        </w:rPr>
      </w:pPr>
      <w:r>
        <w:rPr>
          <w:rFonts w:hint="eastAsia"/>
          <w:color w:val="auto"/>
        </w:rPr>
        <w:t>无力承担售后服务或响应不及时的情况下，医院可向投标方索取软件源代码，投标方应无偿提供。</w:t>
      </w:r>
    </w:p>
    <w:p w14:paraId="4DAA4B9B">
      <w:pPr>
        <w:numPr>
          <w:ilvl w:val="0"/>
          <w:numId w:val="5"/>
        </w:numPr>
        <w:spacing w:line="360" w:lineRule="auto"/>
        <w:rPr>
          <w:color w:val="auto"/>
        </w:rPr>
      </w:pPr>
      <w:r>
        <w:rPr>
          <w:rFonts w:hint="eastAsia"/>
          <w:color w:val="auto"/>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2181C2CD">
      <w:pPr>
        <w:numPr>
          <w:ilvl w:val="0"/>
          <w:numId w:val="5"/>
        </w:numPr>
        <w:spacing w:line="360" w:lineRule="auto"/>
        <w:rPr>
          <w:rFonts w:hint="eastAsia"/>
          <w:color w:val="auto"/>
        </w:rPr>
      </w:pPr>
      <w:r>
        <w:rPr>
          <w:rFonts w:hint="eastAsia"/>
          <w:color w:val="auto"/>
        </w:rPr>
        <w:t>投标人必须保证解决项目所涉及的技术问题，如因技术原因无法满足采购人需求，由此产生的风险由投标人承担。</w:t>
      </w:r>
    </w:p>
    <w:p w14:paraId="38D36996">
      <w:pPr>
        <w:numPr>
          <w:ilvl w:val="0"/>
          <w:numId w:val="5"/>
        </w:numPr>
        <w:spacing w:line="360" w:lineRule="auto"/>
        <w:rPr>
          <w:rFonts w:hint="eastAsia"/>
          <w:color w:val="auto"/>
        </w:rPr>
      </w:pPr>
      <w:r>
        <w:rPr>
          <w:rFonts w:hint="eastAsia"/>
          <w:color w:val="auto"/>
          <w:lang w:val="en-US" w:eastAsia="zh-CN"/>
        </w:rPr>
        <w:t>在项日维保期间内，若承接方在服务过程中发生以下行为，经院方确认后，每次根据标准进行扣罚：</w:t>
      </w:r>
    </w:p>
    <w:p w14:paraId="4A103AF7">
      <w:pPr>
        <w:numPr>
          <w:ilvl w:val="0"/>
          <w:numId w:val="6"/>
        </w:numPr>
        <w:spacing w:line="360" w:lineRule="auto"/>
        <w:ind w:left="425" w:leftChars="0" w:hanging="425" w:firstLineChars="0"/>
        <w:rPr>
          <w:rFonts w:hint="eastAsia"/>
          <w:color w:val="auto"/>
          <w:lang w:val="en-US" w:eastAsia="zh-CN"/>
        </w:rPr>
      </w:pPr>
      <w:r>
        <w:rPr>
          <w:rFonts w:hint="eastAsia"/>
          <w:color w:val="auto"/>
          <w:lang w:val="en-US" w:eastAsia="zh-CN"/>
        </w:rPr>
        <w:t>遇到重大或紧急事件要求承接方派驻应急人员现场解决，但承接方无正当理由不履行的，每发生一次从项目合同金额中扣除3000元，视作一次不良行为。</w:t>
      </w:r>
    </w:p>
    <w:p w14:paraId="6115F604">
      <w:pPr>
        <w:numPr>
          <w:ilvl w:val="0"/>
          <w:numId w:val="6"/>
        </w:numPr>
        <w:spacing w:line="360" w:lineRule="auto"/>
        <w:ind w:left="425" w:leftChars="0" w:hanging="425" w:firstLineChars="0"/>
        <w:rPr>
          <w:rFonts w:hint="eastAsia"/>
          <w:color w:val="auto"/>
          <w:lang w:val="en-US" w:eastAsia="zh-CN"/>
        </w:rPr>
      </w:pPr>
      <w:r>
        <w:rPr>
          <w:rFonts w:hint="eastAsia"/>
          <w:color w:val="auto"/>
          <w:lang w:val="en-US" w:eastAsia="zh-CN"/>
        </w:rPr>
        <w:t>未经我院信息中心审核同意，自行运维实施或调整数据库、网络、服务器等操作，导致引发严重信息系统故障或不良事件，每发生一次从本项目合同金额中扣除3000元，视作一次不良行为。</w:t>
      </w:r>
    </w:p>
    <w:p w14:paraId="5F78D830">
      <w:pPr>
        <w:numPr>
          <w:ilvl w:val="0"/>
          <w:numId w:val="6"/>
        </w:numPr>
        <w:spacing w:line="360" w:lineRule="auto"/>
        <w:ind w:left="425" w:leftChars="0" w:hanging="425" w:firstLineChars="0"/>
        <w:rPr>
          <w:rFonts w:hint="eastAsia"/>
          <w:color w:val="auto"/>
          <w:lang w:val="en-US" w:eastAsia="zh-CN"/>
        </w:rPr>
      </w:pPr>
      <w:r>
        <w:rPr>
          <w:rFonts w:hint="eastAsia"/>
          <w:color w:val="auto"/>
          <w:lang w:val="en-US" w:eastAsia="zh-CN"/>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10606134">
      <w:pPr>
        <w:numPr>
          <w:ilvl w:val="0"/>
          <w:numId w:val="6"/>
        </w:numPr>
        <w:spacing w:line="360" w:lineRule="auto"/>
        <w:ind w:left="425" w:leftChars="0" w:hanging="425" w:firstLineChars="0"/>
        <w:rPr>
          <w:color w:val="auto"/>
        </w:rPr>
      </w:pPr>
      <w:r>
        <w:rPr>
          <w:rFonts w:hint="eastAsia"/>
          <w:color w:val="auto"/>
          <w:lang w:val="en-US" w:eastAsia="zh-CN"/>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181F6451">
      <w:pPr>
        <w:pStyle w:val="4"/>
        <w:numPr>
          <w:ilvl w:val="0"/>
          <w:numId w:val="2"/>
        </w:numPr>
        <w:tabs>
          <w:tab w:val="left" w:pos="720"/>
          <w:tab w:val="left" w:pos="1980"/>
        </w:tabs>
        <w:spacing w:before="0" w:after="0" w:line="440" w:lineRule="exact"/>
        <w:outlineLvl w:val="0"/>
        <w:rPr>
          <w:rFonts w:hint="eastAsia" w:hAnsi="宋体" w:cs="宋体"/>
          <w:color w:val="auto"/>
          <w:sz w:val="21"/>
          <w:szCs w:val="21"/>
          <w:highlight w:val="none"/>
          <w:lang w:eastAsia="ja-JP"/>
        </w:rPr>
      </w:pPr>
      <w:r>
        <w:rPr>
          <w:rFonts w:hint="eastAsia" w:hAnsi="宋体" w:cs="宋体"/>
          <w:color w:val="auto"/>
          <w:sz w:val="21"/>
          <w:szCs w:val="21"/>
          <w:highlight w:val="none"/>
          <w:lang w:eastAsia="ja-JP"/>
        </w:rPr>
        <w:t>付款方式</w:t>
      </w:r>
    </w:p>
    <w:p w14:paraId="3D1B2543">
      <w:pPr>
        <w:numPr>
          <w:ilvl w:val="0"/>
          <w:numId w:val="0"/>
        </w:numPr>
        <w:spacing w:line="360" w:lineRule="auto"/>
        <w:ind w:leftChars="0"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合同签订生效后，每季度乙方提供季度维保报告，甲方收到乙方发票后，向乙方支付合同金额25%，共4个季度。</w:t>
      </w:r>
    </w:p>
    <w:p w14:paraId="6B8CF96C">
      <w:pPr>
        <w:pStyle w:val="2"/>
        <w:rPr>
          <w:rFonts w:hint="eastAsia"/>
          <w:lang w:val="en-US" w:eastAsia="zh-CN"/>
        </w:rPr>
      </w:pPr>
    </w:p>
    <w:p w14:paraId="30E120D5">
      <w:pPr>
        <w:pStyle w:val="9"/>
        <w:rPr>
          <w:lang w:eastAsia="ja-JP"/>
        </w:rPr>
      </w:pPr>
    </w:p>
    <w:p w14:paraId="51451507">
      <w:pPr>
        <w:widowControl/>
        <w:jc w:val="left"/>
        <w:rPr>
          <w:rFonts w:asciiTheme="minorHAnsi" w:hAnsiTheme="minorHAnsi" w:eastAsiaTheme="minorEastAsia" w:cstheme="minorBidi"/>
          <w:b/>
          <w:bCs/>
          <w:kern w:val="44"/>
          <w:sz w:val="44"/>
          <w:szCs w:val="44"/>
        </w:rPr>
      </w:pPr>
      <w:r>
        <w:br w:type="page"/>
      </w:r>
    </w:p>
    <w:p w14:paraId="422E8432">
      <w:pPr>
        <w:pStyle w:val="20"/>
        <w:numPr>
          <w:ilvl w:val="0"/>
          <w:numId w:val="7"/>
        </w:numPr>
        <w:rPr>
          <w:rFonts w:hint="eastAsia" w:eastAsia="宋体"/>
        </w:rPr>
      </w:pPr>
      <w:bookmarkStart w:id="2" w:name="_Toc30692"/>
      <w:r>
        <w:rPr>
          <w:rFonts w:hint="eastAsia" w:eastAsia="宋体"/>
        </w:rPr>
        <w:t>评审办法</w:t>
      </w:r>
      <w:bookmarkEnd w:id="2"/>
    </w:p>
    <w:tbl>
      <w:tblPr>
        <w:tblStyle w:val="2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121"/>
        <w:gridCol w:w="861"/>
        <w:gridCol w:w="861"/>
      </w:tblGrid>
      <w:tr w14:paraId="35315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7" w:type="dxa"/>
            <w:noWrap w:val="0"/>
            <w:vAlign w:val="center"/>
          </w:tcPr>
          <w:p w14:paraId="7C97EBC6">
            <w:pPr>
              <w:spacing w:line="276" w:lineRule="auto"/>
              <w:jc w:val="center"/>
              <w:rPr>
                <w:b/>
                <w:bCs/>
              </w:rPr>
            </w:pPr>
            <w:r>
              <w:rPr>
                <w:b/>
                <w:bCs/>
                <w:sz w:val="24"/>
              </w:rPr>
              <w:t>序号</w:t>
            </w:r>
          </w:p>
        </w:tc>
        <w:tc>
          <w:tcPr>
            <w:tcW w:w="6120" w:type="dxa"/>
            <w:shd w:val="clear" w:color="auto" w:fill="auto"/>
            <w:noWrap w:val="0"/>
            <w:vAlign w:val="center"/>
          </w:tcPr>
          <w:p w14:paraId="771D9478">
            <w:pPr>
              <w:spacing w:line="276" w:lineRule="auto"/>
              <w:ind w:right="-313" w:rightChars="-149"/>
              <w:jc w:val="center"/>
              <w:rPr>
                <w:rFonts w:ascii="Times New Roman" w:hAnsi="Times New Roman" w:eastAsia="宋体" w:cs="Times New Roman"/>
                <w:b/>
                <w:bCs/>
                <w:kern w:val="2"/>
                <w:sz w:val="21"/>
                <w:szCs w:val="24"/>
                <w:lang w:val="en-US" w:eastAsia="zh-CN" w:bidi="ar-SA"/>
              </w:rPr>
            </w:pPr>
            <w:r>
              <w:rPr>
                <w:b/>
                <w:bCs/>
                <w:sz w:val="24"/>
              </w:rPr>
              <w:t>评审细则</w:t>
            </w:r>
          </w:p>
        </w:tc>
        <w:tc>
          <w:tcPr>
            <w:tcW w:w="861" w:type="dxa"/>
            <w:noWrap w:val="0"/>
            <w:vAlign w:val="center"/>
          </w:tcPr>
          <w:p w14:paraId="6F60D8E6">
            <w:pPr>
              <w:spacing w:line="276" w:lineRule="auto"/>
              <w:jc w:val="center"/>
              <w:rPr>
                <w:b/>
                <w:bCs/>
              </w:rPr>
            </w:pPr>
            <w:r>
              <w:rPr>
                <w:b/>
                <w:bCs/>
                <w:sz w:val="24"/>
              </w:rPr>
              <w:t>说明</w:t>
            </w:r>
          </w:p>
        </w:tc>
        <w:tc>
          <w:tcPr>
            <w:tcW w:w="861" w:type="dxa"/>
            <w:noWrap w:val="0"/>
            <w:vAlign w:val="center"/>
          </w:tcPr>
          <w:p w14:paraId="5AC5590F">
            <w:pPr>
              <w:spacing w:line="276" w:lineRule="auto"/>
              <w:jc w:val="center"/>
              <w:rPr>
                <w:b/>
                <w:bCs/>
              </w:rPr>
            </w:pPr>
            <w:r>
              <w:rPr>
                <w:b/>
                <w:bCs/>
                <w:sz w:val="24"/>
              </w:rPr>
              <w:t>分值</w:t>
            </w:r>
          </w:p>
        </w:tc>
      </w:tr>
      <w:tr w14:paraId="5FA56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6B6C909">
            <w:pPr>
              <w:spacing w:line="276" w:lineRule="auto"/>
              <w:jc w:val="center"/>
            </w:pPr>
            <w:r>
              <w:rPr>
                <w:sz w:val="24"/>
              </w:rPr>
              <w:t>1</w:t>
            </w:r>
          </w:p>
        </w:tc>
        <w:tc>
          <w:tcPr>
            <w:tcW w:w="3591" w:type="pct"/>
            <w:noWrap w:val="0"/>
            <w:vAlign w:val="center"/>
          </w:tcPr>
          <w:p w14:paraId="5360AEBA">
            <w:pPr>
              <w:widowControl/>
              <w:jc w:val="left"/>
            </w:pPr>
            <w:r>
              <w:rPr>
                <w:rFonts w:hint="eastAsia" w:cs="Times New Roman"/>
                <w:sz w:val="24"/>
                <w:lang w:val="en-US" w:eastAsia="zh-CN"/>
              </w:rPr>
              <w:t>产品功能、性能响应情况</w:t>
            </w:r>
            <w:r>
              <w:rPr>
                <w:rFonts w:hint="eastAsia" w:ascii="Times New Roman" w:hAnsi="Times New Roman" w:eastAsia="宋体" w:cs="Times New Roman"/>
                <w:sz w:val="24"/>
                <w:lang w:val="en-US" w:eastAsia="zh-CN"/>
              </w:rPr>
              <w:t>：</w:t>
            </w:r>
            <w:r>
              <w:rPr>
                <w:rFonts w:hint="eastAsia" w:ascii="宋体" w:hAnsi="宋体" w:cs="宋体"/>
                <w:b/>
                <w:kern w:val="44"/>
                <w:sz w:val="24"/>
              </w:rPr>
              <w:t>“</w:t>
            </w:r>
            <w:r>
              <w:rPr>
                <w:rFonts w:hint="eastAsia" w:ascii="宋体" w:hAnsi="宋体" w:cs="宋体"/>
                <w:b/>
                <w:kern w:val="44"/>
                <w:sz w:val="24"/>
                <w:lang w:val="en-US" w:eastAsia="zh-CN"/>
              </w:rPr>
              <w:t>技术规格</w:t>
            </w:r>
            <w:r>
              <w:rPr>
                <w:rFonts w:hint="eastAsia" w:ascii="宋体" w:hAnsi="宋体" w:cs="宋体"/>
                <w:b/>
                <w:kern w:val="44"/>
                <w:sz w:val="24"/>
              </w:rPr>
              <w:t>”中的</w:t>
            </w:r>
            <w:r>
              <w:rPr>
                <w:rFonts w:hint="eastAsia" w:ascii="宋体" w:hAnsi="宋体" w:cs="仿宋"/>
                <w:sz w:val="24"/>
              </w:rPr>
              <w:t>产品技术参数全部满足招标文件要求的得3</w:t>
            </w:r>
            <w:r>
              <w:rPr>
                <w:rFonts w:hint="eastAsia" w:ascii="宋体" w:hAnsi="宋体" w:cs="仿宋"/>
                <w:sz w:val="24"/>
                <w:lang w:val="en-US" w:eastAsia="zh-CN"/>
              </w:rPr>
              <w:t>2</w:t>
            </w:r>
            <w:r>
              <w:rPr>
                <w:rFonts w:hint="eastAsia" w:ascii="宋体" w:hAnsi="宋体" w:cs="仿宋"/>
                <w:sz w:val="24"/>
              </w:rPr>
              <w:t>分；打</w:t>
            </w:r>
            <w:r>
              <w:rPr>
                <w:rFonts w:hint="eastAsia" w:ascii="宋体" w:hAnsi="宋体"/>
                <w:spacing w:val="-4"/>
                <w:kern w:val="0"/>
                <w:sz w:val="24"/>
                <w:szCs w:val="20"/>
              </w:rPr>
              <w:t>★</w:t>
            </w:r>
            <w:r>
              <w:rPr>
                <w:rFonts w:hint="eastAsia" w:ascii="宋体" w:hAnsi="宋体" w:cs="仿宋"/>
                <w:sz w:val="24"/>
              </w:rPr>
              <w:t>号指标为重要指标，有一项负偏离扣</w:t>
            </w:r>
            <w:r>
              <w:rPr>
                <w:rFonts w:hint="eastAsia" w:ascii="宋体" w:hAnsi="宋体" w:cs="仿宋"/>
                <w:sz w:val="24"/>
                <w:lang w:val="en-US" w:eastAsia="zh-CN"/>
              </w:rPr>
              <w:t>3</w:t>
            </w:r>
            <w:r>
              <w:rPr>
                <w:rFonts w:hint="eastAsia" w:ascii="宋体" w:hAnsi="宋体" w:cs="仿宋"/>
                <w:sz w:val="24"/>
              </w:rPr>
              <w:t>分；其他参数，有一项负偏离扣1分，扣完为止。</w:t>
            </w:r>
          </w:p>
        </w:tc>
        <w:tc>
          <w:tcPr>
            <w:tcW w:w="505" w:type="pct"/>
            <w:noWrap w:val="0"/>
            <w:vAlign w:val="center"/>
          </w:tcPr>
          <w:p w14:paraId="6CB1D959">
            <w:pPr>
              <w:spacing w:line="276" w:lineRule="auto"/>
              <w:jc w:val="center"/>
            </w:pPr>
            <w:r>
              <w:rPr>
                <w:sz w:val="24"/>
              </w:rPr>
              <w:t>客观分</w:t>
            </w:r>
          </w:p>
        </w:tc>
        <w:tc>
          <w:tcPr>
            <w:tcW w:w="505" w:type="pct"/>
            <w:noWrap w:val="0"/>
            <w:vAlign w:val="center"/>
          </w:tcPr>
          <w:p w14:paraId="1933F11D">
            <w:pPr>
              <w:spacing w:line="276" w:lineRule="auto"/>
              <w:jc w:val="center"/>
              <w:rPr>
                <w:rFonts w:hint="eastAsia"/>
                <w:lang w:val="en-US" w:eastAsia="zh-CN"/>
              </w:rPr>
            </w:pPr>
            <w:r>
              <w:rPr>
                <w:rFonts w:hint="eastAsia"/>
                <w:sz w:val="24"/>
                <w:lang w:val="en-US" w:eastAsia="zh-CN"/>
              </w:rPr>
              <w:t>32</w:t>
            </w:r>
            <w:r>
              <w:rPr>
                <w:sz w:val="24"/>
              </w:rPr>
              <w:t>分</w:t>
            </w:r>
          </w:p>
        </w:tc>
      </w:tr>
      <w:tr w14:paraId="51CA36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78C24636">
            <w:pPr>
              <w:spacing w:line="276" w:lineRule="auto"/>
              <w:jc w:val="center"/>
            </w:pPr>
            <w:r>
              <w:rPr>
                <w:sz w:val="24"/>
              </w:rPr>
              <w:t>2</w:t>
            </w:r>
          </w:p>
        </w:tc>
        <w:tc>
          <w:tcPr>
            <w:tcW w:w="3591" w:type="pct"/>
            <w:noWrap w:val="0"/>
            <w:vAlign w:val="center"/>
          </w:tcPr>
          <w:p w14:paraId="734E6EF8">
            <w:pPr>
              <w:widowControl/>
              <w:jc w:val="left"/>
            </w:pPr>
            <w:r>
              <w:rPr>
                <w:rFonts w:hint="eastAsia"/>
                <w:sz w:val="24"/>
                <w:lang w:val="en-US" w:eastAsia="zh-CN"/>
              </w:rPr>
              <w:t>实施与运维方案</w:t>
            </w:r>
            <w:r>
              <w:rPr>
                <w:rFonts w:hint="eastAsia" w:ascii="Times New Roman" w:hAnsi="Times New Roman" w:eastAsia="宋体" w:cs="Times New Roman"/>
                <w:sz w:val="24"/>
                <w:lang w:val="en-US" w:eastAsia="zh-CN"/>
              </w:rPr>
              <w:t>科学性：方案需包含：系统架构设计合理性；运维支持流程（如故障响应机制、数据备份策略）；方案完整性及可操作性。按0-</w:t>
            </w:r>
            <w:r>
              <w:rPr>
                <w:rFonts w:hint="eastAsia" w:cs="Times New Roman"/>
                <w:sz w:val="24"/>
                <w:lang w:val="en-US" w:eastAsia="zh-CN"/>
              </w:rPr>
              <w:t>10</w:t>
            </w:r>
            <w:r>
              <w:rPr>
                <w:rFonts w:hint="eastAsia" w:ascii="Times New Roman" w:hAnsi="Times New Roman" w:eastAsia="宋体" w:cs="Times New Roman"/>
                <w:sz w:val="24"/>
                <w:lang w:val="en-US" w:eastAsia="zh-CN"/>
              </w:rPr>
              <w:t>分综合评分。</w:t>
            </w:r>
          </w:p>
        </w:tc>
        <w:tc>
          <w:tcPr>
            <w:tcW w:w="505" w:type="pct"/>
            <w:noWrap w:val="0"/>
            <w:vAlign w:val="center"/>
          </w:tcPr>
          <w:p w14:paraId="798D36E3">
            <w:pPr>
              <w:spacing w:line="276" w:lineRule="auto"/>
              <w:jc w:val="center"/>
            </w:pPr>
            <w:r>
              <w:rPr>
                <w:sz w:val="24"/>
              </w:rPr>
              <w:t>主观分</w:t>
            </w:r>
          </w:p>
        </w:tc>
        <w:tc>
          <w:tcPr>
            <w:tcW w:w="505" w:type="pct"/>
            <w:noWrap w:val="0"/>
            <w:vAlign w:val="center"/>
          </w:tcPr>
          <w:p w14:paraId="7FDA49AF">
            <w:pPr>
              <w:spacing w:line="276" w:lineRule="auto"/>
              <w:jc w:val="center"/>
              <w:rPr>
                <w:rFonts w:hint="eastAsia"/>
                <w:lang w:val="en-US" w:eastAsia="zh-CN"/>
              </w:rPr>
            </w:pPr>
            <w:r>
              <w:rPr>
                <w:rFonts w:hint="eastAsia"/>
                <w:sz w:val="24"/>
                <w:lang w:val="en-US" w:eastAsia="zh-CN"/>
              </w:rPr>
              <w:t>10</w:t>
            </w:r>
            <w:r>
              <w:rPr>
                <w:sz w:val="24"/>
              </w:rPr>
              <w:t>分</w:t>
            </w:r>
          </w:p>
        </w:tc>
      </w:tr>
      <w:tr w14:paraId="57C2F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74B8A2A">
            <w:pPr>
              <w:spacing w:line="276" w:lineRule="auto"/>
              <w:jc w:val="center"/>
            </w:pPr>
            <w:r>
              <w:rPr>
                <w:sz w:val="24"/>
              </w:rPr>
              <w:t>3</w:t>
            </w:r>
          </w:p>
        </w:tc>
        <w:tc>
          <w:tcPr>
            <w:tcW w:w="3591" w:type="pct"/>
            <w:noWrap w:val="0"/>
            <w:vAlign w:val="center"/>
          </w:tcPr>
          <w:p w14:paraId="6F74B45F">
            <w:pPr>
              <w:widowControl/>
              <w:jc w:val="left"/>
            </w:pPr>
            <w:r>
              <w:rPr>
                <w:rFonts w:hint="eastAsia" w:ascii="Times New Roman" w:hAnsi="Times New Roman" w:eastAsia="宋体" w:cs="Times New Roman"/>
                <w:sz w:val="24"/>
                <w:lang w:val="en-US" w:eastAsia="zh-CN"/>
              </w:rPr>
              <w:t>实施保障能力：</w:t>
            </w:r>
            <w:r>
              <w:rPr>
                <w:rFonts w:hint="eastAsia" w:ascii="宋体" w:hAnsi="宋体" w:cs="宋体"/>
                <w:kern w:val="0"/>
                <w:sz w:val="24"/>
              </w:rPr>
              <w:t>根据投标人提供的项目实施方案，包括①供货方案、②安装、调试、验收方案、③</w:t>
            </w:r>
            <w:r>
              <w:rPr>
                <w:rFonts w:hint="eastAsia" w:ascii="宋体" w:hAnsi="宋体" w:cs="宋体"/>
                <w:iCs/>
                <w:sz w:val="24"/>
              </w:rPr>
              <w:t>投标产品操作系统支持的版本升级方案</w:t>
            </w:r>
            <w:r>
              <w:rPr>
                <w:rFonts w:hint="eastAsia" w:ascii="宋体" w:hAnsi="宋体" w:cs="宋体"/>
                <w:kern w:val="0"/>
                <w:sz w:val="24"/>
                <w:lang w:eastAsia="zh-CN"/>
              </w:rPr>
              <w:t>、</w:t>
            </w:r>
            <w:r>
              <w:rPr>
                <w:rFonts w:hint="eastAsia" w:ascii="宋体" w:hAnsi="宋体" w:cs="宋体"/>
                <w:kern w:val="0"/>
                <w:sz w:val="24"/>
                <w:lang w:val="en-US" w:eastAsia="zh-CN"/>
              </w:rPr>
              <w:t>④</w:t>
            </w:r>
            <w:r>
              <w:rPr>
                <w:rFonts w:hint="eastAsia" w:ascii="宋体" w:hAnsi="宋体" w:cs="宋体"/>
                <w:kern w:val="0"/>
                <w:sz w:val="24"/>
              </w:rPr>
              <w:t>质量保证措施、</w:t>
            </w:r>
            <w:r>
              <w:rPr>
                <w:rFonts w:hint="eastAsia" w:ascii="宋体" w:hAnsi="宋体" w:cs="宋体"/>
                <w:kern w:val="0"/>
                <w:sz w:val="24"/>
                <w:lang w:val="en-US" w:eastAsia="zh-CN"/>
              </w:rPr>
              <w:t>⑤</w:t>
            </w:r>
            <w:r>
              <w:rPr>
                <w:rFonts w:hint="eastAsia" w:ascii="宋体" w:hAnsi="宋体" w:cs="宋体"/>
                <w:kern w:val="0"/>
                <w:sz w:val="24"/>
              </w:rPr>
              <w:t>技术服务措施等</w:t>
            </w:r>
            <w:r>
              <w:rPr>
                <w:rFonts w:hint="eastAsia" w:ascii="宋体" w:hAnsi="宋体" w:cs="宋体"/>
                <w:kern w:val="0"/>
                <w:sz w:val="24"/>
                <w:lang w:eastAsia="zh-CN"/>
              </w:rPr>
              <w:t>，</w:t>
            </w:r>
            <w:r>
              <w:rPr>
                <w:rFonts w:hint="eastAsia" w:ascii="宋体" w:hAnsi="宋体" w:cs="宋体"/>
                <w:kern w:val="0"/>
                <w:sz w:val="24"/>
              </w:rPr>
              <w:t>由专家进行综合评价。每小项2分</w:t>
            </w:r>
            <w:r>
              <w:rPr>
                <w:rFonts w:hint="eastAsia" w:ascii="宋体" w:hAnsi="宋体" w:cs="宋体"/>
                <w:kern w:val="0"/>
                <w:sz w:val="24"/>
                <w:lang w:eastAsia="zh-CN"/>
              </w:rPr>
              <w:t>。</w:t>
            </w:r>
          </w:p>
        </w:tc>
        <w:tc>
          <w:tcPr>
            <w:tcW w:w="505" w:type="pct"/>
            <w:noWrap w:val="0"/>
            <w:vAlign w:val="center"/>
          </w:tcPr>
          <w:p w14:paraId="2A6F7484">
            <w:pPr>
              <w:spacing w:line="276" w:lineRule="auto"/>
              <w:jc w:val="center"/>
            </w:pPr>
            <w:r>
              <w:rPr>
                <w:sz w:val="24"/>
              </w:rPr>
              <w:t>主观分</w:t>
            </w:r>
          </w:p>
        </w:tc>
        <w:tc>
          <w:tcPr>
            <w:tcW w:w="505" w:type="pct"/>
            <w:noWrap w:val="0"/>
            <w:vAlign w:val="center"/>
          </w:tcPr>
          <w:p w14:paraId="31804476">
            <w:pPr>
              <w:spacing w:line="276" w:lineRule="auto"/>
              <w:jc w:val="center"/>
              <w:rPr>
                <w:rFonts w:hint="eastAsia"/>
                <w:lang w:val="en-US" w:eastAsia="zh-CN"/>
              </w:rPr>
            </w:pPr>
            <w:r>
              <w:rPr>
                <w:rFonts w:hint="eastAsia"/>
                <w:sz w:val="24"/>
                <w:lang w:val="en-US" w:eastAsia="zh-CN"/>
              </w:rPr>
              <w:t>10</w:t>
            </w:r>
            <w:r>
              <w:rPr>
                <w:sz w:val="24"/>
              </w:rPr>
              <w:t>分</w:t>
            </w:r>
          </w:p>
        </w:tc>
      </w:tr>
      <w:tr w14:paraId="4E441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DA54356">
            <w:pPr>
              <w:spacing w:line="276" w:lineRule="auto"/>
              <w:jc w:val="center"/>
            </w:pPr>
            <w:r>
              <w:rPr>
                <w:sz w:val="24"/>
              </w:rPr>
              <w:t>4</w:t>
            </w:r>
          </w:p>
        </w:tc>
        <w:tc>
          <w:tcPr>
            <w:tcW w:w="3591" w:type="pct"/>
            <w:noWrap w:val="0"/>
            <w:vAlign w:val="center"/>
          </w:tcPr>
          <w:p w14:paraId="630E71A9">
            <w:pPr>
              <w:widowControl/>
              <w:jc w:val="left"/>
              <w:rPr>
                <w:rFonts w:hint="eastAsia"/>
                <w:lang w:val="en-US" w:eastAsia="zh-CN"/>
              </w:rPr>
            </w:pPr>
            <w:r>
              <w:rPr>
                <w:rFonts w:hint="eastAsia" w:ascii="Times New Roman" w:hAnsi="Times New Roman" w:eastAsia="宋体" w:cs="Times New Roman"/>
                <w:sz w:val="24"/>
                <w:lang w:val="en-US" w:eastAsia="zh-CN"/>
              </w:rPr>
              <w:t>售后服务方案：包括安装验收、技术培训、服务响应时间、故障解决方案</w:t>
            </w:r>
            <w:r>
              <w:rPr>
                <w:rFonts w:hint="eastAsia" w:cs="Times New Roman"/>
                <w:sz w:val="24"/>
                <w:lang w:val="en-US" w:eastAsia="zh-CN"/>
              </w:rPr>
              <w:t>的</w:t>
            </w:r>
            <w:r>
              <w:rPr>
                <w:rFonts w:hint="eastAsia" w:ascii="Times New Roman" w:hAnsi="Times New Roman" w:eastAsia="宋体" w:cs="Times New Roman"/>
                <w:sz w:val="24"/>
                <w:lang w:val="en-US" w:eastAsia="zh-CN"/>
              </w:rPr>
              <w:t>完善性及时性</w:t>
            </w:r>
            <w:r>
              <w:rPr>
                <w:rFonts w:hint="eastAsia" w:cs="Times New Roman"/>
                <w:sz w:val="24"/>
                <w:lang w:val="en-US" w:eastAsia="zh-CN"/>
              </w:rPr>
              <w:t>，</w:t>
            </w:r>
            <w:r>
              <w:rPr>
                <w:rFonts w:hint="eastAsia" w:ascii="宋体" w:hAnsi="宋体" w:cs="仿宋"/>
                <w:snapToGrid w:val="0"/>
                <w:kern w:val="28"/>
                <w:sz w:val="24"/>
              </w:rPr>
              <w:t>质保期满后配件、附件、备品备件的准备和保障措施，根据措施方案综合评审</w:t>
            </w:r>
            <w:r>
              <w:rPr>
                <w:rFonts w:hint="eastAsia" w:ascii="宋体" w:hAnsi="宋体" w:cs="仿宋"/>
                <w:snapToGrid w:val="0"/>
                <w:kern w:val="28"/>
                <w:sz w:val="24"/>
                <w:lang w:eastAsia="zh-CN"/>
              </w:rPr>
              <w:t>，</w:t>
            </w:r>
            <w:r>
              <w:rPr>
                <w:rFonts w:hint="eastAsia" w:ascii="Times New Roman" w:hAnsi="Times New Roman" w:eastAsia="宋体" w:cs="Times New Roman"/>
                <w:sz w:val="24"/>
                <w:lang w:val="en-US" w:eastAsia="zh-CN"/>
              </w:rPr>
              <w:t>0-</w:t>
            </w:r>
            <w:r>
              <w:rPr>
                <w:rFonts w:hint="eastAsia" w:cs="Times New Roman"/>
                <w:sz w:val="24"/>
                <w:lang w:val="en-US" w:eastAsia="zh-CN"/>
              </w:rPr>
              <w:t>8</w:t>
            </w:r>
            <w:r>
              <w:rPr>
                <w:rFonts w:hint="eastAsia" w:ascii="Times New Roman" w:hAnsi="Times New Roman" w:eastAsia="宋体" w:cs="Times New Roman"/>
                <w:sz w:val="24"/>
                <w:lang w:val="en-US" w:eastAsia="zh-CN"/>
              </w:rPr>
              <w:t>分。</w:t>
            </w:r>
          </w:p>
        </w:tc>
        <w:tc>
          <w:tcPr>
            <w:tcW w:w="505" w:type="pct"/>
            <w:noWrap w:val="0"/>
            <w:vAlign w:val="center"/>
          </w:tcPr>
          <w:p w14:paraId="15EE0B6A">
            <w:pPr>
              <w:spacing w:line="276" w:lineRule="auto"/>
              <w:jc w:val="center"/>
            </w:pPr>
            <w:r>
              <w:rPr>
                <w:rFonts w:hint="eastAsia"/>
                <w:sz w:val="24"/>
                <w:lang w:val="en-US" w:eastAsia="zh-CN"/>
              </w:rPr>
              <w:t>主</w:t>
            </w:r>
            <w:r>
              <w:rPr>
                <w:sz w:val="24"/>
              </w:rPr>
              <w:t>观分</w:t>
            </w:r>
          </w:p>
        </w:tc>
        <w:tc>
          <w:tcPr>
            <w:tcW w:w="505" w:type="pct"/>
            <w:noWrap w:val="0"/>
            <w:vAlign w:val="center"/>
          </w:tcPr>
          <w:p w14:paraId="5A46B3E6">
            <w:pPr>
              <w:spacing w:line="276" w:lineRule="auto"/>
              <w:jc w:val="center"/>
              <w:rPr>
                <w:rFonts w:hint="eastAsia"/>
                <w:lang w:val="en-US" w:eastAsia="zh-CN"/>
              </w:rPr>
            </w:pPr>
            <w:r>
              <w:rPr>
                <w:rFonts w:hint="eastAsia"/>
                <w:sz w:val="24"/>
                <w:lang w:val="en-US" w:eastAsia="zh-CN"/>
              </w:rPr>
              <w:t>8</w:t>
            </w:r>
            <w:r>
              <w:rPr>
                <w:sz w:val="24"/>
              </w:rPr>
              <w:t>分</w:t>
            </w:r>
          </w:p>
        </w:tc>
      </w:tr>
      <w:tr w14:paraId="4A458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2A6DC548">
            <w:pPr>
              <w:spacing w:line="276" w:lineRule="auto"/>
              <w:jc w:val="center"/>
            </w:pPr>
            <w:r>
              <w:rPr>
                <w:sz w:val="24"/>
              </w:rPr>
              <w:t>5</w:t>
            </w:r>
          </w:p>
        </w:tc>
        <w:tc>
          <w:tcPr>
            <w:tcW w:w="3591" w:type="pct"/>
            <w:noWrap w:val="0"/>
            <w:vAlign w:val="center"/>
          </w:tcPr>
          <w:p w14:paraId="07083651">
            <w:pPr>
              <w:widowControl/>
              <w:jc w:val="left"/>
              <w:rPr>
                <w:rFonts w:hint="default"/>
                <w:lang w:val="en-US" w:eastAsia="zh-CN"/>
              </w:rPr>
            </w:pPr>
            <w:r>
              <w:rPr>
                <w:rFonts w:hint="eastAsia" w:cs="Times New Roman"/>
                <w:sz w:val="24"/>
                <w:lang w:val="en-US" w:eastAsia="zh-CN"/>
              </w:rPr>
              <w:t>证</w:t>
            </w:r>
            <w:r>
              <w:rPr>
                <w:rFonts w:hint="eastAsia" w:ascii="宋体" w:hAnsi="宋体" w:cs="仿宋"/>
                <w:snapToGrid w:val="0"/>
                <w:kern w:val="28"/>
                <w:sz w:val="24"/>
                <w:lang w:val="en-US" w:eastAsia="zh-CN"/>
              </w:rPr>
              <w:t>书：</w:t>
            </w:r>
            <w:r>
              <w:rPr>
                <w:rFonts w:hint="eastAsia" w:ascii="宋体" w:hAnsi="宋体" w:cs="仿宋"/>
                <w:snapToGrid w:val="0"/>
                <w:kern w:val="28"/>
                <w:sz w:val="24"/>
              </w:rPr>
              <w:t>投标人或投标产品制造商具有有效的ISO9001质量管理体系认证、</w:t>
            </w:r>
            <w:r>
              <w:rPr>
                <w:rFonts w:hint="eastAsia" w:ascii="宋体" w:hAnsi="宋体" w:cs="仿宋"/>
                <w:snapToGrid w:val="0"/>
                <w:kern w:val="28"/>
                <w:sz w:val="24"/>
                <w:lang w:val="en-US" w:eastAsia="zh-CN"/>
              </w:rPr>
              <w:t>ISO27001信息安全管理体系认证、ISO/IEC 20000信息技术服务管理体系</w:t>
            </w:r>
            <w:r>
              <w:rPr>
                <w:rFonts w:hint="eastAsia" w:ascii="宋体" w:hAnsi="宋体" w:cs="仿宋"/>
                <w:snapToGrid w:val="0"/>
                <w:kern w:val="28"/>
                <w:sz w:val="24"/>
              </w:rPr>
              <w:t>，ISO 22301业务连续性管理体系</w:t>
            </w:r>
            <w:r>
              <w:rPr>
                <w:rFonts w:hint="eastAsia" w:ascii="宋体" w:hAnsi="宋体" w:cs="仿宋"/>
                <w:snapToGrid w:val="0"/>
                <w:kern w:val="28"/>
                <w:sz w:val="24"/>
                <w:lang w:eastAsia="zh-CN"/>
              </w:rPr>
              <w:t>，</w:t>
            </w:r>
            <w:r>
              <w:rPr>
                <w:rFonts w:hint="eastAsia" w:ascii="宋体" w:hAnsi="宋体" w:cs="仿宋"/>
                <w:snapToGrid w:val="0"/>
                <w:kern w:val="28"/>
                <w:sz w:val="24"/>
                <w:lang w:val="en-US" w:eastAsia="zh-CN"/>
              </w:rPr>
              <w:t>或项目相关软著，</w:t>
            </w:r>
            <w:r>
              <w:rPr>
                <w:rFonts w:hint="eastAsia" w:ascii="宋体" w:hAnsi="宋体" w:cs="仿宋"/>
                <w:snapToGrid w:val="0"/>
                <w:kern w:val="28"/>
                <w:sz w:val="24"/>
              </w:rPr>
              <w:t>每提供一份证书复印件得1分，最多</w:t>
            </w:r>
            <w:r>
              <w:rPr>
                <w:rFonts w:hint="eastAsia" w:ascii="宋体" w:hAnsi="宋体" w:cs="仿宋"/>
                <w:snapToGrid w:val="0"/>
                <w:kern w:val="28"/>
                <w:sz w:val="24"/>
                <w:lang w:val="en-US" w:eastAsia="zh-CN"/>
              </w:rPr>
              <w:t>4</w:t>
            </w:r>
            <w:r>
              <w:rPr>
                <w:rFonts w:hint="eastAsia" w:ascii="宋体" w:hAnsi="宋体" w:cs="仿宋"/>
                <w:snapToGrid w:val="0"/>
                <w:kern w:val="28"/>
                <w:sz w:val="24"/>
              </w:rPr>
              <w:t>分</w:t>
            </w:r>
            <w:r>
              <w:rPr>
                <w:rFonts w:hint="eastAsia" w:ascii="宋体" w:hAnsi="宋体" w:cs="仿宋"/>
                <w:snapToGrid w:val="0"/>
                <w:kern w:val="28"/>
                <w:sz w:val="24"/>
                <w:lang w:eastAsia="zh-CN"/>
              </w:rPr>
              <w:t>。</w:t>
            </w:r>
          </w:p>
        </w:tc>
        <w:tc>
          <w:tcPr>
            <w:tcW w:w="505" w:type="pct"/>
            <w:noWrap w:val="0"/>
            <w:vAlign w:val="center"/>
          </w:tcPr>
          <w:p w14:paraId="1765F71C">
            <w:pPr>
              <w:spacing w:line="276" w:lineRule="auto"/>
              <w:jc w:val="center"/>
            </w:pPr>
            <w:r>
              <w:rPr>
                <w:rFonts w:hint="eastAsia"/>
                <w:sz w:val="24"/>
                <w:lang w:val="en-US" w:eastAsia="zh-CN"/>
              </w:rPr>
              <w:t>客</w:t>
            </w:r>
            <w:r>
              <w:rPr>
                <w:sz w:val="24"/>
              </w:rPr>
              <w:t>观分</w:t>
            </w:r>
          </w:p>
        </w:tc>
        <w:tc>
          <w:tcPr>
            <w:tcW w:w="505" w:type="pct"/>
            <w:noWrap w:val="0"/>
            <w:vAlign w:val="center"/>
          </w:tcPr>
          <w:p w14:paraId="60AED5C9">
            <w:pPr>
              <w:spacing w:line="276" w:lineRule="auto"/>
              <w:jc w:val="center"/>
              <w:rPr>
                <w:rFonts w:hint="eastAsia"/>
                <w:lang w:val="en-US" w:eastAsia="zh-CN"/>
              </w:rPr>
            </w:pPr>
            <w:r>
              <w:rPr>
                <w:rFonts w:hint="eastAsia"/>
                <w:sz w:val="24"/>
                <w:lang w:val="en-US" w:eastAsia="zh-CN"/>
              </w:rPr>
              <w:t>4</w:t>
            </w:r>
            <w:r>
              <w:rPr>
                <w:sz w:val="24"/>
              </w:rPr>
              <w:t>分</w:t>
            </w:r>
          </w:p>
        </w:tc>
      </w:tr>
      <w:tr w14:paraId="2D26A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5D7E2E0">
            <w:pPr>
              <w:spacing w:line="276" w:lineRule="auto"/>
              <w:jc w:val="center"/>
            </w:pPr>
            <w:r>
              <w:rPr>
                <w:sz w:val="24"/>
              </w:rPr>
              <w:t>6</w:t>
            </w:r>
          </w:p>
        </w:tc>
        <w:tc>
          <w:tcPr>
            <w:tcW w:w="3591" w:type="pct"/>
            <w:noWrap w:val="0"/>
            <w:vAlign w:val="center"/>
          </w:tcPr>
          <w:p w14:paraId="67698FC3">
            <w:pPr>
              <w:spacing w:line="276" w:lineRule="auto"/>
            </w:pPr>
            <w:r>
              <w:rPr>
                <w:rFonts w:hint="eastAsia" w:ascii="Times New Roman" w:hAnsi="Times New Roman" w:eastAsia="宋体" w:cs="Times New Roman"/>
                <w:sz w:val="24"/>
                <w:lang w:val="en-US" w:eastAsia="zh-CN"/>
              </w:rPr>
              <w:t>业绩：近3年（以合同签订时间为准）同类项目业绩：</w:t>
            </w:r>
            <w:r>
              <w:rPr>
                <w:rFonts w:hint="default" w:ascii="Times New Roman" w:hAnsi="Times New Roman" w:eastAsia="宋体" w:cs="Times New Roman"/>
                <w:sz w:val="24"/>
                <w:lang w:val="en-US" w:eastAsia="zh-CN"/>
              </w:rPr>
              <w:t>每提供1份有效合同（</w:t>
            </w:r>
            <w:r>
              <w:rPr>
                <w:rFonts w:hint="eastAsia" w:ascii="Times New Roman" w:hAnsi="Times New Roman" w:eastAsia="宋体" w:cs="Times New Roman"/>
                <w:sz w:val="24"/>
                <w:lang w:val="en-US" w:eastAsia="zh-CN"/>
              </w:rPr>
              <w:t>盖公章</w:t>
            </w:r>
            <w:r>
              <w:rPr>
                <w:rFonts w:hint="default" w:ascii="Times New Roman" w:hAnsi="Times New Roman" w:eastAsia="宋体" w:cs="Times New Roman"/>
                <w:sz w:val="24"/>
                <w:lang w:val="en-US" w:eastAsia="zh-CN"/>
              </w:rPr>
              <w:t>）得</w:t>
            </w:r>
            <w:r>
              <w:rPr>
                <w:rFonts w:hint="eastAsia" w:cs="Times New Roman"/>
                <w:sz w:val="24"/>
                <w:lang w:val="en-US" w:eastAsia="zh-CN"/>
              </w:rPr>
              <w:t>1</w:t>
            </w:r>
            <w:r>
              <w:rPr>
                <w:rFonts w:hint="default" w:ascii="Times New Roman" w:hAnsi="Times New Roman" w:eastAsia="宋体" w:cs="Times New Roman"/>
                <w:sz w:val="24"/>
                <w:lang w:val="en-US" w:eastAsia="zh-CN"/>
              </w:rPr>
              <w:t>分，最高</w:t>
            </w:r>
            <w:r>
              <w:rPr>
                <w:rFonts w:hint="eastAsia" w:cs="Times New Roman"/>
                <w:sz w:val="24"/>
                <w:lang w:val="en-US" w:eastAsia="zh-CN"/>
              </w:rPr>
              <w:t>3</w:t>
            </w:r>
            <w:r>
              <w:rPr>
                <w:rFonts w:hint="default" w:ascii="Times New Roman" w:hAnsi="Times New Roman" w:eastAsia="宋体" w:cs="Times New Roman"/>
                <w:sz w:val="24"/>
                <w:lang w:val="en-US" w:eastAsia="zh-CN"/>
              </w:rPr>
              <w:t>分。</w:t>
            </w:r>
          </w:p>
        </w:tc>
        <w:tc>
          <w:tcPr>
            <w:tcW w:w="505" w:type="pct"/>
            <w:noWrap w:val="0"/>
            <w:vAlign w:val="center"/>
          </w:tcPr>
          <w:p w14:paraId="675F8DA4">
            <w:pPr>
              <w:spacing w:line="276" w:lineRule="auto"/>
              <w:jc w:val="center"/>
            </w:pPr>
            <w:r>
              <w:rPr>
                <w:sz w:val="24"/>
              </w:rPr>
              <w:t>客观分</w:t>
            </w:r>
          </w:p>
        </w:tc>
        <w:tc>
          <w:tcPr>
            <w:tcW w:w="505" w:type="pct"/>
            <w:noWrap w:val="0"/>
            <w:vAlign w:val="center"/>
          </w:tcPr>
          <w:p w14:paraId="2049AC09">
            <w:pPr>
              <w:spacing w:line="276" w:lineRule="auto"/>
              <w:jc w:val="center"/>
              <w:rPr>
                <w:rFonts w:hint="eastAsia"/>
                <w:lang w:val="en-US" w:eastAsia="zh-CN"/>
              </w:rPr>
            </w:pPr>
            <w:r>
              <w:rPr>
                <w:rFonts w:hint="eastAsia"/>
                <w:sz w:val="24"/>
                <w:lang w:val="en-US" w:eastAsia="zh-CN"/>
              </w:rPr>
              <w:t>3</w:t>
            </w:r>
            <w:r>
              <w:rPr>
                <w:sz w:val="24"/>
              </w:rPr>
              <w:t>分</w:t>
            </w:r>
          </w:p>
        </w:tc>
      </w:tr>
      <w:tr w14:paraId="33519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8138181">
            <w:pPr>
              <w:spacing w:line="276" w:lineRule="auto"/>
              <w:jc w:val="center"/>
            </w:pPr>
            <w:r>
              <w:rPr>
                <w:sz w:val="24"/>
              </w:rPr>
              <w:t>7</w:t>
            </w:r>
          </w:p>
        </w:tc>
        <w:tc>
          <w:tcPr>
            <w:tcW w:w="3591" w:type="pct"/>
            <w:noWrap w:val="0"/>
            <w:vAlign w:val="center"/>
          </w:tcPr>
          <w:p w14:paraId="55EAA1FC">
            <w:pPr>
              <w:spacing w:line="276" w:lineRule="auto"/>
            </w:pPr>
            <w:r>
              <w:rPr>
                <w:rFonts w:hint="eastAsia"/>
                <w:sz w:val="24"/>
                <w:lang w:val="en-US" w:eastAsia="zh-CN"/>
              </w:rPr>
              <w:t>质保期：</w:t>
            </w:r>
            <w:r>
              <w:rPr>
                <w:rFonts w:hint="eastAsia" w:ascii="宋体" w:hAnsi="宋体" w:cs="仿宋_GB2312"/>
                <w:kern w:val="0"/>
                <w:sz w:val="24"/>
                <w:lang w:bidi="ar"/>
              </w:rPr>
              <w:t>质保期在满足招标文件要求的基础上每延长一年得1分，最多得</w:t>
            </w:r>
            <w:r>
              <w:rPr>
                <w:rFonts w:hint="eastAsia" w:ascii="宋体" w:hAnsi="宋体" w:cs="仿宋_GB2312"/>
                <w:kern w:val="0"/>
                <w:sz w:val="24"/>
                <w:lang w:val="en-US" w:eastAsia="zh-CN" w:bidi="ar"/>
              </w:rPr>
              <w:t>3</w:t>
            </w:r>
            <w:r>
              <w:rPr>
                <w:rFonts w:hint="eastAsia" w:ascii="宋体" w:hAnsi="宋体" w:cs="仿宋_GB2312"/>
                <w:kern w:val="0"/>
                <w:sz w:val="24"/>
                <w:lang w:bidi="ar"/>
              </w:rPr>
              <w:t>分，延长时间不足一年的不计入得分。质保期需在官网可查。</w:t>
            </w:r>
          </w:p>
        </w:tc>
        <w:tc>
          <w:tcPr>
            <w:tcW w:w="505" w:type="pct"/>
            <w:noWrap w:val="0"/>
            <w:vAlign w:val="center"/>
          </w:tcPr>
          <w:p w14:paraId="1D6BB0AD">
            <w:pPr>
              <w:spacing w:line="276" w:lineRule="auto"/>
              <w:jc w:val="center"/>
            </w:pPr>
            <w:r>
              <w:rPr>
                <w:rFonts w:hint="eastAsia"/>
                <w:sz w:val="24"/>
                <w:lang w:val="en-US" w:eastAsia="zh-CN"/>
              </w:rPr>
              <w:t>客</w:t>
            </w:r>
            <w:r>
              <w:rPr>
                <w:sz w:val="24"/>
              </w:rPr>
              <w:t>观分</w:t>
            </w:r>
          </w:p>
        </w:tc>
        <w:tc>
          <w:tcPr>
            <w:tcW w:w="505" w:type="pct"/>
            <w:noWrap w:val="0"/>
            <w:vAlign w:val="center"/>
          </w:tcPr>
          <w:p w14:paraId="09643813">
            <w:pPr>
              <w:spacing w:line="276" w:lineRule="auto"/>
              <w:jc w:val="center"/>
              <w:rPr>
                <w:rFonts w:hint="eastAsia"/>
                <w:lang w:val="en-US" w:eastAsia="zh-CN"/>
              </w:rPr>
            </w:pPr>
            <w:r>
              <w:rPr>
                <w:rFonts w:hint="eastAsia"/>
                <w:sz w:val="24"/>
                <w:lang w:val="en-US" w:eastAsia="zh-CN"/>
              </w:rPr>
              <w:t>3</w:t>
            </w:r>
            <w:r>
              <w:rPr>
                <w:sz w:val="24"/>
              </w:rPr>
              <w:t>分</w:t>
            </w:r>
          </w:p>
        </w:tc>
      </w:tr>
      <w:tr w14:paraId="1B594B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97" w:type="pct"/>
            <w:noWrap w:val="0"/>
            <w:vAlign w:val="center"/>
          </w:tcPr>
          <w:p w14:paraId="2D1602EB">
            <w:pPr>
              <w:spacing w:line="276" w:lineRule="auto"/>
              <w:jc w:val="center"/>
            </w:pPr>
            <w:r>
              <w:rPr>
                <w:sz w:val="24"/>
              </w:rPr>
              <w:t>8</w:t>
            </w:r>
          </w:p>
        </w:tc>
        <w:tc>
          <w:tcPr>
            <w:tcW w:w="3591" w:type="pct"/>
            <w:noWrap w:val="0"/>
            <w:vAlign w:val="center"/>
          </w:tcPr>
          <w:p w14:paraId="740F12D3">
            <w:pPr>
              <w:spacing w:line="276" w:lineRule="auto"/>
            </w:pPr>
            <w:r>
              <w:rPr>
                <w:rFonts w:hint="eastAsia"/>
                <w:sz w:val="24"/>
                <w:lang w:val="en-US" w:eastAsia="zh-CN"/>
              </w:rPr>
              <w:t>价格分：</w:t>
            </w:r>
            <w:r>
              <w:rPr>
                <w:sz w:val="24"/>
              </w:rPr>
              <w:t>以满足采购要求的最低有效报价为评标基准价，价格分满分30分。其他报价得分按公式计算：</w:t>
            </w:r>
            <w:r>
              <w:rPr>
                <w:rFonts w:hint="default"/>
                <w:sz w:val="24"/>
              </w:rPr>
              <w:t>报价得分＝（评标基准价／有效报价）×30（结果保留两位小数，第三位四舍五入）。得分由采购人计算，评委审核。</w:t>
            </w:r>
          </w:p>
        </w:tc>
        <w:tc>
          <w:tcPr>
            <w:tcW w:w="505" w:type="pct"/>
            <w:noWrap w:val="0"/>
            <w:vAlign w:val="center"/>
          </w:tcPr>
          <w:p w14:paraId="469024F2">
            <w:pPr>
              <w:spacing w:line="276" w:lineRule="auto"/>
              <w:jc w:val="center"/>
            </w:pPr>
            <w:r>
              <w:rPr>
                <w:sz w:val="24"/>
              </w:rPr>
              <w:t>价格分</w:t>
            </w:r>
          </w:p>
        </w:tc>
        <w:tc>
          <w:tcPr>
            <w:tcW w:w="505" w:type="pct"/>
            <w:noWrap w:val="0"/>
            <w:vAlign w:val="center"/>
          </w:tcPr>
          <w:p w14:paraId="60BCEF0E">
            <w:pPr>
              <w:spacing w:line="276" w:lineRule="auto"/>
              <w:jc w:val="center"/>
              <w:rPr>
                <w:rFonts w:hint="eastAsia"/>
                <w:lang w:val="en-US" w:eastAsia="zh-CN"/>
              </w:rPr>
            </w:pPr>
            <w:r>
              <w:rPr>
                <w:rFonts w:hint="eastAsia"/>
                <w:sz w:val="24"/>
                <w:lang w:val="en-US" w:eastAsia="zh-CN"/>
              </w:rPr>
              <w:t>3</w:t>
            </w:r>
            <w:r>
              <w:rPr>
                <w:sz w:val="24"/>
              </w:rPr>
              <w:t>0分</w:t>
            </w:r>
          </w:p>
        </w:tc>
      </w:tr>
      <w:tr w14:paraId="2A4B1B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97" w:type="pct"/>
            <w:noWrap w:val="0"/>
            <w:vAlign w:val="center"/>
          </w:tcPr>
          <w:p w14:paraId="5C450365">
            <w:pPr>
              <w:spacing w:line="276" w:lineRule="auto"/>
              <w:jc w:val="center"/>
              <w:rPr>
                <w:rFonts w:hint="eastAsia"/>
                <w:lang w:eastAsia="zh-CN"/>
              </w:rPr>
            </w:pPr>
            <w:r>
              <w:rPr>
                <w:rFonts w:hint="eastAsia"/>
                <w:sz w:val="24"/>
                <w:lang w:val="en-US" w:eastAsia="zh-CN"/>
              </w:rPr>
              <w:t>9</w:t>
            </w:r>
          </w:p>
        </w:tc>
        <w:tc>
          <w:tcPr>
            <w:tcW w:w="3591" w:type="pct"/>
            <w:noWrap w:val="0"/>
            <w:vAlign w:val="center"/>
          </w:tcPr>
          <w:p w14:paraId="23F825CC">
            <w:pPr>
              <w:spacing w:line="276" w:lineRule="auto"/>
            </w:pPr>
            <w:r>
              <w:rPr>
                <w:rFonts w:hint="eastAsia"/>
                <w:sz w:val="24"/>
              </w:rPr>
              <w:t>总分</w:t>
            </w:r>
          </w:p>
        </w:tc>
        <w:tc>
          <w:tcPr>
            <w:tcW w:w="505" w:type="pct"/>
            <w:noWrap w:val="0"/>
            <w:vAlign w:val="center"/>
          </w:tcPr>
          <w:p w14:paraId="7793333D">
            <w:pPr>
              <w:spacing w:line="276" w:lineRule="auto"/>
              <w:jc w:val="center"/>
            </w:pPr>
          </w:p>
        </w:tc>
        <w:tc>
          <w:tcPr>
            <w:tcW w:w="505" w:type="pct"/>
            <w:noWrap w:val="0"/>
            <w:vAlign w:val="center"/>
          </w:tcPr>
          <w:p w14:paraId="4EC302A4">
            <w:pPr>
              <w:spacing w:line="276" w:lineRule="auto"/>
              <w:jc w:val="center"/>
              <w:rPr>
                <w:rFonts w:hint="eastAsia"/>
              </w:rPr>
            </w:pPr>
            <w:r>
              <w:rPr>
                <w:rFonts w:hint="eastAsia"/>
                <w:sz w:val="24"/>
              </w:rPr>
              <w:t>100分</w:t>
            </w:r>
          </w:p>
        </w:tc>
      </w:tr>
    </w:tbl>
    <w:p w14:paraId="21BEB04B">
      <w:pPr>
        <w:numPr>
          <w:ilvl w:val="0"/>
          <w:numId w:val="0"/>
        </w:numPr>
        <w:rPr>
          <w:rFonts w:hint="eastAsia"/>
        </w:rPr>
      </w:pPr>
    </w:p>
    <w:p w14:paraId="6BD74E6C">
      <w:pPr>
        <w:rPr>
          <w:rFonts w:hint="eastAsia"/>
        </w:rPr>
      </w:pPr>
      <w:r>
        <w:rPr>
          <w:rFonts w:hint="eastAsia"/>
        </w:rPr>
        <w:br w:type="page"/>
      </w:r>
    </w:p>
    <w:p w14:paraId="581493B9">
      <w:pPr>
        <w:pStyle w:val="20"/>
        <w:numPr>
          <w:ilvl w:val="0"/>
          <w:numId w:val="7"/>
        </w:numPr>
        <w:rPr>
          <w:rFonts w:hint="eastAsia" w:eastAsia="宋体"/>
        </w:rPr>
      </w:pPr>
      <w:bookmarkStart w:id="3" w:name="_Toc31724"/>
      <w:r>
        <w:rPr>
          <w:rFonts w:hint="eastAsia" w:eastAsia="宋体"/>
        </w:rPr>
        <w:t>响应文件格式</w:t>
      </w:r>
      <w:bookmarkEnd w:id="3"/>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4152" w:type="dxa"/>
            <w:vAlign w:val="center"/>
          </w:tcPr>
          <w:p w14:paraId="424282A3">
            <w:r>
              <w:t>材料名称</w:t>
            </w:r>
          </w:p>
        </w:tc>
        <w:tc>
          <w:tcPr>
            <w:tcW w:w="1884"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4152" w:type="dxa"/>
            <w:vAlign w:val="center"/>
          </w:tcPr>
          <w:p w14:paraId="69FC38E0">
            <w:r>
              <w:t>封面（附件1）</w:t>
            </w:r>
          </w:p>
        </w:tc>
        <w:tc>
          <w:tcPr>
            <w:tcW w:w="1884"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4152" w:type="dxa"/>
            <w:vAlign w:val="center"/>
          </w:tcPr>
          <w:p w14:paraId="3E90A478">
            <w:r>
              <w:t>采购公告发布之日起至公告截止日内任意时间的“信用中国”网站（www.creditchina.gov.cn）的响应供应商信用查询网页截图</w:t>
            </w:r>
          </w:p>
        </w:tc>
        <w:tc>
          <w:tcPr>
            <w:tcW w:w="1884"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4152" w:type="dxa"/>
            <w:vAlign w:val="center"/>
          </w:tcPr>
          <w:p w14:paraId="4E9172FF">
            <w:r>
              <w:t>企业营业执照</w:t>
            </w:r>
          </w:p>
        </w:tc>
        <w:tc>
          <w:tcPr>
            <w:tcW w:w="1884"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4152" w:type="dxa"/>
            <w:vAlign w:val="center"/>
          </w:tcPr>
          <w:p w14:paraId="4AFA00B2">
            <w:r>
              <w:t>法人代表身份证复印件</w:t>
            </w:r>
          </w:p>
        </w:tc>
        <w:tc>
          <w:tcPr>
            <w:tcW w:w="1884"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4152" w:type="dxa"/>
            <w:vAlign w:val="center"/>
          </w:tcPr>
          <w:p w14:paraId="10A1936D">
            <w:r>
              <w:t>销售人员身份证复印件</w:t>
            </w:r>
          </w:p>
        </w:tc>
        <w:tc>
          <w:tcPr>
            <w:tcW w:w="1884"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4152" w:type="dxa"/>
            <w:vAlign w:val="center"/>
          </w:tcPr>
          <w:p w14:paraId="3908029A">
            <w:r>
              <w:t>声明书（附件2）</w:t>
            </w:r>
          </w:p>
        </w:tc>
        <w:tc>
          <w:tcPr>
            <w:tcW w:w="1884"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4152" w:type="dxa"/>
            <w:vAlign w:val="center"/>
          </w:tcPr>
          <w:p w14:paraId="3945BD51">
            <w:r>
              <w:t>法定代表人授权委托书（附件3）</w:t>
            </w:r>
          </w:p>
        </w:tc>
        <w:tc>
          <w:tcPr>
            <w:tcW w:w="1884"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4152" w:type="dxa"/>
            <w:vAlign w:val="center"/>
          </w:tcPr>
          <w:p w14:paraId="23D96FBB">
            <w:r>
              <w:t>经营许可证或生产许可证（</w:t>
            </w:r>
            <w:r>
              <w:rPr>
                <w:rFonts w:hint="eastAsia"/>
              </w:rPr>
              <w:t>若</w:t>
            </w:r>
            <w:r>
              <w:t>需要）</w:t>
            </w:r>
          </w:p>
        </w:tc>
        <w:tc>
          <w:tcPr>
            <w:tcW w:w="1884"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4152" w:type="dxa"/>
            <w:vAlign w:val="center"/>
          </w:tcPr>
          <w:p w14:paraId="7A0CC092">
            <w:r>
              <w:t>厂家给经销商</w:t>
            </w:r>
            <w:r>
              <w:rPr>
                <w:rFonts w:hint="eastAsia"/>
              </w:rPr>
              <w:t>的逐级</w:t>
            </w:r>
            <w:r>
              <w:t>授权</w:t>
            </w:r>
            <w:r>
              <w:rPr>
                <w:rFonts w:hint="eastAsia"/>
              </w:rPr>
              <w:t>书</w:t>
            </w:r>
            <w:r>
              <w:t>（</w:t>
            </w:r>
            <w:r>
              <w:rPr>
                <w:rFonts w:hint="eastAsia"/>
              </w:rPr>
              <w:t>若</w:t>
            </w:r>
            <w:r>
              <w:t>需要）</w:t>
            </w:r>
          </w:p>
        </w:tc>
        <w:tc>
          <w:tcPr>
            <w:tcW w:w="1884" w:type="dxa"/>
          </w:tcPr>
          <w:p w14:paraId="306D54BB"/>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4152" w:type="dxa"/>
            <w:vAlign w:val="center"/>
          </w:tcPr>
          <w:p w14:paraId="0848F427">
            <w:r>
              <w:rPr>
                <w:rFonts w:hint="eastAsia"/>
                <w:lang w:val="en-US" w:eastAsia="zh-CN"/>
              </w:rPr>
              <w:t>资质</w:t>
            </w:r>
            <w:r>
              <w:rPr>
                <w:rFonts w:hint="eastAsia"/>
              </w:rPr>
              <w:t>证书</w:t>
            </w:r>
          </w:p>
        </w:tc>
        <w:tc>
          <w:tcPr>
            <w:tcW w:w="1884" w:type="dxa"/>
          </w:tcPr>
          <w:p w14:paraId="2935A505">
            <w:r>
              <w:rPr>
                <w:rFonts w:hint="eastAsia"/>
                <w:b/>
                <w:bCs/>
              </w:rPr>
              <w:t>须提供资质证书复印件加盖公章</w:t>
            </w:r>
          </w:p>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4152" w:type="dxa"/>
            <w:vAlign w:val="center"/>
          </w:tcPr>
          <w:p w14:paraId="2E4EDE7F">
            <w:r>
              <w:t>技术响应表（附件4）</w:t>
            </w:r>
          </w:p>
        </w:tc>
        <w:tc>
          <w:tcPr>
            <w:tcW w:w="1884"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4152" w:type="dxa"/>
            <w:vAlign w:val="center"/>
          </w:tcPr>
          <w:p w14:paraId="0BDA633F">
            <w:r>
              <w:rPr>
                <w:rFonts w:hint="eastAsia"/>
              </w:rPr>
              <w:t>所投</w:t>
            </w:r>
            <w:r>
              <w:t>产品彩页</w:t>
            </w:r>
            <w:r>
              <w:rPr>
                <w:rFonts w:hint="eastAsia"/>
              </w:rPr>
              <w:t>、</w:t>
            </w:r>
            <w:r>
              <w:t>技术参数文件</w:t>
            </w:r>
          </w:p>
        </w:tc>
        <w:tc>
          <w:tcPr>
            <w:tcW w:w="1884"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4152" w:type="dxa"/>
            <w:vAlign w:val="center"/>
          </w:tcPr>
          <w:p w14:paraId="5D94AC65">
            <w:r>
              <w:rPr>
                <w:rFonts w:hint="eastAsia"/>
              </w:rPr>
              <w:t>维保</w:t>
            </w:r>
            <w:r>
              <w:t>方案</w:t>
            </w:r>
          </w:p>
        </w:tc>
        <w:tc>
          <w:tcPr>
            <w:tcW w:w="1884"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4152" w:type="dxa"/>
            <w:vAlign w:val="center"/>
          </w:tcPr>
          <w:p w14:paraId="28956B9A">
            <w:r>
              <w:rPr>
                <w:rFonts w:hint="eastAsia"/>
              </w:rPr>
              <w:t>售后</w:t>
            </w:r>
            <w:r>
              <w:t>服务方案</w:t>
            </w:r>
          </w:p>
        </w:tc>
        <w:tc>
          <w:tcPr>
            <w:tcW w:w="1884"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4152" w:type="dxa"/>
            <w:vAlign w:val="center"/>
          </w:tcPr>
          <w:p w14:paraId="10E31746">
            <w:r>
              <w:rPr>
                <w:rFonts w:hAnsi="宋体"/>
                <w:color w:val="FF0000"/>
                <w:kern w:val="0"/>
                <w:szCs w:val="21"/>
              </w:rPr>
              <w:t>提供</w:t>
            </w:r>
            <w:r>
              <w:rPr>
                <w:rFonts w:hint="eastAsia" w:hAnsi="宋体"/>
                <w:color w:val="FF0000"/>
                <w:kern w:val="0"/>
                <w:szCs w:val="21"/>
              </w:rPr>
              <w:t>案例</w:t>
            </w:r>
            <w:r>
              <w:rPr>
                <w:rFonts w:hAnsi="宋体"/>
                <w:color w:val="FF0000"/>
                <w:kern w:val="0"/>
                <w:szCs w:val="21"/>
              </w:rPr>
              <w:t>用户名单及合同复印件</w:t>
            </w:r>
            <w:r>
              <w:rPr>
                <w:rFonts w:hint="eastAsia" w:hAnsi="宋体"/>
                <w:color w:val="FF0000"/>
                <w:kern w:val="0"/>
                <w:szCs w:val="21"/>
              </w:rPr>
              <w:t>（202</w:t>
            </w:r>
            <w:r>
              <w:rPr>
                <w:rFonts w:hint="eastAsia" w:hAnsi="宋体"/>
                <w:color w:val="FF0000"/>
                <w:kern w:val="0"/>
                <w:szCs w:val="21"/>
                <w:lang w:val="en-US" w:eastAsia="zh-CN"/>
              </w:rPr>
              <w:t>3</w:t>
            </w:r>
            <w:r>
              <w:rPr>
                <w:rFonts w:hint="eastAsia" w:hAnsi="宋体"/>
                <w:color w:val="FF0000"/>
                <w:kern w:val="0"/>
                <w:szCs w:val="21"/>
              </w:rPr>
              <w:t>年至今）</w:t>
            </w:r>
          </w:p>
        </w:tc>
        <w:tc>
          <w:tcPr>
            <w:tcW w:w="1884"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4152" w:type="dxa"/>
            <w:vAlign w:val="center"/>
          </w:tcPr>
          <w:p w14:paraId="021000E4">
            <w:r>
              <w:t>其他优惠条件</w:t>
            </w:r>
          </w:p>
        </w:tc>
        <w:tc>
          <w:tcPr>
            <w:tcW w:w="1884"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4152" w:type="dxa"/>
            <w:vAlign w:val="center"/>
          </w:tcPr>
          <w:p w14:paraId="0F297331">
            <w:r>
              <w:t>项目报价单（附件</w:t>
            </w:r>
            <w:r>
              <w:rPr>
                <w:rFonts w:hint="eastAsia"/>
              </w:rPr>
              <w:t>5</w:t>
            </w:r>
            <w:r>
              <w:t>）</w:t>
            </w:r>
          </w:p>
        </w:tc>
        <w:tc>
          <w:tcPr>
            <w:tcW w:w="1884"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40"/>
        <w:spacing w:line="360" w:lineRule="auto"/>
        <w:jc w:val="both"/>
        <w:rPr>
          <w:sz w:val="21"/>
          <w:szCs w:val="21"/>
        </w:rPr>
      </w:pPr>
    </w:p>
    <w:p w14:paraId="269E10CA">
      <w:pPr>
        <w:pStyle w:val="40"/>
        <w:spacing w:line="360" w:lineRule="auto"/>
        <w:jc w:val="both"/>
        <w:rPr>
          <w:sz w:val="21"/>
          <w:szCs w:val="21"/>
        </w:rPr>
      </w:pPr>
    </w:p>
    <w:p w14:paraId="4E2CA3B1">
      <w:pPr>
        <w:pStyle w:val="40"/>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2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40"/>
        <w:spacing w:line="360" w:lineRule="auto"/>
        <w:jc w:val="both"/>
        <w:rPr>
          <w:sz w:val="21"/>
          <w:szCs w:val="21"/>
        </w:rPr>
      </w:pPr>
    </w:p>
    <w:p w14:paraId="2BB96431">
      <w:pPr>
        <w:pStyle w:val="40"/>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2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20"/>
        <w:numPr>
          <w:ilvl w:val="0"/>
          <w:numId w:val="7"/>
        </w:numPr>
        <w:rPr>
          <w:rFonts w:hint="eastAsia" w:eastAsia="宋体"/>
        </w:rPr>
      </w:pPr>
      <w:bookmarkStart w:id="4" w:name="_Toc3195"/>
      <w:r>
        <w:rPr>
          <w:rFonts w:hint="eastAsia" w:eastAsia="宋体"/>
        </w:rPr>
        <w:t>合同主要条款</w:t>
      </w:r>
      <w:bookmarkEnd w:id="4"/>
    </w:p>
    <w:p w14:paraId="2C8E760B">
      <w:pPr>
        <w:spacing w:line="480" w:lineRule="exact"/>
        <w:ind w:right="140" w:firstLine="280" w:firstLineChars="100"/>
        <w:jc w:val="center"/>
        <w:rPr>
          <w:rFonts w:ascii="微软雅黑" w:hAnsi="微软雅黑" w:eastAsia="微软雅黑"/>
          <w:b/>
          <w:sz w:val="28"/>
        </w:rPr>
      </w:pPr>
      <w:r>
        <w:rPr>
          <w:rFonts w:ascii="微软雅黑" w:hAnsi="微软雅黑" w:eastAsia="微软雅黑"/>
          <w:b/>
          <w:sz w:val="28"/>
        </w:rPr>
        <w:t>浙江</w:t>
      </w:r>
      <w:r>
        <w:rPr>
          <w:rFonts w:hint="eastAsia" w:ascii="微软雅黑" w:hAnsi="微软雅黑" w:eastAsia="微软雅黑"/>
          <w:b/>
          <w:sz w:val="28"/>
        </w:rPr>
        <w:t>大学医学院附属妇产科医院</w:t>
      </w:r>
    </w:p>
    <w:p w14:paraId="406FBB52">
      <w:pPr>
        <w:spacing w:line="480" w:lineRule="exact"/>
        <w:ind w:right="140" w:firstLine="280" w:firstLineChars="100"/>
        <w:jc w:val="center"/>
        <w:rPr>
          <w:rFonts w:ascii="微软雅黑" w:hAnsi="微软雅黑" w:eastAsia="微软雅黑"/>
          <w:b/>
          <w:sz w:val="18"/>
          <w:szCs w:val="18"/>
        </w:rPr>
      </w:pPr>
      <w:r>
        <w:rPr>
          <w:rFonts w:hint="eastAsia" w:ascii="微软雅黑" w:hAnsi="微软雅黑" w:eastAsia="微软雅黑"/>
          <w:b/>
          <w:sz w:val="28"/>
        </w:rPr>
        <w:t xml:space="preserve">           </w:t>
      </w:r>
      <w:r>
        <w:rPr>
          <w:rFonts w:hint="eastAsia" w:ascii="微软雅黑" w:hAnsi="微软雅黑" w:eastAsia="微软雅黑"/>
          <w:b/>
          <w:sz w:val="28"/>
          <w:u w:val="single"/>
        </w:rPr>
        <w:t xml:space="preserve"> XXXX信息</w:t>
      </w:r>
      <w:r>
        <w:rPr>
          <w:rFonts w:hint="eastAsia" w:ascii="微软雅黑" w:hAnsi="微软雅黑" w:eastAsia="微软雅黑"/>
          <w:b/>
          <w:color w:val="FF0000"/>
          <w:sz w:val="28"/>
          <w:u w:val="single"/>
        </w:rPr>
        <w:t>项目</w:t>
      </w:r>
      <w:r>
        <w:rPr>
          <w:rFonts w:ascii="微软雅黑" w:hAnsi="微软雅黑" w:eastAsia="微软雅黑"/>
          <w:b/>
          <w:sz w:val="28"/>
        </w:rPr>
        <w:t>采购合同</w:t>
      </w:r>
      <w:r>
        <w:rPr>
          <w:rFonts w:hint="eastAsia" w:ascii="微软雅黑" w:hAnsi="微软雅黑" w:eastAsia="微软雅黑"/>
          <w:b/>
          <w:szCs w:val="21"/>
          <w:highlight w:val="yellow"/>
        </w:rPr>
        <w:t>(最终以双方签字盖章的文本为准)</w:t>
      </w:r>
    </w:p>
    <w:p w14:paraId="0FE18785">
      <w:pPr>
        <w:snapToGrid w:val="0"/>
        <w:spacing w:before="120" w:after="120"/>
        <w:rPr>
          <w:rFonts w:ascii="微软雅黑" w:hAnsi="微软雅黑" w:eastAsia="微软雅黑"/>
          <w:sz w:val="24"/>
          <w:lang w:val="zh-CN"/>
        </w:rPr>
      </w:pPr>
      <w:r>
        <w:rPr>
          <w:rFonts w:ascii="微软雅黑" w:hAnsi="微软雅黑" w:eastAsia="微软雅黑"/>
          <w:sz w:val="24"/>
          <w:lang w:val="zh-CN"/>
        </w:rPr>
        <w:t xml:space="preserve">合同编号： </w:t>
      </w:r>
    </w:p>
    <w:p w14:paraId="487E915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甲方（采购单位）：</w:t>
      </w:r>
      <w:r>
        <w:rPr>
          <w:rFonts w:ascii="微软雅黑" w:hAnsi="微软雅黑" w:eastAsia="微软雅黑" w:cs="Times New Roman"/>
          <w:sz w:val="24"/>
          <w:szCs w:val="24"/>
          <w:u w:val="single"/>
        </w:rPr>
        <w:t>浙江大学医学院附属妇产科医院</w:t>
      </w:r>
    </w:p>
    <w:p w14:paraId="3A9BA48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乙方（供应商）：</w:t>
      </w:r>
      <w:r>
        <w:rPr>
          <w:rFonts w:hint="eastAsia" w:ascii="微软雅黑" w:hAnsi="微软雅黑" w:eastAsia="微软雅黑" w:cs="Times New Roman"/>
          <w:sz w:val="24"/>
          <w:szCs w:val="24"/>
          <w:u w:val="single"/>
        </w:rPr>
        <w:t xml:space="preserve">  XXXXXXXXXXXXXXXXXXXX  </w:t>
      </w:r>
    </w:p>
    <w:p w14:paraId="0004BA86">
      <w:pPr>
        <w:adjustRightInd w:val="0"/>
        <w:snapToGrid w:val="0"/>
        <w:spacing w:before="120" w:after="120"/>
        <w:rPr>
          <w:rFonts w:hint="eastAsia" w:ascii="微软雅黑" w:hAnsi="微软雅黑" w:eastAsia="微软雅黑" w:cs="Times New Roman"/>
          <w:b/>
          <w:sz w:val="24"/>
          <w:szCs w:val="24"/>
          <w:lang w:val="zh-CN"/>
        </w:rPr>
      </w:pPr>
      <w:r>
        <w:rPr>
          <w:rFonts w:hint="eastAsia" w:ascii="微软雅黑" w:hAnsi="微软雅黑" w:eastAsia="微软雅黑" w:cs="Times New Roman"/>
          <w:b/>
          <w:snapToGrid w:val="0"/>
          <w:kern w:val="0"/>
          <w:sz w:val="24"/>
          <w:szCs w:val="24"/>
          <w:lang w:val="zh-CN"/>
        </w:rPr>
        <w:tab/>
      </w:r>
      <w:r>
        <w:rPr>
          <w:rFonts w:ascii="微软雅黑" w:hAnsi="微软雅黑" w:eastAsia="微软雅黑" w:cs="Times New Roman"/>
          <w:b/>
          <w:snapToGrid w:val="0"/>
          <w:kern w:val="0"/>
          <w:sz w:val="24"/>
          <w:szCs w:val="24"/>
          <w:lang w:val="zh-CN"/>
        </w:rPr>
        <w:t>一、</w:t>
      </w:r>
      <w:r>
        <w:rPr>
          <w:rFonts w:hint="eastAsia" w:ascii="微软雅黑" w:hAnsi="微软雅黑" w:eastAsia="微软雅黑" w:cs="Times New Roman"/>
          <w:b/>
          <w:snapToGrid w:val="0"/>
          <w:kern w:val="0"/>
          <w:sz w:val="24"/>
          <w:szCs w:val="24"/>
          <w:lang w:val="zh-CN"/>
        </w:rPr>
        <w:t>采购内容</w:t>
      </w:r>
      <w:r>
        <w:rPr>
          <w:rFonts w:ascii="微软雅黑" w:hAnsi="微软雅黑" w:eastAsia="微软雅黑" w:cs="Times New Roman"/>
          <w:b/>
          <w:sz w:val="24"/>
          <w:szCs w:val="24"/>
          <w:lang w:val="zh-CN"/>
        </w:rPr>
        <w:t>及合同价格</w:t>
      </w:r>
    </w:p>
    <w:tbl>
      <w:tblPr>
        <w:tblStyle w:val="22"/>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30FB4FE8">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50745F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1B7F99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091E4A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6A1844D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40164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6BACE80">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343544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A8D39EA">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详见十一、项目内容说明</w:t>
            </w:r>
          </w:p>
        </w:tc>
        <w:tc>
          <w:tcPr>
            <w:tcW w:w="709" w:type="dxa"/>
            <w:tcBorders>
              <w:top w:val="nil"/>
              <w:left w:val="nil"/>
              <w:bottom w:val="single" w:color="auto" w:sz="8" w:space="0"/>
              <w:right w:val="single" w:color="auto" w:sz="8" w:space="0"/>
            </w:tcBorders>
            <w:shd w:val="clear" w:color="auto" w:fill="auto"/>
            <w:vAlign w:val="center"/>
          </w:tcPr>
          <w:p w14:paraId="16F3CFCE">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277C6D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6812DD2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4F819A3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790DA38">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4B10686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A055026">
      <w:pPr>
        <w:adjustRightInd w:val="0"/>
        <w:snapToGrid w:val="0"/>
        <w:spacing w:before="120" w:after="120"/>
        <w:ind w:firstLine="511" w:firstLineChars="213"/>
        <w:jc w:val="right"/>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78E08F6D">
      <w:pPr>
        <w:snapToGrid w:val="0"/>
        <w:spacing w:before="120" w:after="120"/>
        <w:ind w:left="-178" w:leftChars="-85" w:firstLine="511" w:firstLineChars="213"/>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注：</w:t>
      </w:r>
      <w:r>
        <w:rPr>
          <w:rFonts w:hint="eastAsia" w:ascii="微软雅黑" w:hAnsi="微软雅黑" w:eastAsia="微软雅黑" w:cs="Times New Roman"/>
          <w:sz w:val="24"/>
          <w:szCs w:val="24"/>
          <w:lang w:val="zh-CN"/>
        </w:rPr>
        <w:t>1</w:t>
      </w:r>
      <w:r>
        <w:rPr>
          <w:rFonts w:ascii="微软雅黑" w:hAnsi="微软雅黑" w:eastAsia="微软雅黑" w:cs="Times New Roman"/>
          <w:sz w:val="24"/>
          <w:szCs w:val="24"/>
          <w:lang w:val="zh-CN"/>
        </w:rPr>
        <w:t>、</w:t>
      </w:r>
      <w:r>
        <w:rPr>
          <w:rFonts w:ascii="微软雅黑" w:hAnsi="微软雅黑" w:eastAsia="微软雅黑" w:cs="Times New Roman"/>
          <w:sz w:val="24"/>
          <w:szCs w:val="20"/>
          <w:lang w:val="zh-CN"/>
        </w:rPr>
        <w:t>以上合</w:t>
      </w:r>
      <w:r>
        <w:rPr>
          <w:rFonts w:ascii="微软雅黑" w:hAnsi="微软雅黑" w:eastAsia="微软雅黑" w:cs="Times New Roman"/>
          <w:color w:val="auto"/>
          <w:sz w:val="24"/>
          <w:szCs w:val="20"/>
          <w:lang w:val="zh-CN"/>
        </w:rPr>
        <w:t>同总价</w:t>
      </w:r>
      <w:r>
        <w:rPr>
          <w:rFonts w:hint="eastAsia" w:ascii="微软雅黑" w:hAnsi="微软雅黑" w:eastAsia="微软雅黑" w:cs="Times New Roman"/>
          <w:color w:val="auto"/>
          <w:sz w:val="24"/>
          <w:szCs w:val="20"/>
          <w:lang w:val="zh-CN"/>
        </w:rPr>
        <w:t>，</w:t>
      </w:r>
      <w:r>
        <w:rPr>
          <w:rFonts w:ascii="微软雅黑" w:hAnsi="微软雅黑" w:eastAsia="微软雅黑" w:cs="Times New Roman"/>
          <w:color w:val="auto"/>
          <w:sz w:val="24"/>
          <w:szCs w:val="20"/>
          <w:lang w:val="zh-CN"/>
        </w:rPr>
        <w:t>包含产品到达用户</w:t>
      </w:r>
      <w:r>
        <w:rPr>
          <w:rFonts w:hint="eastAsia" w:ascii="微软雅黑" w:hAnsi="微软雅黑" w:eastAsia="微软雅黑" w:cs="Times New Roman"/>
          <w:color w:val="auto"/>
          <w:sz w:val="24"/>
          <w:szCs w:val="20"/>
          <w:lang w:val="zh-CN"/>
        </w:rPr>
        <w:t>、达到用户要求的使用性能、</w:t>
      </w:r>
      <w:r>
        <w:rPr>
          <w:rFonts w:ascii="微软雅黑" w:hAnsi="微软雅黑" w:eastAsia="微软雅黑" w:cs="Times New Roman"/>
          <w:color w:val="auto"/>
          <w:sz w:val="24"/>
          <w:szCs w:val="20"/>
          <w:lang w:val="zh-CN"/>
        </w:rPr>
        <w:t>并能</w:t>
      </w:r>
      <w:r>
        <w:rPr>
          <w:rFonts w:hint="eastAsia" w:ascii="微软雅黑" w:hAnsi="微软雅黑" w:eastAsia="微软雅黑" w:cs="Times New Roman"/>
          <w:color w:val="auto"/>
          <w:sz w:val="24"/>
          <w:szCs w:val="20"/>
          <w:lang w:val="zh-CN"/>
        </w:rPr>
        <w:t>在用户要求的期限内</w:t>
      </w:r>
      <w:r>
        <w:rPr>
          <w:rFonts w:ascii="微软雅黑" w:hAnsi="微软雅黑" w:eastAsia="微软雅黑" w:cs="Times New Roman"/>
          <w:color w:val="auto"/>
          <w:sz w:val="24"/>
          <w:szCs w:val="20"/>
          <w:lang w:val="zh-CN"/>
        </w:rPr>
        <w:t>正常使用所需的一切费用。</w:t>
      </w:r>
    </w:p>
    <w:p w14:paraId="59EB4FB1">
      <w:pPr>
        <w:snapToGrid w:val="0"/>
        <w:spacing w:before="120" w:after="120"/>
        <w:ind w:left="-178" w:leftChars="-85" w:firstLine="511" w:firstLineChars="213"/>
        <w:rPr>
          <w:rFonts w:hint="eastAsia" w:ascii="微软雅黑" w:hAnsi="微软雅黑" w:eastAsia="微软雅黑" w:cs="Times New Roman"/>
          <w:sz w:val="24"/>
          <w:szCs w:val="24"/>
          <w:u w:val="single"/>
          <w:lang w:val="zh-CN"/>
        </w:rPr>
      </w:pPr>
      <w:r>
        <w:rPr>
          <w:rFonts w:hint="eastAsia" w:ascii="微软雅黑" w:hAnsi="微软雅黑" w:eastAsia="微软雅黑" w:cs="Times New Roman"/>
          <w:sz w:val="24"/>
          <w:szCs w:val="24"/>
          <w:lang w:val="zh-CN"/>
        </w:rPr>
        <w:tab/>
      </w:r>
      <w:r>
        <w:rPr>
          <w:rFonts w:hint="eastAsia" w:ascii="微软雅黑" w:hAnsi="微软雅黑" w:eastAsia="微软雅黑" w:cs="Times New Roman"/>
          <w:sz w:val="24"/>
          <w:szCs w:val="24"/>
          <w:lang w:val="zh-CN"/>
        </w:rPr>
        <w:t xml:space="preserve">  2、招标文件、投标文件与本合同具有同等法律效力。</w:t>
      </w:r>
    </w:p>
    <w:p w14:paraId="335D2653">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二、技术资料</w:t>
      </w:r>
    </w:p>
    <w:p w14:paraId="1793FCA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1.乙方应按招标文件规定的时间</w:t>
      </w:r>
      <w:r>
        <w:rPr>
          <w:rFonts w:hint="eastAsia" w:ascii="微软雅黑" w:hAnsi="微软雅黑" w:eastAsia="微软雅黑" w:cs="Times New Roman"/>
          <w:snapToGrid w:val="0"/>
          <w:kern w:val="0"/>
          <w:sz w:val="24"/>
          <w:szCs w:val="24"/>
          <w:lang w:val="zh-CN"/>
        </w:rPr>
        <w:t>，</w:t>
      </w:r>
      <w:r>
        <w:rPr>
          <w:rFonts w:ascii="微软雅黑" w:hAnsi="微软雅黑" w:eastAsia="微软雅黑" w:cs="Times New Roman"/>
          <w:snapToGrid w:val="0"/>
          <w:kern w:val="0"/>
          <w:sz w:val="24"/>
          <w:szCs w:val="24"/>
          <w:lang w:val="zh-CN"/>
        </w:rPr>
        <w:t>向甲方提供</w:t>
      </w:r>
      <w:r>
        <w:rPr>
          <w:rFonts w:hint="eastAsia" w:ascii="微软雅黑" w:hAnsi="微软雅黑" w:eastAsia="微软雅黑" w:cs="Times New Roman"/>
          <w:snapToGrid w:val="0"/>
          <w:kern w:val="0"/>
          <w:sz w:val="24"/>
          <w:szCs w:val="24"/>
          <w:lang w:val="zh-CN"/>
        </w:rPr>
        <w:t>全部合法有效</w:t>
      </w:r>
      <w:r>
        <w:rPr>
          <w:rFonts w:ascii="微软雅黑" w:hAnsi="微软雅黑" w:eastAsia="微软雅黑" w:cs="Times New Roman"/>
          <w:snapToGrid w:val="0"/>
          <w:kern w:val="0"/>
          <w:sz w:val="24"/>
          <w:szCs w:val="24"/>
          <w:lang w:val="zh-CN"/>
        </w:rPr>
        <w:t>技术资料。</w:t>
      </w:r>
    </w:p>
    <w:p w14:paraId="23500C27">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三、知识产权</w:t>
      </w:r>
    </w:p>
    <w:p w14:paraId="795BC98C">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snapToGrid w:val="0"/>
          <w:kern w:val="0"/>
          <w:sz w:val="24"/>
          <w:szCs w:val="24"/>
          <w:lang w:val="zh-CN"/>
        </w:rPr>
        <w:t>乙方应保证所提供的货物或其任何一部分</w:t>
      </w:r>
      <w:r>
        <w:rPr>
          <w:rFonts w:hint="eastAsia" w:ascii="微软雅黑" w:hAnsi="微软雅黑" w:eastAsia="微软雅黑" w:cs="Times New Roman"/>
          <w:snapToGrid w:val="0"/>
          <w:kern w:val="0"/>
          <w:sz w:val="24"/>
          <w:szCs w:val="24"/>
          <w:lang w:val="zh-CN"/>
        </w:rPr>
        <w:t>包括软件等</w:t>
      </w:r>
      <w:r>
        <w:rPr>
          <w:rFonts w:hint="eastAsia" w:ascii="微软雅黑" w:hAnsi="微软雅黑" w:eastAsia="微软雅黑" w:cs="Times New Roman"/>
          <w:snapToGrid w:val="0"/>
          <w:color w:val="FF0000"/>
          <w:kern w:val="0"/>
          <w:sz w:val="24"/>
          <w:szCs w:val="24"/>
          <w:lang w:val="zh-CN"/>
        </w:rPr>
        <w:t>，</w:t>
      </w:r>
      <w:r>
        <w:rPr>
          <w:rFonts w:ascii="微软雅黑" w:hAnsi="微软雅黑" w:eastAsia="微软雅黑" w:cs="Times New Roman"/>
          <w:snapToGrid w:val="0"/>
          <w:kern w:val="0"/>
          <w:sz w:val="24"/>
          <w:szCs w:val="24"/>
          <w:lang w:val="zh-CN"/>
        </w:rPr>
        <w:t>均不会侵犯任何第三方的知识产权</w:t>
      </w:r>
      <w:r>
        <w:rPr>
          <w:rFonts w:ascii="微软雅黑" w:hAnsi="微软雅黑" w:eastAsia="微软雅黑" w:cs="Times New Roman"/>
          <w:bCs/>
          <w:snapToGrid w:val="0"/>
          <w:kern w:val="0"/>
          <w:sz w:val="24"/>
          <w:szCs w:val="24"/>
          <w:lang w:val="zh-CN"/>
        </w:rPr>
        <w:t>。</w:t>
      </w:r>
      <w:r>
        <w:rPr>
          <w:rFonts w:hint="eastAsia" w:ascii="微软雅黑" w:hAnsi="微软雅黑" w:eastAsia="微软雅黑" w:cs="Times New Roman"/>
          <w:bCs/>
          <w:snapToGrid w:val="0"/>
          <w:kern w:val="0"/>
          <w:sz w:val="24"/>
          <w:szCs w:val="24"/>
          <w:lang w:val="zh-CN"/>
        </w:rPr>
        <w:t>任何第三方对本合同标的主张知识产权的，均由乙方承担全部责任。甲方先行承担责任的，有权向乙方追偿。</w:t>
      </w:r>
    </w:p>
    <w:p w14:paraId="51500562">
      <w:pPr>
        <w:adjustRightInd w:val="0"/>
        <w:snapToGrid w:val="0"/>
        <w:spacing w:before="120" w:after="120" w:line="360" w:lineRule="auto"/>
        <w:ind w:firstLine="475" w:firstLineChars="198"/>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b/>
          <w:snapToGrid w:val="0"/>
          <w:kern w:val="0"/>
          <w:sz w:val="24"/>
          <w:szCs w:val="24"/>
          <w:lang w:val="zh-CN"/>
        </w:rPr>
        <w:t>四、产权担保</w:t>
      </w:r>
    </w:p>
    <w:p w14:paraId="05EB4E7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乙方保证所交付的</w:t>
      </w:r>
      <w:bookmarkStart w:id="5" w:name="_Hlk169698889"/>
      <w:r>
        <w:rPr>
          <w:rFonts w:ascii="微软雅黑" w:hAnsi="微软雅黑" w:eastAsia="微软雅黑" w:cs="Times New Roman"/>
          <w:snapToGrid w:val="0"/>
          <w:kern w:val="0"/>
          <w:sz w:val="24"/>
          <w:szCs w:val="24"/>
          <w:lang w:val="zh-CN"/>
        </w:rPr>
        <w:t>货物</w:t>
      </w:r>
      <w:bookmarkEnd w:id="5"/>
      <w:r>
        <w:rPr>
          <w:rFonts w:ascii="微软雅黑" w:hAnsi="微软雅黑" w:eastAsia="微软雅黑" w:cs="Times New Roman"/>
          <w:snapToGrid w:val="0"/>
          <w:kern w:val="0"/>
          <w:sz w:val="24"/>
          <w:szCs w:val="24"/>
          <w:lang w:val="zh-CN"/>
        </w:rPr>
        <w:t>所有权</w:t>
      </w:r>
      <w:r>
        <w:rPr>
          <w:rFonts w:hint="eastAsia" w:ascii="微软雅黑" w:hAnsi="微软雅黑" w:eastAsia="微软雅黑" w:cs="Times New Roman"/>
          <w:snapToGrid w:val="0"/>
          <w:kern w:val="0"/>
          <w:sz w:val="24"/>
          <w:szCs w:val="24"/>
          <w:lang w:val="zh-CN"/>
        </w:rPr>
        <w:t>，在交付之时，</w:t>
      </w:r>
      <w:r>
        <w:rPr>
          <w:rFonts w:ascii="微软雅黑" w:hAnsi="微软雅黑" w:eastAsia="微软雅黑" w:cs="Times New Roman"/>
          <w:snapToGrid w:val="0"/>
          <w:kern w:val="0"/>
          <w:sz w:val="24"/>
          <w:szCs w:val="24"/>
          <w:lang w:val="zh-CN"/>
        </w:rPr>
        <w:t>完全属于乙方且无任何抵押、查封等产权瑕疵。</w:t>
      </w:r>
    </w:p>
    <w:p w14:paraId="2F2D876B">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五、转包或分包</w:t>
      </w:r>
    </w:p>
    <w:p w14:paraId="00B0CE18">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本合同范围的货物，应由乙方直接供应，不得转让他人供应，否则，甲方有权解除合同并追究乙方的违约责任。</w:t>
      </w:r>
    </w:p>
    <w:p w14:paraId="19DF275E">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b/>
          <w:snapToGrid w:val="0"/>
          <w:kern w:val="0"/>
          <w:sz w:val="24"/>
          <w:szCs w:val="24"/>
          <w:lang w:val="zh-CN"/>
        </w:rPr>
        <w:t>六、质保</w:t>
      </w:r>
      <w:r>
        <w:rPr>
          <w:rFonts w:hint="eastAsia" w:ascii="微软雅黑" w:hAnsi="微软雅黑" w:eastAsia="微软雅黑" w:cs="Times New Roman"/>
          <w:b/>
          <w:snapToGrid w:val="0"/>
          <w:kern w:val="0"/>
          <w:sz w:val="24"/>
          <w:szCs w:val="24"/>
          <w:lang w:val="zh-CN"/>
        </w:rPr>
        <w:t>或维保周期</w:t>
      </w:r>
    </w:p>
    <w:p w14:paraId="20F600EA">
      <w:pPr>
        <w:adjustRightInd w:val="0"/>
        <w:snapToGrid w:val="0"/>
        <w:spacing w:before="120" w:after="120" w:line="360" w:lineRule="auto"/>
        <w:ind w:firstLine="480" w:firstLineChars="200"/>
        <w:jc w:val="left"/>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项目终验合格后</w:t>
      </w:r>
      <w:r>
        <w:rPr>
          <w:rFonts w:ascii="微软雅黑" w:hAnsi="微软雅黑" w:eastAsia="微软雅黑" w:cs="Times New Roman"/>
          <w:snapToGrid w:val="0"/>
          <w:color w:val="auto"/>
          <w:kern w:val="0"/>
          <w:sz w:val="24"/>
          <w:szCs w:val="24"/>
          <w:lang w:val="zh-CN"/>
        </w:rPr>
        <w:t>质保</w:t>
      </w:r>
      <w:r>
        <w:rPr>
          <w:rFonts w:hint="eastAsia" w:ascii="微软雅黑" w:hAnsi="微软雅黑" w:eastAsia="微软雅黑" w:cs="Times New Roman"/>
          <w:snapToGrid w:val="0"/>
          <w:color w:val="auto"/>
          <w:kern w:val="0"/>
          <w:sz w:val="24"/>
          <w:szCs w:val="24"/>
          <w:u w:val="single"/>
          <w:lang w:val="zh-CN"/>
        </w:rPr>
        <w:t xml:space="preserve"> </w:t>
      </w:r>
      <w:r>
        <w:rPr>
          <w:rFonts w:hint="eastAsia" w:ascii="微软雅黑" w:hAnsi="微软雅黑" w:eastAsia="微软雅黑" w:cs="Times New Roman"/>
          <w:b/>
          <w:snapToGrid w:val="0"/>
          <w:color w:val="auto"/>
          <w:kern w:val="0"/>
          <w:sz w:val="24"/>
          <w:szCs w:val="24"/>
          <w:u w:val="single"/>
          <w:lang w:val="en-US" w:eastAsia="zh-CN"/>
        </w:rPr>
        <w:t xml:space="preserve"> </w:t>
      </w:r>
      <w:r>
        <w:rPr>
          <w:rFonts w:hint="eastAsia" w:ascii="微软雅黑" w:hAnsi="微软雅黑" w:eastAsia="微软雅黑" w:cs="Times New Roman"/>
          <w:b/>
          <w:snapToGrid w:val="0"/>
          <w:color w:val="auto"/>
          <w:kern w:val="0"/>
          <w:sz w:val="24"/>
          <w:szCs w:val="24"/>
          <w:u w:val="single"/>
          <w:lang w:val="zh-CN"/>
        </w:rPr>
        <w:t xml:space="preserve"> </w:t>
      </w:r>
      <w:r>
        <w:rPr>
          <w:rFonts w:ascii="微软雅黑" w:hAnsi="微软雅黑" w:eastAsia="微软雅黑" w:cs="Times New Roman"/>
          <w:snapToGrid w:val="0"/>
          <w:color w:val="auto"/>
          <w:kern w:val="0"/>
          <w:sz w:val="24"/>
          <w:szCs w:val="24"/>
          <w:lang w:val="zh-CN"/>
        </w:rPr>
        <w:t>年。</w:t>
      </w:r>
    </w:p>
    <w:p w14:paraId="188DE617">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七、交货期、交货方式及地点</w:t>
      </w:r>
    </w:p>
    <w:p w14:paraId="16C0D0B8">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1. 交货期：</w:t>
      </w:r>
    </w:p>
    <w:p w14:paraId="7E13E231">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color w:val="auto"/>
          <w:kern w:val="0"/>
          <w:sz w:val="24"/>
          <w:szCs w:val="24"/>
          <w:lang w:val="zh-CN"/>
        </w:rPr>
        <w:t>本合同签订之日起</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color w:val="auto"/>
          <w:kern w:val="0"/>
          <w:sz w:val="24"/>
          <w:szCs w:val="24"/>
          <w:lang w:val="zh-CN"/>
        </w:rPr>
        <w:t>内，乙方将产品</w:t>
      </w:r>
      <w:r>
        <w:rPr>
          <w:rFonts w:ascii="微软雅黑" w:hAnsi="微软雅黑" w:eastAsia="微软雅黑" w:cs="Times New Roman"/>
          <w:bCs/>
          <w:snapToGrid w:val="0"/>
          <w:color w:val="auto"/>
          <w:kern w:val="0"/>
          <w:sz w:val="24"/>
          <w:szCs w:val="24"/>
          <w:lang w:val="zh-CN"/>
        </w:rPr>
        <w:t>/</w:t>
      </w:r>
      <w:r>
        <w:rPr>
          <w:rFonts w:hint="eastAsia" w:ascii="微软雅黑" w:hAnsi="微软雅黑" w:eastAsia="微软雅黑" w:cs="Times New Roman"/>
          <w:bCs/>
          <w:snapToGrid w:val="0"/>
          <w:color w:val="auto"/>
          <w:kern w:val="0"/>
          <w:sz w:val="24"/>
          <w:szCs w:val="24"/>
          <w:lang w:val="zh-CN"/>
        </w:rPr>
        <w:t>服务交付</w:t>
      </w:r>
      <w:r>
        <w:rPr>
          <w:rFonts w:hint="eastAsia" w:ascii="微软雅黑" w:hAnsi="微软雅黑" w:eastAsia="微软雅黑" w:cs="Times New Roman"/>
          <w:bCs/>
          <w:snapToGrid w:val="0"/>
          <w:kern w:val="0"/>
          <w:sz w:val="24"/>
          <w:szCs w:val="24"/>
          <w:lang w:val="zh-CN"/>
        </w:rPr>
        <w:t>到甲方指定地点。</w:t>
      </w:r>
    </w:p>
    <w:p w14:paraId="5BD974F6">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2. 交货方式</w:t>
      </w:r>
      <w:r>
        <w:rPr>
          <w:rFonts w:hint="eastAsia" w:ascii="微软雅黑" w:hAnsi="微软雅黑" w:eastAsia="微软雅黑" w:cs="Times New Roman"/>
          <w:bCs/>
          <w:snapToGrid w:val="0"/>
          <w:kern w:val="0"/>
          <w:sz w:val="24"/>
          <w:szCs w:val="24"/>
          <w:lang w:val="zh-CN"/>
        </w:rPr>
        <w:t>及</w:t>
      </w:r>
      <w:r>
        <w:rPr>
          <w:rFonts w:ascii="微软雅黑" w:hAnsi="微软雅黑" w:eastAsia="微软雅黑" w:cs="Times New Roman"/>
          <w:bCs/>
          <w:snapToGrid w:val="0"/>
          <w:kern w:val="0"/>
          <w:sz w:val="24"/>
          <w:szCs w:val="24"/>
          <w:lang w:val="zh-CN"/>
        </w:rPr>
        <w:t>地点：</w:t>
      </w:r>
    </w:p>
    <w:p w14:paraId="4068ED0A">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kern w:val="0"/>
          <w:sz w:val="24"/>
          <w:szCs w:val="24"/>
          <w:lang w:val="zh-CN"/>
        </w:rPr>
        <w:t>乙方将产品交付到甲方指定地点，并在货物到货后</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kern w:val="0"/>
          <w:sz w:val="24"/>
          <w:szCs w:val="24"/>
          <w:lang w:val="zh-CN"/>
        </w:rPr>
        <w:t>内完成安装调试，确保可用。</w:t>
      </w:r>
    </w:p>
    <w:p w14:paraId="145A7326">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hint="eastAsia" w:ascii="微软雅黑" w:hAnsi="微软雅黑" w:eastAsia="微软雅黑" w:cs="Times New Roman"/>
          <w:b/>
          <w:snapToGrid w:val="0"/>
          <w:kern w:val="0"/>
          <w:sz w:val="24"/>
          <w:szCs w:val="24"/>
          <w:lang w:val="zh-CN"/>
        </w:rPr>
        <w:t>八、</w:t>
      </w:r>
      <w:r>
        <w:rPr>
          <w:rFonts w:hint="eastAsia" w:ascii="微软雅黑" w:hAnsi="微软雅黑" w:eastAsia="微软雅黑" w:cs="Times New Roman"/>
          <w:b/>
          <w:snapToGrid w:val="0"/>
          <w:kern w:val="0"/>
          <w:sz w:val="24"/>
          <w:szCs w:val="24"/>
          <w:lang w:val="en-US" w:eastAsia="zh-CN"/>
        </w:rPr>
        <w:t>项目</w:t>
      </w:r>
      <w:r>
        <w:rPr>
          <w:rFonts w:ascii="微软雅黑" w:hAnsi="微软雅黑" w:eastAsia="微软雅黑" w:cs="Times New Roman"/>
          <w:b/>
          <w:snapToGrid w:val="0"/>
          <w:kern w:val="0"/>
          <w:sz w:val="24"/>
          <w:szCs w:val="24"/>
          <w:lang w:val="zh-CN"/>
        </w:rPr>
        <w:t>款支付</w:t>
      </w:r>
    </w:p>
    <w:p w14:paraId="6D003C76">
      <w:pPr>
        <w:adjustRightInd w:val="0"/>
        <w:snapToGrid w:val="0"/>
        <w:spacing w:before="120" w:after="120" w:line="360" w:lineRule="auto"/>
        <w:ind w:firstLine="511" w:firstLineChars="213"/>
        <w:rPr>
          <w:rFonts w:hint="eastAsia" w:ascii="微软雅黑" w:hAnsi="微软雅黑" w:eastAsia="微软雅黑" w:cs="Times New Roman"/>
          <w:sz w:val="24"/>
          <w:szCs w:val="21"/>
          <w:lang w:val="zh-CN"/>
        </w:rPr>
      </w:pPr>
      <w:r>
        <w:rPr>
          <w:rFonts w:ascii="微软雅黑" w:hAnsi="微软雅黑" w:eastAsia="微软雅黑" w:cs="Times New Roman"/>
          <w:bCs/>
          <w:snapToGrid w:val="0"/>
          <w:kern w:val="0"/>
          <w:sz w:val="24"/>
          <w:szCs w:val="24"/>
          <w:lang w:val="zh-CN"/>
        </w:rPr>
        <w:t xml:space="preserve"> 付款方式：</w:t>
      </w:r>
      <w:r>
        <w:rPr>
          <w:rFonts w:hint="eastAsia" w:ascii="微软雅黑" w:hAnsi="微软雅黑" w:eastAsia="微软雅黑" w:cs="Times New Roman"/>
          <w:sz w:val="24"/>
          <w:szCs w:val="21"/>
          <w:lang w:val="zh-CN"/>
        </w:rPr>
        <w:t>甲方采用银行转帐或电汇方式将款项汇入乙方指定账户，付款时间如下：</w:t>
      </w:r>
    </w:p>
    <w:p w14:paraId="250B538C">
      <w:pPr>
        <w:spacing w:line="360" w:lineRule="auto"/>
        <w:ind w:firstLine="480" w:firstLineChars="200"/>
        <w:rPr>
          <w:rFonts w:ascii="宋体" w:hAnsi="宋体"/>
          <w:bCs/>
          <w:snapToGrid w:val="0"/>
          <w:kern w:val="0"/>
          <w:sz w:val="24"/>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按招标文件付款方式</w:t>
      </w:r>
      <w:r>
        <w:rPr>
          <w:rFonts w:hint="eastAsia" w:ascii="宋体" w:hAnsi="宋体"/>
          <w:bCs/>
          <w:snapToGrid w:val="0"/>
          <w:color w:val="FF0000"/>
          <w:kern w:val="0"/>
          <w:sz w:val="24"/>
          <w:highlight w:val="none"/>
          <w:lang w:val="zh-CN"/>
        </w:rPr>
        <w:t>）</w:t>
      </w:r>
    </w:p>
    <w:p w14:paraId="108BF8F7">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乙方指定账户：</w:t>
      </w:r>
    </w:p>
    <w:p w14:paraId="64DAE7DB">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账户名称：</w:t>
      </w:r>
      <w:r>
        <w:rPr>
          <w:rFonts w:ascii="微软雅黑" w:hAnsi="微软雅黑" w:eastAsia="微软雅黑" w:cs="Times New Roman"/>
          <w:sz w:val="24"/>
          <w:szCs w:val="21"/>
          <w:lang w:val="zh-CN"/>
        </w:rPr>
        <w:t xml:space="preserve">  </w:t>
      </w:r>
      <w:r>
        <w:rPr>
          <w:rFonts w:hint="eastAsia" w:ascii="微软雅黑" w:hAnsi="微软雅黑" w:eastAsia="微软雅黑" w:cs="Times New Roman"/>
          <w:sz w:val="24"/>
          <w:szCs w:val="21"/>
          <w:u w:val="single"/>
          <w:lang w:val="zh-CN"/>
        </w:rPr>
        <w:t xml:space="preserve">                          </w:t>
      </w:r>
      <w:r>
        <w:rPr>
          <w:rFonts w:ascii="微软雅黑" w:hAnsi="微软雅黑" w:eastAsia="微软雅黑" w:cs="Times New Roman"/>
          <w:sz w:val="24"/>
          <w:szCs w:val="21"/>
          <w:lang w:val="zh-CN"/>
        </w:rPr>
        <w:t xml:space="preserve">  </w:t>
      </w:r>
    </w:p>
    <w:p w14:paraId="3CFDAB61">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账户开户银行：</w:t>
      </w:r>
      <w:r>
        <w:rPr>
          <w:rFonts w:hint="eastAsia" w:ascii="微软雅黑" w:hAnsi="微软雅黑" w:eastAsia="微软雅黑" w:cs="Times New Roman"/>
          <w:sz w:val="24"/>
          <w:szCs w:val="21"/>
          <w:u w:val="single"/>
          <w:lang w:val="zh-CN"/>
        </w:rPr>
        <w:t xml:space="preserve">                           </w:t>
      </w:r>
    </w:p>
    <w:p w14:paraId="6AA47483">
      <w:pPr>
        <w:spacing w:line="360" w:lineRule="auto"/>
        <w:ind w:left="885"/>
        <w:rPr>
          <w:rFonts w:hint="eastAsia" w:ascii="微软雅黑" w:hAnsi="微软雅黑" w:eastAsia="微软雅黑" w:cs="Times New Roman"/>
          <w:sz w:val="24"/>
          <w:szCs w:val="21"/>
          <w:u w:val="single"/>
          <w:lang w:val="zh-CN"/>
        </w:rPr>
      </w:pPr>
      <w:r>
        <w:rPr>
          <w:rFonts w:hint="eastAsia" w:ascii="微软雅黑" w:hAnsi="微软雅黑" w:eastAsia="微软雅黑" w:cs="Times New Roman"/>
          <w:sz w:val="24"/>
          <w:szCs w:val="21"/>
          <w:lang w:val="zh-CN"/>
        </w:rPr>
        <w:t>账户银行账号：</w:t>
      </w:r>
      <w:r>
        <w:rPr>
          <w:rFonts w:hint="eastAsia" w:ascii="微软雅黑" w:hAnsi="微软雅黑" w:eastAsia="微软雅黑" w:cs="Times New Roman"/>
          <w:sz w:val="24"/>
          <w:szCs w:val="21"/>
          <w:u w:val="single"/>
          <w:lang w:val="zh-CN"/>
        </w:rPr>
        <w:t xml:space="preserve">                           </w:t>
      </w:r>
    </w:p>
    <w:p w14:paraId="4216C258">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九</w:t>
      </w:r>
      <w:r>
        <w:rPr>
          <w:rFonts w:ascii="微软雅黑" w:hAnsi="微软雅黑" w:eastAsia="微软雅黑" w:cs="Times New Roman"/>
          <w:b/>
          <w:snapToGrid w:val="0"/>
          <w:kern w:val="0"/>
          <w:sz w:val="24"/>
          <w:szCs w:val="24"/>
        </w:rPr>
        <w:t>、税费</w:t>
      </w:r>
    </w:p>
    <w:p w14:paraId="7E2A945D">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本合同执行中相关的一切税费均由乙方负担。</w:t>
      </w:r>
    </w:p>
    <w:p w14:paraId="428AB14A">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十、各方职责</w:t>
      </w:r>
    </w:p>
    <w:p w14:paraId="5DC04750">
      <w:pPr>
        <w:autoSpaceDE w:val="0"/>
        <w:autoSpaceDN w:val="0"/>
        <w:adjustRightInd w:val="0"/>
        <w:spacing w:line="360" w:lineRule="auto"/>
        <w:ind w:firstLine="360" w:firstLineChars="15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1、甲方职责：</w:t>
      </w:r>
    </w:p>
    <w:p w14:paraId="347CA354">
      <w:pPr>
        <w:numPr>
          <w:ilvl w:val="0"/>
          <w:numId w:val="8"/>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甲方应向乙方提供采购内容所需要的技术资料和数据，参与整个项目的全过程，协助配合乙方做好需求调研、方案设计及现场等工作，对各项业务的需求报告及时确认。</w:t>
      </w:r>
    </w:p>
    <w:p w14:paraId="2C928A22">
      <w:pPr>
        <w:numPr>
          <w:ilvl w:val="0"/>
          <w:numId w:val="8"/>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确保有专人负责软件的使用和管理，确保设施运行环境（包括计算机、打印机及相关硬件设备）的安全，为软件正常运行提供保障。</w:t>
      </w:r>
    </w:p>
    <w:p w14:paraId="0CCA122C">
      <w:pPr>
        <w:numPr>
          <w:ilvl w:val="0"/>
          <w:numId w:val="8"/>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在乙方进行维护与技术支持时，根据乙方要求，指定配合工作的员工，提供必要的设备,配合检查软件系统运行是否正常。</w:t>
      </w:r>
    </w:p>
    <w:p w14:paraId="3F27D0F7">
      <w:pPr>
        <w:autoSpaceDE w:val="0"/>
        <w:autoSpaceDN w:val="0"/>
        <w:adjustRightInd w:val="0"/>
        <w:spacing w:line="360" w:lineRule="auto"/>
        <w:ind w:firstLine="480" w:firstLineChars="20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2、乙方职责：</w:t>
      </w:r>
    </w:p>
    <w:p w14:paraId="7588694C">
      <w:pPr>
        <w:numPr>
          <w:ilvl w:val="0"/>
          <w:numId w:val="9"/>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乙方承诺按照本合同约定的服务内容和服务进度向甲方提供合格的服务，并做好项目管理，指定项目负责人。</w:t>
      </w:r>
    </w:p>
    <w:p w14:paraId="0D3C7316">
      <w:pPr>
        <w:numPr>
          <w:ilvl w:val="0"/>
          <w:numId w:val="9"/>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乙方保证提供的技术资料具有科学性，正确性，简明性，可操作性和规范性。乙方须进行必要的技术指导，并保证甲方能正确、安全、有效的使用服务成果。</w:t>
      </w:r>
      <w:r>
        <w:rPr>
          <w:rFonts w:ascii="微软雅黑" w:hAnsi="微软雅黑" w:eastAsia="微软雅黑" w:cs="Times New Roman"/>
          <w:snapToGrid w:val="0"/>
          <w:kern w:val="0"/>
          <w:sz w:val="24"/>
          <w:szCs w:val="24"/>
        </w:rPr>
        <w:t xml:space="preserve"> </w:t>
      </w:r>
    </w:p>
    <w:p w14:paraId="6317CAD0">
      <w:pPr>
        <w:numPr>
          <w:ilvl w:val="0"/>
          <w:numId w:val="9"/>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乙方保证派驻甲方的人员遵守甲方的有关制度、工作纪律和规定，乙方服务人员应在甲方规定的工作场地范围内工作。</w:t>
      </w:r>
    </w:p>
    <w:p w14:paraId="22CC73C4">
      <w:pPr>
        <w:numPr>
          <w:ilvl w:val="0"/>
          <w:numId w:val="9"/>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乙方在履行合同过程中，对甲方的信息数据、软件源代码、有关文档保密，未经审批不得向第三方泄露，若有违反，经查证后根据情节轻重扣减合同款。</w:t>
      </w:r>
    </w:p>
    <w:p w14:paraId="1881F6C1">
      <w:pPr>
        <w:numPr>
          <w:ilvl w:val="0"/>
          <w:numId w:val="10"/>
        </w:numPr>
        <w:adjustRightInd w:val="0"/>
        <w:snapToGrid w:val="0"/>
        <w:spacing w:before="120" w:after="120"/>
        <w:ind w:left="420" w:leftChars="0" w:firstLine="0" w:firstLineChars="0"/>
        <w:rPr>
          <w:rFonts w:hint="eastAsia" w:ascii="微软雅黑" w:hAnsi="微软雅黑" w:eastAsia="微软雅黑" w:cs="Times New Roman"/>
          <w:b/>
          <w:sz w:val="24"/>
          <w:szCs w:val="24"/>
          <w:lang w:val="zh-CN"/>
        </w:rPr>
      </w:pPr>
      <w:r>
        <w:rPr>
          <w:rFonts w:hint="eastAsia" w:ascii="微软雅黑" w:hAnsi="微软雅黑" w:eastAsia="微软雅黑" w:cs="Times New Roman"/>
          <w:b/>
          <w:sz w:val="24"/>
          <w:szCs w:val="24"/>
          <w:lang w:val="zh-CN"/>
        </w:rPr>
        <w:t>项目内容说明</w:t>
      </w:r>
    </w:p>
    <w:p w14:paraId="0D7DA7FE">
      <w:pPr>
        <w:spacing w:line="360" w:lineRule="auto"/>
        <w:ind w:firstLine="480" w:firstLineChars="200"/>
        <w:rPr>
          <w:rFonts w:hint="eastAsia"/>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投标文件项目内容</w:t>
      </w:r>
      <w:r>
        <w:rPr>
          <w:rFonts w:hint="eastAsia" w:ascii="宋体" w:hAnsi="宋体"/>
          <w:bCs/>
          <w:snapToGrid w:val="0"/>
          <w:color w:val="FF0000"/>
          <w:kern w:val="0"/>
          <w:sz w:val="24"/>
          <w:highlight w:val="none"/>
          <w:lang w:val="zh-CN"/>
        </w:rPr>
        <w:t>）</w:t>
      </w:r>
    </w:p>
    <w:p w14:paraId="63086A11">
      <w:pPr>
        <w:spacing w:line="360" w:lineRule="auto"/>
        <w:rPr>
          <w:rFonts w:hint="eastAsia" w:ascii="宋体" w:hAnsi="宋体" w:eastAsia="宋体" w:cs="Times New Roman"/>
          <w:b/>
          <w:sz w:val="24"/>
          <w:szCs w:val="24"/>
        </w:rPr>
      </w:pPr>
    </w:p>
    <w:p w14:paraId="54D9FAAC">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bookmarkStart w:id="6" w:name="_Toc142970449"/>
      <w:bookmarkStart w:id="7" w:name="_Toc144721928"/>
      <w:r>
        <w:rPr>
          <w:rFonts w:ascii="微软雅黑" w:hAnsi="微软雅黑" w:eastAsia="微软雅黑" w:cs="Times New Roman"/>
          <w:b/>
          <w:snapToGrid w:val="0"/>
          <w:kern w:val="0"/>
          <w:sz w:val="24"/>
          <w:szCs w:val="24"/>
          <w:lang w:val="zh-CN"/>
        </w:rPr>
        <w:t>十</w:t>
      </w:r>
      <w:r>
        <w:rPr>
          <w:rFonts w:hint="eastAsia" w:ascii="微软雅黑" w:hAnsi="微软雅黑" w:eastAsia="微软雅黑" w:cs="Times New Roman"/>
          <w:b/>
          <w:snapToGrid w:val="0"/>
          <w:kern w:val="0"/>
          <w:sz w:val="24"/>
          <w:szCs w:val="24"/>
          <w:lang w:val="zh-CN"/>
        </w:rPr>
        <w:t>二</w:t>
      </w:r>
      <w:r>
        <w:rPr>
          <w:rFonts w:ascii="微软雅黑" w:hAnsi="微软雅黑" w:eastAsia="微软雅黑" w:cs="Times New Roman"/>
          <w:b/>
          <w:snapToGrid w:val="0"/>
          <w:kern w:val="0"/>
          <w:sz w:val="24"/>
          <w:szCs w:val="24"/>
          <w:lang w:val="zh-CN"/>
        </w:rPr>
        <w:t>、</w:t>
      </w:r>
      <w:r>
        <w:rPr>
          <w:rFonts w:hint="eastAsia" w:ascii="微软雅黑" w:hAnsi="微软雅黑" w:eastAsia="微软雅黑" w:cs="Times New Roman"/>
          <w:b/>
          <w:snapToGrid w:val="0"/>
          <w:kern w:val="0"/>
          <w:sz w:val="24"/>
          <w:szCs w:val="24"/>
          <w:lang w:val="zh-CN"/>
        </w:rPr>
        <w:t>项目</w:t>
      </w:r>
      <w:r>
        <w:rPr>
          <w:rFonts w:hint="eastAsia" w:ascii="微软雅黑" w:hAnsi="微软雅黑" w:eastAsia="微软雅黑" w:cs="Times New Roman"/>
          <w:b/>
          <w:snapToGrid w:val="0"/>
          <w:kern w:val="0"/>
          <w:sz w:val="24"/>
          <w:szCs w:val="24"/>
          <w:lang w:val="en-US" w:eastAsia="zh-CN"/>
        </w:rPr>
        <w:t>实施和</w:t>
      </w:r>
      <w:r>
        <w:rPr>
          <w:rFonts w:ascii="微软雅黑" w:hAnsi="微软雅黑" w:eastAsia="微软雅黑" w:cs="Times New Roman"/>
          <w:b/>
          <w:snapToGrid w:val="0"/>
          <w:kern w:val="0"/>
          <w:sz w:val="24"/>
          <w:szCs w:val="24"/>
          <w:lang w:val="zh-CN"/>
        </w:rPr>
        <w:t>验收</w:t>
      </w:r>
    </w:p>
    <w:p w14:paraId="547FC280">
      <w:pPr>
        <w:adjustRightInd w:val="0"/>
        <w:snapToGrid w:val="0"/>
        <w:spacing w:before="120" w:after="120" w:line="360" w:lineRule="auto"/>
        <w:ind w:firstLine="511" w:firstLineChars="213"/>
        <w:jc w:val="left"/>
        <w:rPr>
          <w:rFonts w:hint="eastAsia"/>
          <w:color w:val="auto"/>
          <w:lang w:val="zh-CN"/>
        </w:rPr>
      </w:pPr>
      <w:r>
        <w:rPr>
          <w:rFonts w:ascii="微软雅黑" w:hAnsi="微软雅黑" w:eastAsia="微软雅黑" w:cs="Times New Roman"/>
          <w:snapToGrid w:val="0"/>
          <w:color w:val="auto"/>
          <w:kern w:val="0"/>
          <w:sz w:val="24"/>
          <w:szCs w:val="24"/>
          <w:lang w:val="zh-CN"/>
        </w:rPr>
        <w:t>1</w:t>
      </w:r>
      <w:r>
        <w:rPr>
          <w:rFonts w:hint="eastAsia" w:ascii="微软雅黑" w:hAnsi="微软雅黑" w:eastAsia="微软雅黑" w:cs="Times New Roman"/>
          <w:snapToGrid w:val="0"/>
          <w:color w:val="auto"/>
          <w:kern w:val="0"/>
          <w:sz w:val="24"/>
          <w:szCs w:val="24"/>
          <w:lang w:val="zh-CN"/>
        </w:rPr>
        <w:t>.乙方根据约定服务范围与内容提供技术资料和数据，确保能让甲方正常使用，完成服务内容后可提出</w:t>
      </w:r>
      <w:r>
        <w:rPr>
          <w:rFonts w:hint="eastAsia" w:ascii="微软雅黑" w:hAnsi="微软雅黑" w:eastAsia="微软雅黑" w:cs="Times New Roman"/>
          <w:snapToGrid w:val="0"/>
          <w:color w:val="auto"/>
          <w:kern w:val="0"/>
          <w:sz w:val="24"/>
          <w:szCs w:val="24"/>
          <w:highlight w:val="none"/>
          <w:lang w:val="en-US" w:eastAsia="zh-CN"/>
        </w:rPr>
        <w:t>初步</w:t>
      </w:r>
      <w:r>
        <w:rPr>
          <w:rFonts w:hint="eastAsia" w:ascii="微软雅黑" w:hAnsi="微软雅黑" w:eastAsia="微软雅黑" w:cs="Times New Roman"/>
          <w:snapToGrid w:val="0"/>
          <w:color w:val="auto"/>
          <w:kern w:val="0"/>
          <w:sz w:val="24"/>
          <w:szCs w:val="24"/>
          <w:highlight w:val="none"/>
          <w:lang w:val="zh-CN"/>
        </w:rPr>
        <w:t>验收</w:t>
      </w:r>
      <w:r>
        <w:rPr>
          <w:rFonts w:hint="eastAsia" w:ascii="微软雅黑" w:hAnsi="微软雅黑" w:eastAsia="微软雅黑" w:cs="Times New Roman"/>
          <w:snapToGrid w:val="0"/>
          <w:color w:val="auto"/>
          <w:kern w:val="0"/>
          <w:sz w:val="24"/>
          <w:szCs w:val="24"/>
          <w:highlight w:val="none"/>
          <w:lang w:val="en-US" w:eastAsia="zh-CN"/>
        </w:rPr>
        <w:t>申请，</w:t>
      </w:r>
      <w:r>
        <w:rPr>
          <w:rFonts w:hint="eastAsia" w:ascii="微软雅黑" w:hAnsi="微软雅黑" w:eastAsia="微软雅黑" w:cs="Times New Roman"/>
          <w:snapToGrid w:val="0"/>
          <w:color w:val="auto"/>
          <w:kern w:val="0"/>
          <w:sz w:val="24"/>
          <w:szCs w:val="24"/>
          <w:highlight w:val="none"/>
          <w:lang w:val="zh-CN"/>
        </w:rPr>
        <w:t>初验通过后进入试运行</w:t>
      </w:r>
      <w:r>
        <w:rPr>
          <w:rFonts w:hint="eastAsia" w:ascii="微软雅黑" w:hAnsi="微软雅黑" w:eastAsia="微软雅黑" w:cs="Times New Roman"/>
          <w:snapToGrid w:val="0"/>
          <w:color w:val="auto"/>
          <w:kern w:val="0"/>
          <w:sz w:val="24"/>
          <w:szCs w:val="24"/>
          <w:highlight w:val="none"/>
          <w:lang w:val="en-US" w:eastAsia="zh-CN"/>
        </w:rPr>
        <w:t>阶段</w:t>
      </w:r>
      <w:r>
        <w:rPr>
          <w:rFonts w:hint="eastAsia" w:ascii="微软雅黑" w:hAnsi="微软雅黑" w:eastAsia="微软雅黑" w:cs="Times New Roman"/>
          <w:snapToGrid w:val="0"/>
          <w:color w:val="auto"/>
          <w:kern w:val="0"/>
          <w:sz w:val="24"/>
          <w:szCs w:val="24"/>
          <w:highlight w:val="none"/>
          <w:lang w:val="zh-CN"/>
        </w:rPr>
        <w:t>，</w:t>
      </w:r>
      <w:r>
        <w:rPr>
          <w:rFonts w:hint="eastAsia" w:ascii="微软雅黑" w:hAnsi="微软雅黑" w:eastAsia="微软雅黑" w:cs="Times New Roman"/>
          <w:snapToGrid w:val="0"/>
          <w:color w:val="auto"/>
          <w:kern w:val="0"/>
          <w:sz w:val="24"/>
          <w:szCs w:val="24"/>
          <w:highlight w:val="none"/>
          <w:lang w:val="en-US" w:eastAsia="zh-CN"/>
        </w:rPr>
        <w:t>满一个月且整体稳定后，乙方可</w:t>
      </w:r>
      <w:r>
        <w:rPr>
          <w:rFonts w:hint="eastAsia" w:ascii="微软雅黑" w:hAnsi="微软雅黑" w:eastAsia="微软雅黑" w:cs="Times New Roman"/>
          <w:snapToGrid w:val="0"/>
          <w:color w:val="auto"/>
          <w:kern w:val="0"/>
          <w:sz w:val="24"/>
          <w:szCs w:val="24"/>
          <w:highlight w:val="none"/>
          <w:lang w:val="zh-CN"/>
        </w:rPr>
        <w:t>提出最终验收申请</w:t>
      </w:r>
      <w:r>
        <w:rPr>
          <w:rFonts w:hint="eastAsia" w:ascii="微软雅黑" w:hAnsi="微软雅黑" w:eastAsia="微软雅黑" w:cs="Times New Roman"/>
          <w:snapToGrid w:val="0"/>
          <w:color w:val="auto"/>
          <w:kern w:val="0"/>
          <w:sz w:val="24"/>
          <w:szCs w:val="24"/>
          <w:lang w:val="en-US" w:eastAsia="zh-CN"/>
        </w:rPr>
        <w:t>，</w:t>
      </w:r>
      <w:r>
        <w:rPr>
          <w:rFonts w:hint="eastAsia" w:ascii="微软雅黑" w:hAnsi="微软雅黑" w:eastAsia="微软雅黑" w:cs="Times New Roman"/>
          <w:snapToGrid w:val="0"/>
          <w:color w:val="auto"/>
          <w:kern w:val="0"/>
          <w:sz w:val="24"/>
          <w:szCs w:val="24"/>
          <w:lang w:val="zh-CN"/>
        </w:rPr>
        <w:t>甲方需在十个工作日内</w:t>
      </w:r>
      <w:r>
        <w:rPr>
          <w:rFonts w:hint="eastAsia" w:ascii="微软雅黑" w:hAnsi="微软雅黑" w:eastAsia="微软雅黑" w:cs="Times New Roman"/>
          <w:snapToGrid w:val="0"/>
          <w:color w:val="auto"/>
          <w:kern w:val="0"/>
          <w:sz w:val="24"/>
          <w:szCs w:val="24"/>
          <w:lang w:val="en-US" w:eastAsia="zh-CN"/>
        </w:rPr>
        <w:t>组织</w:t>
      </w:r>
      <w:r>
        <w:rPr>
          <w:rFonts w:hint="eastAsia" w:ascii="微软雅黑" w:hAnsi="微软雅黑" w:eastAsia="微软雅黑" w:cs="Times New Roman"/>
          <w:snapToGrid w:val="0"/>
          <w:color w:val="auto"/>
          <w:kern w:val="0"/>
          <w:sz w:val="24"/>
          <w:szCs w:val="24"/>
          <w:lang w:val="zh-CN"/>
        </w:rPr>
        <w:t>验收。</w:t>
      </w:r>
    </w:p>
    <w:p w14:paraId="46AFAAC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color w:val="auto"/>
          <w:kern w:val="0"/>
          <w:sz w:val="24"/>
          <w:szCs w:val="24"/>
          <w:lang w:val="zh-CN"/>
        </w:rPr>
        <w:t xml:space="preserve">2. </w:t>
      </w:r>
      <w:r>
        <w:rPr>
          <w:rFonts w:hint="eastAsia" w:ascii="微软雅黑" w:hAnsi="微软雅黑" w:eastAsia="微软雅黑" w:cs="Times New Roman"/>
          <w:snapToGrid w:val="0"/>
          <w:color w:val="auto"/>
          <w:kern w:val="0"/>
          <w:sz w:val="24"/>
          <w:szCs w:val="24"/>
          <w:lang w:val="zh-CN"/>
        </w:rPr>
        <w:t>验收前，</w:t>
      </w:r>
      <w:r>
        <w:rPr>
          <w:rFonts w:ascii="微软雅黑" w:hAnsi="微软雅黑" w:eastAsia="微软雅黑" w:cs="Times New Roman"/>
          <w:snapToGrid w:val="0"/>
          <w:color w:val="auto"/>
          <w:kern w:val="0"/>
          <w:sz w:val="24"/>
          <w:szCs w:val="24"/>
          <w:lang w:val="zh-CN"/>
        </w:rPr>
        <w:t>乙方应对产品作</w:t>
      </w:r>
      <w:r>
        <w:rPr>
          <w:rFonts w:ascii="微软雅黑" w:hAnsi="微软雅黑" w:eastAsia="微软雅黑" w:cs="Times New Roman"/>
          <w:snapToGrid w:val="0"/>
          <w:kern w:val="0"/>
          <w:sz w:val="24"/>
          <w:szCs w:val="24"/>
          <w:lang w:val="zh-CN"/>
        </w:rPr>
        <w:t>出全面检查和对验收文件进行整理，并列出清单，</w:t>
      </w:r>
      <w:r>
        <w:rPr>
          <w:rFonts w:hint="eastAsia" w:ascii="微软雅黑" w:hAnsi="微软雅黑" w:eastAsia="微软雅黑" w:cs="Times New Roman"/>
          <w:snapToGrid w:val="0"/>
          <w:kern w:val="0"/>
          <w:sz w:val="24"/>
          <w:szCs w:val="24"/>
          <w:lang w:val="zh-CN"/>
        </w:rPr>
        <w:t>拟订验收报告</w:t>
      </w:r>
      <w:r>
        <w:rPr>
          <w:rFonts w:ascii="微软雅黑" w:hAnsi="微软雅黑" w:eastAsia="微软雅黑" w:cs="Times New Roman"/>
          <w:snapToGrid w:val="0"/>
          <w:kern w:val="0"/>
          <w:sz w:val="24"/>
          <w:szCs w:val="24"/>
          <w:lang w:val="zh-CN"/>
        </w:rPr>
        <w:t>交</w:t>
      </w:r>
      <w:r>
        <w:rPr>
          <w:rFonts w:hint="eastAsia" w:ascii="微软雅黑" w:hAnsi="微软雅黑" w:eastAsia="微软雅黑" w:cs="Times New Roman"/>
          <w:snapToGrid w:val="0"/>
          <w:kern w:val="0"/>
          <w:sz w:val="24"/>
          <w:szCs w:val="24"/>
          <w:lang w:val="zh-CN"/>
        </w:rPr>
        <w:t>与</w:t>
      </w:r>
      <w:r>
        <w:rPr>
          <w:rFonts w:ascii="微软雅黑" w:hAnsi="微软雅黑" w:eastAsia="微软雅黑" w:cs="Times New Roman"/>
          <w:snapToGrid w:val="0"/>
          <w:kern w:val="0"/>
          <w:sz w:val="24"/>
          <w:szCs w:val="24"/>
          <w:lang w:val="zh-CN"/>
        </w:rPr>
        <w:t>甲方。</w:t>
      </w:r>
    </w:p>
    <w:p w14:paraId="5C37E62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snapToGrid w:val="0"/>
          <w:kern w:val="0"/>
          <w:sz w:val="24"/>
          <w:szCs w:val="24"/>
          <w:lang w:val="zh-CN"/>
        </w:rPr>
        <w:t>3. 甲方</w:t>
      </w:r>
      <w:r>
        <w:rPr>
          <w:rFonts w:hint="eastAsia" w:ascii="微软雅黑" w:hAnsi="微软雅黑" w:eastAsia="微软雅黑" w:cs="Times New Roman"/>
          <w:snapToGrid w:val="0"/>
          <w:kern w:val="0"/>
          <w:sz w:val="24"/>
          <w:szCs w:val="24"/>
          <w:lang w:val="zh-CN"/>
        </w:rPr>
        <w:t>根据合同约定审查项目完成情况</w:t>
      </w:r>
      <w:r>
        <w:rPr>
          <w:rFonts w:ascii="微软雅黑" w:hAnsi="微软雅黑" w:eastAsia="微软雅黑" w:cs="Times New Roman"/>
          <w:snapToGrid w:val="0"/>
          <w:kern w:val="0"/>
          <w:sz w:val="24"/>
          <w:szCs w:val="24"/>
          <w:lang w:val="zh-CN"/>
        </w:rPr>
        <w:t>，直到符合技术要求，甲方才做最终验收。</w:t>
      </w:r>
    </w:p>
    <w:p w14:paraId="5B95E25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kern w:val="0"/>
          <w:sz w:val="24"/>
          <w:szCs w:val="24"/>
          <w:lang w:val="zh-CN"/>
        </w:rPr>
        <w:t>4</w:t>
      </w:r>
      <w:r>
        <w:rPr>
          <w:rFonts w:ascii="微软雅黑" w:hAnsi="微软雅黑" w:eastAsia="微软雅黑" w:cs="Times New Roman"/>
          <w:snapToGrid w:val="0"/>
          <w:color w:val="auto"/>
          <w:kern w:val="0"/>
          <w:sz w:val="24"/>
          <w:szCs w:val="24"/>
          <w:lang w:val="zh-CN"/>
        </w:rPr>
        <w:t>. 验收时乙方必须在现场，</w:t>
      </w:r>
      <w:r>
        <w:rPr>
          <w:rFonts w:hint="eastAsia" w:ascii="微软雅黑" w:hAnsi="微软雅黑" w:eastAsia="微软雅黑" w:cs="Times New Roman"/>
          <w:snapToGrid w:val="0"/>
          <w:color w:val="auto"/>
          <w:kern w:val="0"/>
          <w:sz w:val="24"/>
          <w:szCs w:val="24"/>
          <w:lang w:val="en-US" w:eastAsia="zh-CN"/>
        </w:rPr>
        <w:t>验收</w:t>
      </w:r>
      <w:r>
        <w:rPr>
          <w:rFonts w:ascii="微软雅黑" w:hAnsi="微软雅黑" w:eastAsia="微软雅黑" w:cs="Times New Roman"/>
          <w:snapToGrid w:val="0"/>
          <w:color w:val="auto"/>
          <w:kern w:val="0"/>
          <w:sz w:val="24"/>
          <w:szCs w:val="24"/>
          <w:lang w:val="zh-CN"/>
        </w:rPr>
        <w:t>完毕后</w:t>
      </w:r>
      <w:r>
        <w:rPr>
          <w:rFonts w:hint="eastAsia" w:ascii="微软雅黑" w:hAnsi="微软雅黑" w:eastAsia="微软雅黑" w:cs="Times New Roman"/>
          <w:snapToGrid w:val="0"/>
          <w:color w:val="auto"/>
          <w:kern w:val="0"/>
          <w:sz w:val="24"/>
          <w:szCs w:val="24"/>
          <w:lang w:val="zh-CN"/>
        </w:rPr>
        <w:t>十五个工作日内</w:t>
      </w:r>
      <w:r>
        <w:rPr>
          <w:rFonts w:ascii="微软雅黑" w:hAnsi="微软雅黑" w:eastAsia="微软雅黑" w:cs="Times New Roman"/>
          <w:snapToGrid w:val="0"/>
          <w:color w:val="auto"/>
          <w:kern w:val="0"/>
          <w:sz w:val="24"/>
          <w:szCs w:val="24"/>
          <w:lang w:val="zh-CN"/>
        </w:rPr>
        <w:t>作出验收结果报告；验收费用由乙方负责。</w:t>
      </w:r>
    </w:p>
    <w:p w14:paraId="13A9C46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十三、服务质量考核</w:t>
      </w:r>
    </w:p>
    <w:p w14:paraId="72E0D71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乙方须严格按照合同要求提供技术服务。为了确保服务工作得到有效监督，保证服务质量，甲方按照合同要求对乙方的服务进行考核评价，并约定如下：</w:t>
      </w:r>
    </w:p>
    <w:p w14:paraId="5F8D06C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1、维保服务到期或项目终验前，甲方根据服务内容要求</w:t>
      </w:r>
      <w:r>
        <w:rPr>
          <w:rFonts w:ascii="微软雅黑" w:hAnsi="微软雅黑" w:eastAsia="微软雅黑" w:cs="Times New Roman"/>
          <w:snapToGrid w:val="0"/>
          <w:color w:val="auto"/>
          <w:kern w:val="0"/>
          <w:sz w:val="24"/>
          <w:szCs w:val="24"/>
          <w:lang w:val="zh-CN"/>
        </w:rPr>
        <w:t>对</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方实行</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，评分结果作为衡量服务质量的依据。</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等级分为非常满意、满意、一般、不满意四档。如考核为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非常满意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或</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不扣服务费</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一般</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可扣除合同款的</w:t>
      </w:r>
      <w:r>
        <w:rPr>
          <w:rFonts w:hint="eastAsia" w:ascii="微软雅黑" w:hAnsi="微软雅黑" w:eastAsia="微软雅黑" w:cs="Times New Roman"/>
          <w:snapToGrid w:val="0"/>
          <w:color w:val="auto"/>
          <w:kern w:val="0"/>
          <w:sz w:val="24"/>
          <w:szCs w:val="24"/>
          <w:lang w:val="zh-CN"/>
        </w:rPr>
        <w:t>百分之五。</w:t>
      </w:r>
    </w:p>
    <w:p w14:paraId="36A8A396">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考核为‘不满意’的，</w:t>
      </w:r>
      <w:r>
        <w:rPr>
          <w:rFonts w:hint="eastAsia" w:ascii="微软雅黑" w:hAnsi="微软雅黑" w:eastAsia="微软雅黑" w:cs="Times New Roman"/>
          <w:snapToGrid w:val="0"/>
          <w:color w:val="auto"/>
          <w:kern w:val="0"/>
          <w:sz w:val="24"/>
          <w:szCs w:val="24"/>
          <w:lang w:val="zh-CN"/>
        </w:rPr>
        <w:t>甲方有权解除合同，同时乙方应向甲方支付合同总价百分之五的违约金，同时退回甲方已支付的全部款项。</w:t>
      </w:r>
      <w:r>
        <w:rPr>
          <w:rFonts w:ascii="微软雅黑" w:hAnsi="微软雅黑" w:eastAsia="微软雅黑" w:cs="Times New Roman"/>
          <w:snapToGrid w:val="0"/>
          <w:color w:val="auto"/>
          <w:kern w:val="0"/>
          <w:sz w:val="24"/>
          <w:szCs w:val="24"/>
          <w:lang w:val="zh-CN"/>
        </w:rPr>
        <w:t>由此产生的一切损失和费用由</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方承担。</w:t>
      </w:r>
    </w:p>
    <w:p w14:paraId="7E9892AC">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、若因</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方人员操作失误造成系统瘫痪超过一个工作日的，医院有权一次扣除合同金额的</w:t>
      </w:r>
      <w:r>
        <w:rPr>
          <w:rFonts w:hint="eastAsia" w:ascii="微软雅黑" w:hAnsi="微软雅黑" w:eastAsia="微软雅黑" w:cs="Times New Roman"/>
          <w:snapToGrid w:val="0"/>
          <w:color w:val="auto"/>
          <w:kern w:val="0"/>
          <w:sz w:val="24"/>
          <w:szCs w:val="24"/>
          <w:lang w:val="zh-CN"/>
        </w:rPr>
        <w:t>百分之五</w:t>
      </w:r>
      <w:r>
        <w:rPr>
          <w:rFonts w:ascii="微软雅黑" w:hAnsi="微软雅黑" w:eastAsia="微软雅黑" w:cs="Times New Roman"/>
          <w:snapToGrid w:val="0"/>
          <w:color w:val="auto"/>
          <w:kern w:val="0"/>
          <w:sz w:val="24"/>
          <w:szCs w:val="24"/>
          <w:lang w:val="zh-CN"/>
        </w:rPr>
        <w:t>。对蓄意破坏信息系统设施或泄密的，一经查证，医院有权即时终止合同，涉案人员</w:t>
      </w:r>
      <w:r>
        <w:rPr>
          <w:rFonts w:hint="eastAsia" w:ascii="微软雅黑" w:hAnsi="微软雅黑" w:eastAsia="微软雅黑" w:cs="Times New Roman"/>
          <w:snapToGrid w:val="0"/>
          <w:color w:val="auto"/>
          <w:kern w:val="0"/>
          <w:sz w:val="24"/>
          <w:szCs w:val="24"/>
          <w:lang w:val="zh-CN"/>
        </w:rPr>
        <w:t>移交司法机关</w:t>
      </w:r>
      <w:r>
        <w:rPr>
          <w:rFonts w:ascii="微软雅黑" w:hAnsi="微软雅黑" w:eastAsia="微软雅黑" w:cs="Times New Roman"/>
          <w:snapToGrid w:val="0"/>
          <w:color w:val="auto"/>
          <w:kern w:val="0"/>
          <w:sz w:val="24"/>
          <w:szCs w:val="24"/>
          <w:lang w:val="zh-CN"/>
        </w:rPr>
        <w:t>依法处理。</w:t>
      </w:r>
    </w:p>
    <w:p w14:paraId="3E3FC0E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、因</w:t>
      </w:r>
      <w:r>
        <w:rPr>
          <w:rFonts w:hint="eastAsia" w:ascii="微软雅黑" w:hAnsi="微软雅黑" w:eastAsia="微软雅黑" w:cs="Times New Roman"/>
          <w:snapToGrid w:val="0"/>
          <w:color w:val="auto"/>
          <w:kern w:val="0"/>
          <w:sz w:val="24"/>
          <w:szCs w:val="24"/>
        </w:rPr>
        <w:t>服务考核评价</w:t>
      </w:r>
      <w:r>
        <w:rPr>
          <w:rFonts w:ascii="微软雅黑" w:hAnsi="微软雅黑" w:eastAsia="微软雅黑" w:cs="Times New Roman"/>
          <w:snapToGrid w:val="0"/>
          <w:color w:val="auto"/>
          <w:kern w:val="0"/>
          <w:sz w:val="24"/>
          <w:szCs w:val="24"/>
          <w:lang w:val="zh-CN"/>
        </w:rPr>
        <w:t>而发生的扣罚款项，经双方项目负责人签字确认，交由医院财务部在服务款中扣除。</w:t>
      </w:r>
    </w:p>
    <w:p w14:paraId="2ED73CE6">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十四、违约责任</w:t>
      </w:r>
    </w:p>
    <w:p w14:paraId="1248102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甲方无正当理由逾期支付货款的，应向乙方每日偿付合同总价万分之五的违约金。甲方无正当理由而拒收货物、拒付货款的，应向乙方偿付合同总价百分之五的违约金。</w:t>
      </w:r>
    </w:p>
    <w:bookmarkEnd w:id="6"/>
    <w:bookmarkEnd w:id="7"/>
    <w:p w14:paraId="16D2FB88">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五</w:t>
      </w:r>
      <w:r>
        <w:rPr>
          <w:rFonts w:ascii="微软雅黑" w:hAnsi="微软雅黑" w:eastAsia="微软雅黑" w:cs="Times New Roman"/>
          <w:b/>
          <w:snapToGrid w:val="0"/>
          <w:color w:val="auto"/>
          <w:kern w:val="0"/>
          <w:sz w:val="24"/>
          <w:szCs w:val="24"/>
          <w:lang w:val="zh-CN"/>
        </w:rPr>
        <w:t>、不可抗力事件处理</w:t>
      </w:r>
    </w:p>
    <w:p w14:paraId="370842AF">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 xml:space="preserve">1. </w:t>
      </w:r>
      <w:r>
        <w:rPr>
          <w:rFonts w:ascii="微软雅黑" w:hAnsi="微软雅黑" w:eastAsia="微软雅黑" w:cs="Times New Roman"/>
          <w:snapToGrid w:val="0"/>
          <w:color w:val="auto"/>
          <w:kern w:val="0"/>
          <w:sz w:val="24"/>
          <w:szCs w:val="24"/>
          <w:lang w:val="zh-CN"/>
        </w:rPr>
        <w:t>合同有效期内，任何一方因不可抗力事件导致不能履行合同，则合同履行期可延长，其延长期与不可抗力影响期相同。</w:t>
      </w:r>
    </w:p>
    <w:p w14:paraId="52F308D7">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2. 不可抗力事件发生后，应立即通知对方，并寄送有关权威机构出具的证明。</w:t>
      </w:r>
    </w:p>
    <w:p w14:paraId="50A7151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3. 不可抗力事件延续120天以上，双方应通过友好协商，确定是否继续履行合同。</w:t>
      </w:r>
    </w:p>
    <w:p w14:paraId="34E01BC5">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六</w:t>
      </w:r>
      <w:r>
        <w:rPr>
          <w:rFonts w:ascii="微软雅黑" w:hAnsi="微软雅黑" w:eastAsia="微软雅黑" w:cs="Times New Roman"/>
          <w:b/>
          <w:snapToGrid w:val="0"/>
          <w:color w:val="auto"/>
          <w:kern w:val="0"/>
          <w:sz w:val="24"/>
          <w:szCs w:val="24"/>
          <w:lang w:val="zh-CN"/>
        </w:rPr>
        <w:t>、诉讼</w:t>
      </w:r>
    </w:p>
    <w:p w14:paraId="1496324E">
      <w:pPr>
        <w:adjustRightInd w:val="0"/>
        <w:snapToGrid w:val="0"/>
        <w:spacing w:before="120" w:after="120" w:line="360" w:lineRule="auto"/>
        <w:ind w:left="2"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双方在执行合同中所发生的一切争议，应通过协商解决。如协商不成，可向甲方所在地法院起诉。</w:t>
      </w:r>
    </w:p>
    <w:p w14:paraId="611496B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七</w:t>
      </w:r>
      <w:r>
        <w:rPr>
          <w:rFonts w:ascii="微软雅黑" w:hAnsi="微软雅黑" w:eastAsia="微软雅黑" w:cs="Times New Roman"/>
          <w:b/>
          <w:snapToGrid w:val="0"/>
          <w:color w:val="auto"/>
          <w:kern w:val="0"/>
          <w:sz w:val="24"/>
          <w:szCs w:val="24"/>
          <w:lang w:val="zh-CN"/>
        </w:rPr>
        <w:t>、合同生效及其它</w:t>
      </w:r>
    </w:p>
    <w:p w14:paraId="6DE746D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1. 合同经甲、乙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方签字并盖章后生效。</w:t>
      </w:r>
    </w:p>
    <w:p w14:paraId="5C95AE2C">
      <w:pPr>
        <w:adjustRightInd w:val="0"/>
        <w:snapToGrid w:val="0"/>
        <w:spacing w:before="120" w:after="120" w:line="360" w:lineRule="auto"/>
        <w:ind w:firstLine="480" w:firstLineChars="200"/>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.本合同未尽事宜，遵照《</w:t>
      </w:r>
      <w:r>
        <w:rPr>
          <w:rFonts w:hint="eastAsia" w:ascii="微软雅黑" w:hAnsi="微软雅黑" w:eastAsia="微软雅黑" w:cs="Times New Roman"/>
          <w:snapToGrid w:val="0"/>
          <w:color w:val="auto"/>
          <w:kern w:val="0"/>
          <w:sz w:val="24"/>
          <w:szCs w:val="24"/>
          <w:lang w:val="zh-CN"/>
        </w:rPr>
        <w:t>中华人民共和国民法典</w:t>
      </w:r>
      <w:r>
        <w:rPr>
          <w:rFonts w:ascii="微软雅黑" w:hAnsi="微软雅黑" w:eastAsia="微软雅黑" w:cs="Times New Roman"/>
          <w:snapToGrid w:val="0"/>
          <w:color w:val="auto"/>
          <w:kern w:val="0"/>
          <w:sz w:val="24"/>
          <w:szCs w:val="24"/>
          <w:lang w:val="zh-CN"/>
        </w:rPr>
        <w:t>》有关</w:t>
      </w:r>
      <w:r>
        <w:rPr>
          <w:rFonts w:hint="eastAsia" w:ascii="微软雅黑" w:hAnsi="微软雅黑" w:eastAsia="微软雅黑" w:cs="Times New Roman"/>
          <w:snapToGrid w:val="0"/>
          <w:color w:val="auto"/>
          <w:kern w:val="0"/>
          <w:sz w:val="24"/>
          <w:szCs w:val="24"/>
          <w:lang w:val="zh-CN"/>
        </w:rPr>
        <w:t>规定</w:t>
      </w:r>
      <w:r>
        <w:rPr>
          <w:rFonts w:ascii="微软雅黑" w:hAnsi="微软雅黑" w:eastAsia="微软雅黑" w:cs="Times New Roman"/>
          <w:snapToGrid w:val="0"/>
          <w:color w:val="auto"/>
          <w:kern w:val="0"/>
          <w:sz w:val="24"/>
          <w:szCs w:val="24"/>
          <w:lang w:val="zh-CN"/>
        </w:rPr>
        <w:t>执行。</w:t>
      </w:r>
    </w:p>
    <w:p w14:paraId="7547C8CA">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.本合同一式</w:t>
      </w:r>
      <w:r>
        <w:rPr>
          <w:rFonts w:hint="eastAsia" w:ascii="微软雅黑" w:hAnsi="微软雅黑" w:eastAsia="微软雅黑" w:cs="Times New Roman"/>
          <w:snapToGrid w:val="0"/>
          <w:color w:val="auto"/>
          <w:kern w:val="0"/>
          <w:sz w:val="24"/>
          <w:szCs w:val="24"/>
          <w:lang w:val="zh-CN"/>
        </w:rPr>
        <w:t>贰</w:t>
      </w:r>
      <w:r>
        <w:rPr>
          <w:rFonts w:ascii="微软雅黑" w:hAnsi="微软雅黑" w:eastAsia="微软雅黑" w:cs="Times New Roman"/>
          <w:snapToGrid w:val="0"/>
          <w:color w:val="auto"/>
          <w:kern w:val="0"/>
          <w:sz w:val="24"/>
          <w:szCs w:val="24"/>
          <w:lang w:val="zh-CN"/>
        </w:rPr>
        <w:t>份，具有同等法律效力，甲、乙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方各执</w:t>
      </w:r>
      <w:r>
        <w:rPr>
          <w:rFonts w:hint="eastAsia" w:ascii="微软雅黑" w:hAnsi="微软雅黑" w:eastAsia="微软雅黑" w:cs="Times New Roman"/>
          <w:snapToGrid w:val="0"/>
          <w:color w:val="auto"/>
          <w:kern w:val="0"/>
          <w:sz w:val="24"/>
          <w:szCs w:val="24"/>
          <w:lang w:val="zh-CN"/>
        </w:rPr>
        <w:t>壹</w:t>
      </w:r>
      <w:r>
        <w:rPr>
          <w:rFonts w:ascii="微软雅黑" w:hAnsi="微软雅黑" w:eastAsia="微软雅黑" w:cs="Times New Roman"/>
          <w:snapToGrid w:val="0"/>
          <w:color w:val="auto"/>
          <w:kern w:val="0"/>
          <w:sz w:val="24"/>
          <w:szCs w:val="24"/>
          <w:lang w:val="zh-CN"/>
        </w:rPr>
        <w:t>份。</w:t>
      </w:r>
    </w:p>
    <w:p w14:paraId="5DEEE26B">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p>
    <w:p w14:paraId="30711896">
      <w:pPr>
        <w:adjustRightInd w:val="0"/>
        <w:snapToGrid w:val="0"/>
        <w:spacing w:before="120" w:after="120"/>
        <w:ind w:left="1"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auto"/>
          <w:kern w:val="0"/>
          <w:sz w:val="24"/>
          <w:szCs w:val="24"/>
          <w:lang w:val="zh-CN"/>
        </w:rPr>
        <w:t>甲方（盖章）：</w:t>
      </w:r>
      <w:r>
        <w:rPr>
          <w:rFonts w:ascii="微软雅黑" w:hAnsi="微软雅黑" w:eastAsia="微软雅黑" w:cs="Times New Roman"/>
          <w:b/>
          <w:color w:val="auto"/>
          <w:sz w:val="24"/>
          <w:szCs w:val="20"/>
          <w:lang w:val="zh-CN"/>
        </w:rPr>
        <w:t>浙江大学医学院附属妇产科医</w:t>
      </w:r>
      <w:r>
        <w:rPr>
          <w:rFonts w:ascii="微软雅黑" w:hAnsi="微软雅黑" w:eastAsia="微软雅黑" w:cs="Times New Roman"/>
          <w:b/>
          <w:sz w:val="24"/>
          <w:szCs w:val="20"/>
          <w:lang w:val="zh-CN"/>
        </w:rPr>
        <w:t>院</w:t>
      </w:r>
    </w:p>
    <w:p w14:paraId="7DC8F3AD">
      <w:pPr>
        <w:adjustRightInd w:val="0"/>
        <w:snapToGrid w:val="0"/>
        <w:spacing w:before="120" w:after="120"/>
        <w:ind w:left="1"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地</w:t>
      </w:r>
      <w:r>
        <w:rPr>
          <w:rFonts w:ascii="微软雅黑" w:hAnsi="微软雅黑" w:eastAsia="微软雅黑" w:cs="Times New Roman"/>
          <w:sz w:val="24"/>
          <w:szCs w:val="20"/>
          <w:lang w:val="zh-CN"/>
        </w:rPr>
        <w:t>址：浙江省杭州市学士路1号</w:t>
      </w:r>
    </w:p>
    <w:p w14:paraId="2139351A">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法定（授权）代表人：  </w:t>
      </w:r>
    </w:p>
    <w:p w14:paraId="2AB6E6A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  </w:t>
      </w:r>
    </w:p>
    <w:p w14:paraId="45BBAE6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4C1F3495">
      <w:pPr>
        <w:adjustRightInd w:val="0"/>
        <w:snapToGrid w:val="0"/>
        <w:spacing w:before="120" w:after="120"/>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乙方（盖章）：</w:t>
      </w:r>
      <w:r>
        <w:rPr>
          <w:rFonts w:hint="eastAsia" w:ascii="微软雅黑" w:hAnsi="微软雅黑" w:eastAsia="微软雅黑" w:cs="Times New Roman"/>
          <w:b/>
          <w:sz w:val="24"/>
          <w:szCs w:val="20"/>
          <w:lang w:val="zh-CN"/>
        </w:rPr>
        <w:t xml:space="preserve"> </w:t>
      </w:r>
    </w:p>
    <w:p w14:paraId="64311FAE">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地址： </w:t>
      </w:r>
      <w:r>
        <w:rPr>
          <w:rFonts w:hint="eastAsia" w:ascii="微软雅黑" w:hAnsi="微软雅黑" w:eastAsia="微软雅黑" w:cs="Times New Roman"/>
          <w:snapToGrid w:val="0"/>
          <w:kern w:val="0"/>
          <w:sz w:val="24"/>
          <w:szCs w:val="24"/>
          <w:lang w:val="zh-CN"/>
        </w:rPr>
        <w:t xml:space="preserve"> </w:t>
      </w:r>
    </w:p>
    <w:p w14:paraId="4B99311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开户行：</w:t>
      </w:r>
      <w:r>
        <w:rPr>
          <w:rFonts w:hint="eastAsia" w:ascii="微软雅黑" w:hAnsi="微软雅黑" w:eastAsia="微软雅黑" w:cs="Times New Roman"/>
          <w:sz w:val="24"/>
          <w:szCs w:val="21"/>
          <w:lang w:val="zh-CN"/>
        </w:rPr>
        <w:t xml:space="preserve"> </w:t>
      </w:r>
    </w:p>
    <w:p w14:paraId="4EFD7295">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开户帐号：</w:t>
      </w:r>
      <w:r>
        <w:rPr>
          <w:rFonts w:hint="eastAsia" w:ascii="微软雅黑" w:hAnsi="微软雅黑" w:eastAsia="微软雅黑" w:cs="Times New Roman"/>
          <w:sz w:val="24"/>
          <w:szCs w:val="21"/>
          <w:lang w:val="zh-CN"/>
        </w:rPr>
        <w:t xml:space="preserve"> </w:t>
      </w:r>
    </w:p>
    <w:p w14:paraId="6C21AA8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法定（授权）代表人：</w:t>
      </w:r>
    </w:p>
    <w:p w14:paraId="6298B6B1">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w:t>
      </w:r>
    </w:p>
    <w:p w14:paraId="324F648D">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2C13F64E">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519A8903">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0A3C9CCB">
      <w:pPr>
        <w:pStyle w:val="40"/>
        <w:spacing w:line="360" w:lineRule="auto"/>
        <w:jc w:val="both"/>
        <w:rPr>
          <w:rFonts w:hAnsi="宋体"/>
          <w:sz w:val="21"/>
          <w:szCs w:val="21"/>
        </w:rPr>
      </w:pPr>
    </w:p>
    <w:p w14:paraId="48E7D54C">
      <w:pPr>
        <w:pStyle w:val="40"/>
        <w:spacing w:line="360" w:lineRule="auto"/>
        <w:jc w:val="both"/>
        <w:rPr>
          <w:rFonts w:hAnsi="宋体"/>
          <w:sz w:val="21"/>
          <w:szCs w:val="21"/>
        </w:rPr>
      </w:pPr>
    </w:p>
    <w:p w14:paraId="4A61C426">
      <w:pPr>
        <w:pStyle w:val="40"/>
        <w:spacing w:line="360" w:lineRule="auto"/>
        <w:jc w:val="both"/>
        <w:rPr>
          <w:rFonts w:hAnsi="宋体"/>
          <w:sz w:val="21"/>
          <w:szCs w:val="21"/>
        </w:rPr>
      </w:pPr>
    </w:p>
    <w:p w14:paraId="059CA128">
      <w:pPr>
        <w:pStyle w:val="40"/>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4"/>
      <w:jc w:val="center"/>
    </w:pPr>
  </w:p>
  <w:p w14:paraId="59BC947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4"/>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EC98"/>
    <w:multiLevelType w:val="singleLevel"/>
    <w:tmpl w:val="8557EC98"/>
    <w:lvl w:ilvl="0" w:tentative="0">
      <w:start w:val="2"/>
      <w:numFmt w:val="chineseCounting"/>
      <w:suff w:val="space"/>
      <w:lvlText w:val="第%1章"/>
      <w:lvlJc w:val="left"/>
      <w:rPr>
        <w:rFonts w:hint="eastAsia"/>
      </w:rPr>
    </w:lvl>
  </w:abstractNum>
  <w:abstractNum w:abstractNumId="1">
    <w:nsid w:val="A070FF2D"/>
    <w:multiLevelType w:val="singleLevel"/>
    <w:tmpl w:val="A070FF2D"/>
    <w:lvl w:ilvl="0" w:tentative="0">
      <w:start w:val="3"/>
      <w:numFmt w:val="chineseCounting"/>
      <w:suff w:val="space"/>
      <w:lvlText w:val="第%1章"/>
      <w:lvlJc w:val="left"/>
      <w:rPr>
        <w:rFonts w:hint="eastAsia"/>
      </w:rPr>
    </w:lvl>
  </w:abstractNum>
  <w:abstractNum w:abstractNumId="2">
    <w:nsid w:val="C8358C48"/>
    <w:multiLevelType w:val="singleLevel"/>
    <w:tmpl w:val="C8358C48"/>
    <w:lvl w:ilvl="0" w:tentative="0">
      <w:start w:val="11"/>
      <w:numFmt w:val="chineseCounting"/>
      <w:suff w:val="nothing"/>
      <w:lvlText w:val="%1、"/>
      <w:lvlJc w:val="left"/>
      <w:pPr>
        <w:ind w:left="420" w:firstLine="0"/>
      </w:pPr>
      <w:rPr>
        <w:rFonts w:hint="eastAsia"/>
      </w:rPr>
    </w:lvl>
  </w:abstractNum>
  <w:abstractNum w:abstractNumId="3">
    <w:nsid w:val="083F5C9B"/>
    <w:multiLevelType w:val="singleLevel"/>
    <w:tmpl w:val="083F5C9B"/>
    <w:lvl w:ilvl="0" w:tentative="0">
      <w:start w:val="1"/>
      <w:numFmt w:val="decimal"/>
      <w:lvlText w:val="%1."/>
      <w:lvlJc w:val="left"/>
      <w:pPr>
        <w:ind w:left="425" w:hanging="425"/>
      </w:pPr>
      <w:rPr>
        <w:rFonts w:hint="default"/>
      </w:rPr>
    </w:lvl>
  </w:abstractNum>
  <w:abstractNum w:abstractNumId="4">
    <w:nsid w:val="10BF2759"/>
    <w:multiLevelType w:val="multilevel"/>
    <w:tmpl w:val="10BF2759"/>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D2660D"/>
    <w:multiLevelType w:val="singleLevel"/>
    <w:tmpl w:val="21D2660D"/>
    <w:lvl w:ilvl="0" w:tentative="0">
      <w:start w:val="1"/>
      <w:numFmt w:val="decimal"/>
      <w:lvlText w:val="(%1)"/>
      <w:lvlJc w:val="left"/>
      <w:pPr>
        <w:ind w:left="425" w:hanging="425"/>
      </w:pPr>
      <w:rPr>
        <w:rFonts w:hint="default"/>
      </w:rPr>
    </w:lvl>
  </w:abstractNum>
  <w:abstractNum w:abstractNumId="6">
    <w:nsid w:val="254DB84F"/>
    <w:multiLevelType w:val="singleLevel"/>
    <w:tmpl w:val="254DB84F"/>
    <w:lvl w:ilvl="0" w:tentative="0">
      <w:start w:val="1"/>
      <w:numFmt w:val="decimal"/>
      <w:lvlText w:val="%1."/>
      <w:lvlJc w:val="left"/>
      <w:pPr>
        <w:ind w:left="425" w:hanging="425"/>
      </w:pPr>
      <w:rPr>
        <w:rFonts w:hint="default"/>
      </w:rPr>
    </w:lvl>
  </w:abstractNum>
  <w:abstractNum w:abstractNumId="7">
    <w:nsid w:val="6B2526DC"/>
    <w:multiLevelType w:val="multilevel"/>
    <w:tmpl w:val="6B2526DC"/>
    <w:lvl w:ilvl="0" w:tentative="0">
      <w:start w:val="1"/>
      <w:numFmt w:val="decimal"/>
      <w:lvlText w:val="（%1）"/>
      <w:lvlJc w:val="left"/>
      <w:pPr>
        <w:ind w:left="420" w:hanging="420"/>
      </w:pPr>
      <w:rPr>
        <w:rFonts w:hint="eastAsia"/>
        <w:sz w:val="24"/>
      </w:rPr>
    </w:lvl>
    <w:lvl w:ilvl="1" w:tentative="0">
      <w:start w:val="1"/>
      <w:numFmt w:val="decimal"/>
      <w:lvlText w:val="(%2)"/>
      <w:lvlJc w:val="left"/>
      <w:pPr>
        <w:ind w:left="1545" w:hanging="11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9"/>
  </w:num>
  <w:num w:numId="4">
    <w:abstractNumId w:val="3"/>
  </w:num>
  <w:num w:numId="5">
    <w:abstractNumId w:val="6"/>
  </w:num>
  <w:num w:numId="6">
    <w:abstractNumId w:val="5"/>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ACA"/>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822CFE"/>
    <w:rsid w:val="038C592B"/>
    <w:rsid w:val="03F977BD"/>
    <w:rsid w:val="0411260F"/>
    <w:rsid w:val="04154B1B"/>
    <w:rsid w:val="042E69E2"/>
    <w:rsid w:val="04582D83"/>
    <w:rsid w:val="052B1173"/>
    <w:rsid w:val="053C0C8A"/>
    <w:rsid w:val="05FF0420"/>
    <w:rsid w:val="06376942"/>
    <w:rsid w:val="076517D2"/>
    <w:rsid w:val="078A03D3"/>
    <w:rsid w:val="079815C8"/>
    <w:rsid w:val="081A339A"/>
    <w:rsid w:val="090D306A"/>
    <w:rsid w:val="092071F7"/>
    <w:rsid w:val="0949237B"/>
    <w:rsid w:val="098A2D84"/>
    <w:rsid w:val="09B060FC"/>
    <w:rsid w:val="0A9A0DFA"/>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BF6149"/>
    <w:rsid w:val="14D56CBC"/>
    <w:rsid w:val="14DA2F92"/>
    <w:rsid w:val="1525798D"/>
    <w:rsid w:val="153B2D0D"/>
    <w:rsid w:val="18DE45A6"/>
    <w:rsid w:val="19435583"/>
    <w:rsid w:val="19771B7E"/>
    <w:rsid w:val="1AE06FED"/>
    <w:rsid w:val="1B211512"/>
    <w:rsid w:val="1B4E4DE8"/>
    <w:rsid w:val="1B566579"/>
    <w:rsid w:val="1BD468A2"/>
    <w:rsid w:val="1BD866B3"/>
    <w:rsid w:val="1CA0088A"/>
    <w:rsid w:val="1DBF0627"/>
    <w:rsid w:val="1DC32EB5"/>
    <w:rsid w:val="1DCD2970"/>
    <w:rsid w:val="1EB61656"/>
    <w:rsid w:val="1FE04BDC"/>
    <w:rsid w:val="204A184E"/>
    <w:rsid w:val="205D447F"/>
    <w:rsid w:val="20971013"/>
    <w:rsid w:val="21A61FC4"/>
    <w:rsid w:val="220A3C81"/>
    <w:rsid w:val="220A4192"/>
    <w:rsid w:val="22AC349C"/>
    <w:rsid w:val="22B91715"/>
    <w:rsid w:val="22BE5A7C"/>
    <w:rsid w:val="22F22F30"/>
    <w:rsid w:val="24997A50"/>
    <w:rsid w:val="24D6105D"/>
    <w:rsid w:val="24E567F1"/>
    <w:rsid w:val="24FE1558"/>
    <w:rsid w:val="263A33A2"/>
    <w:rsid w:val="264F486A"/>
    <w:rsid w:val="27BA3F65"/>
    <w:rsid w:val="281573ED"/>
    <w:rsid w:val="288D1B1B"/>
    <w:rsid w:val="28AC6119"/>
    <w:rsid w:val="29505072"/>
    <w:rsid w:val="29B42C36"/>
    <w:rsid w:val="2A816FBC"/>
    <w:rsid w:val="2AA05E26"/>
    <w:rsid w:val="2B350611"/>
    <w:rsid w:val="2B705E2B"/>
    <w:rsid w:val="2B836D64"/>
    <w:rsid w:val="2BC96E6C"/>
    <w:rsid w:val="2BEE541D"/>
    <w:rsid w:val="2C097065"/>
    <w:rsid w:val="2E1A39AF"/>
    <w:rsid w:val="2E304F81"/>
    <w:rsid w:val="2E374561"/>
    <w:rsid w:val="2EE1627B"/>
    <w:rsid w:val="2F074EA2"/>
    <w:rsid w:val="304070FC"/>
    <w:rsid w:val="305B3700"/>
    <w:rsid w:val="30890978"/>
    <w:rsid w:val="31FC4E78"/>
    <w:rsid w:val="32777E7D"/>
    <w:rsid w:val="330A0424"/>
    <w:rsid w:val="33453773"/>
    <w:rsid w:val="33CB2BCE"/>
    <w:rsid w:val="33DD1D36"/>
    <w:rsid w:val="33F702EF"/>
    <w:rsid w:val="34170D13"/>
    <w:rsid w:val="35C85566"/>
    <w:rsid w:val="369E2CA4"/>
    <w:rsid w:val="36D63FF5"/>
    <w:rsid w:val="37394099"/>
    <w:rsid w:val="382E5B98"/>
    <w:rsid w:val="38547ABE"/>
    <w:rsid w:val="38D1110E"/>
    <w:rsid w:val="39AD3929"/>
    <w:rsid w:val="3A283FE8"/>
    <w:rsid w:val="3A695373"/>
    <w:rsid w:val="3A6B1889"/>
    <w:rsid w:val="3A7B026E"/>
    <w:rsid w:val="3A8066BC"/>
    <w:rsid w:val="3B9F1750"/>
    <w:rsid w:val="3BE64ED1"/>
    <w:rsid w:val="3C0B4340"/>
    <w:rsid w:val="3C3C79E8"/>
    <w:rsid w:val="3C595371"/>
    <w:rsid w:val="3CC14813"/>
    <w:rsid w:val="3CCF3BB7"/>
    <w:rsid w:val="3D6562C9"/>
    <w:rsid w:val="3DCC7A7C"/>
    <w:rsid w:val="3DD1766F"/>
    <w:rsid w:val="3EB05C6A"/>
    <w:rsid w:val="3F00274D"/>
    <w:rsid w:val="3F5039A5"/>
    <w:rsid w:val="3F564F2A"/>
    <w:rsid w:val="3F5E7474"/>
    <w:rsid w:val="3FA8312C"/>
    <w:rsid w:val="3FCB58CB"/>
    <w:rsid w:val="40B93AD3"/>
    <w:rsid w:val="40ED0E46"/>
    <w:rsid w:val="41132024"/>
    <w:rsid w:val="419329F4"/>
    <w:rsid w:val="426254CD"/>
    <w:rsid w:val="42EC47AF"/>
    <w:rsid w:val="43193DDE"/>
    <w:rsid w:val="43675A04"/>
    <w:rsid w:val="43D877F5"/>
    <w:rsid w:val="43E10162"/>
    <w:rsid w:val="444F611F"/>
    <w:rsid w:val="44760A9D"/>
    <w:rsid w:val="44B4311E"/>
    <w:rsid w:val="44F248E6"/>
    <w:rsid w:val="45537DEC"/>
    <w:rsid w:val="45CC5137"/>
    <w:rsid w:val="45FF375F"/>
    <w:rsid w:val="46162856"/>
    <w:rsid w:val="46362EF9"/>
    <w:rsid w:val="46A20569"/>
    <w:rsid w:val="46EE732F"/>
    <w:rsid w:val="476B0980"/>
    <w:rsid w:val="47781E0F"/>
    <w:rsid w:val="47CC2624"/>
    <w:rsid w:val="48AB372A"/>
    <w:rsid w:val="48CB3DCC"/>
    <w:rsid w:val="48D27FF8"/>
    <w:rsid w:val="48D569F9"/>
    <w:rsid w:val="498D1081"/>
    <w:rsid w:val="49AA35CE"/>
    <w:rsid w:val="4A5611F5"/>
    <w:rsid w:val="4C8B180D"/>
    <w:rsid w:val="4CA037FA"/>
    <w:rsid w:val="4D0E24D9"/>
    <w:rsid w:val="4D73058E"/>
    <w:rsid w:val="4D7F33D7"/>
    <w:rsid w:val="4D820F72"/>
    <w:rsid w:val="4E546612"/>
    <w:rsid w:val="4E824F2D"/>
    <w:rsid w:val="5037742A"/>
    <w:rsid w:val="5085694D"/>
    <w:rsid w:val="509D0B67"/>
    <w:rsid w:val="50DE21C3"/>
    <w:rsid w:val="50E33C7D"/>
    <w:rsid w:val="51172D37"/>
    <w:rsid w:val="51552685"/>
    <w:rsid w:val="51644DBE"/>
    <w:rsid w:val="523F22A3"/>
    <w:rsid w:val="524C784D"/>
    <w:rsid w:val="525E70D8"/>
    <w:rsid w:val="52685679"/>
    <w:rsid w:val="526E7374"/>
    <w:rsid w:val="52A42F98"/>
    <w:rsid w:val="53477874"/>
    <w:rsid w:val="542B1BC3"/>
    <w:rsid w:val="54B020C8"/>
    <w:rsid w:val="55E262B1"/>
    <w:rsid w:val="55FA2598"/>
    <w:rsid w:val="568B3E88"/>
    <w:rsid w:val="579B178C"/>
    <w:rsid w:val="58C04746"/>
    <w:rsid w:val="596A6026"/>
    <w:rsid w:val="599364B0"/>
    <w:rsid w:val="5A492DA3"/>
    <w:rsid w:val="5A6645C8"/>
    <w:rsid w:val="5B912A21"/>
    <w:rsid w:val="5D891708"/>
    <w:rsid w:val="5D9702C9"/>
    <w:rsid w:val="5DC96A15"/>
    <w:rsid w:val="5DCC7F73"/>
    <w:rsid w:val="5E070FAB"/>
    <w:rsid w:val="5E0D40E7"/>
    <w:rsid w:val="5E190CDE"/>
    <w:rsid w:val="5E7B5E08"/>
    <w:rsid w:val="5E7D74BF"/>
    <w:rsid w:val="5EC724E8"/>
    <w:rsid w:val="5F543E6A"/>
    <w:rsid w:val="5FB7255D"/>
    <w:rsid w:val="5FE1582B"/>
    <w:rsid w:val="5FE62E42"/>
    <w:rsid w:val="5FF34165"/>
    <w:rsid w:val="5FFC4A99"/>
    <w:rsid w:val="60996056"/>
    <w:rsid w:val="61446072"/>
    <w:rsid w:val="6185307B"/>
    <w:rsid w:val="61C176C2"/>
    <w:rsid w:val="61DD1805"/>
    <w:rsid w:val="6280132C"/>
    <w:rsid w:val="63144A9E"/>
    <w:rsid w:val="631A5FB8"/>
    <w:rsid w:val="63400343"/>
    <w:rsid w:val="638D1FEC"/>
    <w:rsid w:val="65794AEE"/>
    <w:rsid w:val="65817895"/>
    <w:rsid w:val="658F0953"/>
    <w:rsid w:val="65FC33BF"/>
    <w:rsid w:val="66096397"/>
    <w:rsid w:val="665F7549"/>
    <w:rsid w:val="66A54D49"/>
    <w:rsid w:val="66AD46B9"/>
    <w:rsid w:val="66F8107D"/>
    <w:rsid w:val="673254E5"/>
    <w:rsid w:val="67980EC5"/>
    <w:rsid w:val="680D2FC5"/>
    <w:rsid w:val="68A11FFC"/>
    <w:rsid w:val="69D95C63"/>
    <w:rsid w:val="69E2467A"/>
    <w:rsid w:val="6A8C2674"/>
    <w:rsid w:val="6AB9187F"/>
    <w:rsid w:val="6B737C7F"/>
    <w:rsid w:val="6BD67A5C"/>
    <w:rsid w:val="6C0542C4"/>
    <w:rsid w:val="6C1256EA"/>
    <w:rsid w:val="6C134FBF"/>
    <w:rsid w:val="6C14399B"/>
    <w:rsid w:val="6C4D779E"/>
    <w:rsid w:val="6C8934D3"/>
    <w:rsid w:val="6D2D3C78"/>
    <w:rsid w:val="6DD703B2"/>
    <w:rsid w:val="6E22686A"/>
    <w:rsid w:val="6EC802E2"/>
    <w:rsid w:val="6EFE3D04"/>
    <w:rsid w:val="6F776FE8"/>
    <w:rsid w:val="709938DD"/>
    <w:rsid w:val="712A6EE7"/>
    <w:rsid w:val="714F6A99"/>
    <w:rsid w:val="7185070D"/>
    <w:rsid w:val="71B6488D"/>
    <w:rsid w:val="72255A4C"/>
    <w:rsid w:val="724F1D63"/>
    <w:rsid w:val="739C6BE4"/>
    <w:rsid w:val="73B01345"/>
    <w:rsid w:val="73B726D3"/>
    <w:rsid w:val="74523DBE"/>
    <w:rsid w:val="74D379E1"/>
    <w:rsid w:val="75410DEE"/>
    <w:rsid w:val="756C46A5"/>
    <w:rsid w:val="756D77CA"/>
    <w:rsid w:val="75EF1A41"/>
    <w:rsid w:val="76807428"/>
    <w:rsid w:val="76C25A93"/>
    <w:rsid w:val="76EC08E6"/>
    <w:rsid w:val="77AD62C7"/>
    <w:rsid w:val="781778BB"/>
    <w:rsid w:val="78AB1D3F"/>
    <w:rsid w:val="795B332D"/>
    <w:rsid w:val="7A304B42"/>
    <w:rsid w:val="7A5213A8"/>
    <w:rsid w:val="7AD41AC7"/>
    <w:rsid w:val="7B486307"/>
    <w:rsid w:val="7C0A19EF"/>
    <w:rsid w:val="7C31689A"/>
    <w:rsid w:val="7C4116D4"/>
    <w:rsid w:val="7C460A98"/>
    <w:rsid w:val="7C8F0691"/>
    <w:rsid w:val="7D015BC5"/>
    <w:rsid w:val="7E4C610E"/>
    <w:rsid w:val="7E5F22E5"/>
    <w:rsid w:val="7FAD6D9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1"/>
    <w:qFormat/>
    <w:uiPriority w:val="0"/>
    <w:pPr>
      <w:widowControl/>
      <w:ind w:left="-270" w:firstLine="270"/>
      <w:jc w:val="left"/>
    </w:pPr>
    <w:rPr>
      <w:rFonts w:eastAsia="PMingLiU"/>
      <w:kern w:val="0"/>
      <w:sz w:val="24"/>
      <w:szCs w:val="20"/>
      <w:lang w:val="en-GB" w:eastAsia="en-US"/>
    </w:rPr>
  </w:style>
  <w:style w:type="paragraph" w:styleId="3">
    <w:name w:val="Body Text First Indent 2"/>
    <w:basedOn w:val="2"/>
    <w:unhideWhenUsed/>
    <w:qFormat/>
    <w:uiPriority w:val="99"/>
    <w:pPr>
      <w:ind w:firstLine="420"/>
    </w:pPr>
  </w:style>
  <w:style w:type="paragraph" w:styleId="7">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8">
    <w:name w:val="annotation text"/>
    <w:basedOn w:val="1"/>
    <w:link w:val="51"/>
    <w:semiHidden/>
    <w:unhideWhenUsed/>
    <w:qFormat/>
    <w:uiPriority w:val="0"/>
    <w:pPr>
      <w:jc w:val="left"/>
    </w:pPr>
  </w:style>
  <w:style w:type="paragraph" w:styleId="9">
    <w:name w:val="Body Text"/>
    <w:basedOn w:val="1"/>
    <w:next w:val="10"/>
    <w:link w:val="42"/>
    <w:qFormat/>
    <w:uiPriority w:val="0"/>
    <w:pPr>
      <w:widowControl/>
      <w:jc w:val="left"/>
    </w:pPr>
    <w:rPr>
      <w:rFonts w:eastAsia="PMingLiU"/>
      <w:kern w:val="0"/>
      <w:sz w:val="24"/>
      <w:szCs w:val="20"/>
      <w:lang w:eastAsia="en-US"/>
    </w:rPr>
  </w:style>
  <w:style w:type="paragraph" w:styleId="10">
    <w:name w:val="Body Text First Indent"/>
    <w:basedOn w:val="9"/>
    <w:next w:val="1"/>
    <w:unhideWhenUsed/>
    <w:qFormat/>
    <w:uiPriority w:val="99"/>
    <w:pPr>
      <w:ind w:firstLine="420" w:firstLineChars="100"/>
    </w:pPr>
    <w:rPr>
      <w:kern w:val="2"/>
      <w:sz w:val="21"/>
    </w:rPr>
  </w:style>
  <w:style w:type="paragraph" w:styleId="11">
    <w:name w:val="toc 3"/>
    <w:basedOn w:val="1"/>
    <w:next w:val="1"/>
    <w:semiHidden/>
    <w:unhideWhenUsed/>
    <w:qFormat/>
    <w:uiPriority w:val="0"/>
    <w:pPr>
      <w:ind w:left="840" w:leftChars="400"/>
    </w:pPr>
  </w:style>
  <w:style w:type="paragraph" w:styleId="12">
    <w:name w:val="Plain Text"/>
    <w:basedOn w:val="1"/>
    <w:link w:val="39"/>
    <w:qFormat/>
    <w:uiPriority w:val="0"/>
    <w:rPr>
      <w:rFonts w:ascii="宋体" w:hAnsi="Courier New"/>
      <w:szCs w:val="20"/>
    </w:rPr>
  </w:style>
  <w:style w:type="paragraph" w:styleId="13">
    <w:name w:val="Balloon Text"/>
    <w:basedOn w:val="1"/>
    <w:semiHidden/>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8">
    <w:name w:val="toc 2"/>
    <w:basedOn w:val="1"/>
    <w:next w:val="1"/>
    <w:semiHidden/>
    <w:unhideWhenUsed/>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20">
    <w:name w:val="Title"/>
    <w:basedOn w:val="1"/>
    <w:next w:val="1"/>
    <w:link w:val="57"/>
    <w:qFormat/>
    <w:uiPriority w:val="0"/>
    <w:pPr>
      <w:spacing w:before="240" w:after="60"/>
      <w:jc w:val="center"/>
      <w:outlineLvl w:val="0"/>
    </w:pPr>
    <w:rPr>
      <w:rFonts w:asciiTheme="majorHAnsi" w:hAnsiTheme="majorHAnsi" w:cstheme="majorBidi"/>
      <w:b/>
      <w:bCs/>
      <w:sz w:val="32"/>
      <w:szCs w:val="32"/>
    </w:rPr>
  </w:style>
  <w:style w:type="paragraph" w:styleId="21">
    <w:name w:val="annotation subject"/>
    <w:basedOn w:val="8"/>
    <w:next w:val="8"/>
    <w:link w:val="52"/>
    <w:semiHidden/>
    <w:unhideWhenUsed/>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Emphasis"/>
    <w:qFormat/>
    <w:uiPriority w:val="20"/>
    <w:rPr>
      <w:color w:val="DD4B39"/>
    </w:rPr>
  </w:style>
  <w:style w:type="character" w:styleId="27">
    <w:name w:val="Hyperlink"/>
    <w:qFormat/>
    <w:uiPriority w:val="99"/>
    <w:rPr>
      <w:color w:val="0000FF"/>
      <w:u w:val="single"/>
    </w:rPr>
  </w:style>
  <w:style w:type="character" w:styleId="28">
    <w:name w:val="annotation reference"/>
    <w:basedOn w:val="24"/>
    <w:semiHidden/>
    <w:unhideWhenUsed/>
    <w:qFormat/>
    <w:uiPriority w:val="0"/>
    <w:rPr>
      <w:sz w:val="21"/>
      <w:szCs w:val="21"/>
    </w:rPr>
  </w:style>
  <w:style w:type="paragraph" w:customStyle="1" w:styleId="29">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30">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31">
    <w:name w:val="页眉 Char"/>
    <w:link w:val="15"/>
    <w:qFormat/>
    <w:uiPriority w:val="0"/>
    <w:rPr>
      <w:kern w:val="2"/>
      <w:sz w:val="18"/>
      <w:szCs w:val="18"/>
    </w:rPr>
  </w:style>
  <w:style w:type="character" w:customStyle="1" w:styleId="32">
    <w:name w:val="页脚 Char"/>
    <w:link w:val="14"/>
    <w:qFormat/>
    <w:uiPriority w:val="99"/>
    <w:rPr>
      <w:kern w:val="2"/>
      <w:sz w:val="18"/>
      <w:szCs w:val="18"/>
    </w:rPr>
  </w:style>
  <w:style w:type="paragraph" w:styleId="33">
    <w:name w:val="List Paragraph"/>
    <w:basedOn w:val="1"/>
    <w:qFormat/>
    <w:uiPriority w:val="99"/>
    <w:pPr>
      <w:ind w:firstLine="420" w:firstLineChars="200"/>
    </w:pPr>
    <w:rPr>
      <w:rFonts w:ascii="Calibri" w:hAnsi="Calibri"/>
      <w:szCs w:val="22"/>
    </w:rPr>
  </w:style>
  <w:style w:type="paragraph" w:customStyle="1" w:styleId="34">
    <w:name w:val="Char"/>
    <w:basedOn w:val="1"/>
    <w:qFormat/>
    <w:uiPriority w:val="0"/>
    <w:pPr>
      <w:spacing w:line="360" w:lineRule="auto"/>
      <w:ind w:firstLine="200" w:firstLineChars="200"/>
    </w:pPr>
    <w:rPr>
      <w:rFonts w:ascii="宋体" w:hAnsi="宋体" w:cs="宋体"/>
      <w:sz w:val="24"/>
    </w:rPr>
  </w:style>
  <w:style w:type="paragraph" w:customStyle="1" w:styleId="3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apple-style-span"/>
    <w:basedOn w:val="24"/>
    <w:qFormat/>
    <w:uiPriority w:val="0"/>
  </w:style>
  <w:style w:type="paragraph" w:customStyle="1" w:styleId="37">
    <w:name w:val="列出段落1"/>
    <w:basedOn w:val="1"/>
    <w:qFormat/>
    <w:uiPriority w:val="0"/>
    <w:pPr>
      <w:ind w:firstLine="420" w:firstLineChars="200"/>
    </w:pPr>
  </w:style>
  <w:style w:type="character" w:customStyle="1" w:styleId="38">
    <w:name w:val="bumpedfont20"/>
    <w:basedOn w:val="24"/>
    <w:qFormat/>
    <w:uiPriority w:val="0"/>
  </w:style>
  <w:style w:type="character" w:customStyle="1" w:styleId="39">
    <w:name w:val="纯文本 Char"/>
    <w:link w:val="12"/>
    <w:qFormat/>
    <w:uiPriority w:val="0"/>
    <w:rPr>
      <w:rFonts w:ascii="宋体" w:hAnsi="Courier New"/>
      <w:kern w:val="2"/>
      <w:sz w:val="21"/>
    </w:rPr>
  </w:style>
  <w:style w:type="paragraph" w:styleId="40">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41">
    <w:name w:val="正文文本缩进 Char"/>
    <w:link w:val="2"/>
    <w:qFormat/>
    <w:uiPriority w:val="0"/>
    <w:rPr>
      <w:rFonts w:eastAsia="PMingLiU"/>
      <w:sz w:val="24"/>
      <w:lang w:val="en-GB" w:eastAsia="en-US"/>
    </w:rPr>
  </w:style>
  <w:style w:type="character" w:customStyle="1" w:styleId="42">
    <w:name w:val="正文文本 Char"/>
    <w:link w:val="9"/>
    <w:qFormat/>
    <w:uiPriority w:val="0"/>
    <w:rPr>
      <w:rFonts w:eastAsia="PMingLiU"/>
      <w:sz w:val="24"/>
      <w:lang w:eastAsia="en-US"/>
    </w:rPr>
  </w:style>
  <w:style w:type="character" w:customStyle="1" w:styleId="43">
    <w:name w:val="short_text"/>
    <w:qFormat/>
    <w:uiPriority w:val="0"/>
  </w:style>
  <w:style w:type="character" w:customStyle="1" w:styleId="44">
    <w:name w:val="st1"/>
    <w:qFormat/>
    <w:uiPriority w:val="0"/>
  </w:style>
  <w:style w:type="character" w:customStyle="1" w:styleId="45">
    <w:name w:val="apple-converted-space"/>
    <w:basedOn w:val="24"/>
    <w:qFormat/>
    <w:uiPriority w:val="99"/>
  </w:style>
  <w:style w:type="paragraph" w:customStyle="1" w:styleId="46">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7">
    <w:name w:val="网格型1"/>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8">
    <w:name w:val="_Style 2"/>
    <w:basedOn w:val="1"/>
    <w:qFormat/>
    <w:uiPriority w:val="34"/>
    <w:pPr>
      <w:ind w:firstLine="420" w:firstLineChars="200"/>
    </w:pPr>
  </w:style>
  <w:style w:type="character" w:customStyle="1" w:styleId="49">
    <w:name w:val="标题 1 Char"/>
    <w:basedOn w:val="24"/>
    <w:link w:val="4"/>
    <w:qFormat/>
    <w:uiPriority w:val="9"/>
    <w:rPr>
      <w:rFonts w:asciiTheme="minorHAnsi" w:hAnsiTheme="minorHAnsi" w:eastAsiaTheme="minorEastAsia" w:cstheme="minorBidi"/>
      <w:b/>
      <w:bCs/>
      <w:kern w:val="44"/>
      <w:sz w:val="44"/>
      <w:szCs w:val="44"/>
    </w:rPr>
  </w:style>
  <w:style w:type="paragraph" w:customStyle="1" w:styleId="50">
    <w:name w:val="列出段落2"/>
    <w:basedOn w:val="1"/>
    <w:qFormat/>
    <w:uiPriority w:val="0"/>
    <w:pPr>
      <w:ind w:firstLine="420" w:firstLineChars="200"/>
    </w:pPr>
    <w:rPr>
      <w:rFonts w:ascii="Calibri" w:hAnsi="Calibri"/>
      <w:szCs w:val="22"/>
    </w:rPr>
  </w:style>
  <w:style w:type="character" w:customStyle="1" w:styleId="51">
    <w:name w:val="批注文字 Char"/>
    <w:basedOn w:val="24"/>
    <w:link w:val="8"/>
    <w:semiHidden/>
    <w:qFormat/>
    <w:uiPriority w:val="0"/>
    <w:rPr>
      <w:kern w:val="2"/>
      <w:sz w:val="21"/>
      <w:szCs w:val="24"/>
    </w:rPr>
  </w:style>
  <w:style w:type="character" w:customStyle="1" w:styleId="52">
    <w:name w:val="批注主题 Char"/>
    <w:basedOn w:val="51"/>
    <w:link w:val="21"/>
    <w:semiHidden/>
    <w:qFormat/>
    <w:uiPriority w:val="0"/>
    <w:rPr>
      <w:b/>
      <w:bCs/>
      <w:kern w:val="2"/>
      <w:sz w:val="21"/>
      <w:szCs w:val="24"/>
    </w:rPr>
  </w:style>
  <w:style w:type="table" w:customStyle="1" w:styleId="53">
    <w:name w:val="网格型2"/>
    <w:basedOn w:val="2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7">
    <w:name w:val="标题 Char"/>
    <w:basedOn w:val="24"/>
    <w:link w:val="20"/>
    <w:qFormat/>
    <w:uiPriority w:val="0"/>
    <w:rPr>
      <w:rFonts w:asciiTheme="majorHAnsi" w:hAnsiTheme="majorHAnsi" w:cstheme="majorBidi"/>
      <w:b/>
      <w:bCs/>
      <w:kern w:val="2"/>
      <w:sz w:val="32"/>
      <w:szCs w:val="32"/>
    </w:rPr>
  </w:style>
  <w:style w:type="paragraph" w:customStyle="1" w:styleId="58">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9">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60">
    <w:name w:val="p1"/>
    <w:basedOn w:val="1"/>
    <w:qFormat/>
    <w:uiPriority w:val="0"/>
    <w:pPr>
      <w:jc w:val="left"/>
    </w:pPr>
    <w:rPr>
      <w:rFonts w:ascii="Helvetica" w:hAnsi="Helvetica" w:eastAsia="Helvetica"/>
      <w:kern w:val="0"/>
      <w:sz w:val="24"/>
    </w:rPr>
  </w:style>
  <w:style w:type="paragraph" w:customStyle="1" w:styleId="61">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8368</Words>
  <Characters>8661</Characters>
  <Lines>60</Lines>
  <Paragraphs>16</Paragraphs>
  <TotalTime>19</TotalTime>
  <ScaleCrop>false</ScaleCrop>
  <LinksUpToDate>false</LinksUpToDate>
  <CharactersWithSpaces>8871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jolin</dc:creator>
  <cp:lastModifiedBy>周琳颖</cp:lastModifiedBy>
  <cp:lastPrinted>2025-10-28T06:41:00Z</cp:lastPrinted>
  <dcterms:modified xsi:type="dcterms:W3CDTF">2026-06-18T01:46:17Z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eyJoZGlkIjoiYTYwMmM2YTUyODc3MGZhODIyZTQ5MTVkYzcwMjY2YTQiLCJ1c2VySWQiOiIxODA2ODM5NjI4In0=</vt:lpwstr>
  </property>
</Properties>
</file>