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BDA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8"/>
        <w:gridCol w:w="7179"/>
      </w:tblGrid>
      <w:tr w14:paraId="208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5CCD6DB7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40B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6" w:type="pct"/>
          </w:tcPr>
          <w:p w14:paraId="296BAA4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0E14B495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  <w:lang w:val="en-US" w:eastAsia="zh-CN"/>
              </w:rPr>
              <w:t>高端</w:t>
            </w:r>
            <w:r>
              <w:rPr>
                <w:rFonts w:hint="eastAsia"/>
                <w:kern w:val="0"/>
                <w:sz w:val="28"/>
                <w:szCs w:val="30"/>
                <w:lang w:eastAsia="zh-CN"/>
              </w:rPr>
              <w:t>检查床</w:t>
            </w:r>
          </w:p>
        </w:tc>
      </w:tr>
      <w:tr w14:paraId="105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8E0F291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23D93A30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32B0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712E44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34F61DEC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妇科和产科门诊患者均可在该检查床上完成听胎心、四部触诊、取白带等检查项目</w:t>
            </w:r>
          </w:p>
        </w:tc>
      </w:tr>
      <w:tr w14:paraId="1C8C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09BAD6EC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47AE712D">
            <w:pPr>
              <w:ind w:right="-340" w:rightChars="-162"/>
              <w:rPr>
                <w:rFonts w:hint="default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4563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62A3FAA8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0F46560E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77B9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69E1F398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产科门诊患者可在该检查床上完成听胎心、四部触诊、取白带等检查项目。</w:t>
            </w:r>
          </w:p>
          <w:p w14:paraId="61CA4203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妇科门诊患者可在该检查床上完成阴道探查等检查项目。</w:t>
            </w:r>
          </w:p>
          <w:p w14:paraId="05EA89E8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结构稳定，支撑力强，能够承受较大重量和压力。</w:t>
            </w:r>
          </w:p>
          <w:p w14:paraId="394DCE03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床垫材质符合安全标准，表面易清洁。</w:t>
            </w:r>
          </w:p>
          <w:p w14:paraId="0702A034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高度可电动升降调节，升距≥200mm，使医生获得比较理想的位置。</w:t>
            </w:r>
          </w:p>
          <w:p w14:paraId="5EE5A33E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背板上折角度≥70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pgNum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°，臀板上折角度≥5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pgNum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°，以适应不同检查需求。</w:t>
            </w:r>
          </w:p>
          <w:p w14:paraId="6D8C866C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抽拉式辅助台及污物盆，方便操作和污物排放。</w:t>
            </w:r>
          </w:p>
          <w:p w14:paraId="1C25AEA5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请提供实物操作视频可现场展示以帮助了解产品。</w:t>
            </w:r>
          </w:p>
          <w:p w14:paraId="3EF00D6D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须能提供注册证附页证明材料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技术白皮书如实证明上述需求中的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功能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参数</w:t>
            </w:r>
          </w:p>
        </w:tc>
      </w:tr>
      <w:tr w14:paraId="0267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ECE124E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573AB232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16DA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081254AF">
            <w:pPr>
              <w:ind w:right="-340" w:rightChars="-162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检查床、电源线、腿架、污物盆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（提供详细配置清单）</w:t>
            </w:r>
          </w:p>
        </w:tc>
      </w:tr>
      <w:tr w14:paraId="442D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C399D6A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6703B74A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619D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4EBD0E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5281195">
            <w:pPr>
              <w:ind w:left="105" w:leftChars="50"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</w:tc>
      </w:tr>
      <w:tr w14:paraId="3B4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188732DB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39D539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133C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238CCF4C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6606C729">
            <w:pP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名称、价格清单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</w:p>
        </w:tc>
      </w:tr>
      <w:tr w14:paraId="121B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0B44D5B0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885CD27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提供建议使用年限时长（根据说明书/铭牌 截图佐证）；</w:t>
            </w:r>
          </w:p>
        </w:tc>
      </w:tr>
      <w:tr w14:paraId="0E4A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62F1E97B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EBF17B6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66A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3288878A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683028D1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  <w:tr w14:paraId="3651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E556C90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14:paraId="267BE65F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</w:tbl>
    <w:p w14:paraId="5758D6E9">
      <w:pPr>
        <w:rPr>
          <w:b/>
          <w:sz w:val="24"/>
          <w:szCs w:val="24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w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47FCF"/>
    <w:multiLevelType w:val="singleLevel"/>
    <w:tmpl w:val="D1647F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GMyZDJmZmNiZTdlYWFjMTlmN2VjMDY0NjhiNWUifQ=="/>
    <w:docVar w:name="KSO_WPS_MARK_KEY" w:val="226f7087-9043-4427-b38f-c8c0716c6ee6"/>
  </w:docVars>
  <w:rsids>
    <w:rsidRoot w:val="00C53372"/>
    <w:rsid w:val="00004373"/>
    <w:rsid w:val="000113DC"/>
    <w:rsid w:val="00035BA2"/>
    <w:rsid w:val="0004248C"/>
    <w:rsid w:val="00055DA4"/>
    <w:rsid w:val="00056A90"/>
    <w:rsid w:val="00064E0F"/>
    <w:rsid w:val="00074965"/>
    <w:rsid w:val="00090F26"/>
    <w:rsid w:val="000A0841"/>
    <w:rsid w:val="000A091F"/>
    <w:rsid w:val="000A534F"/>
    <w:rsid w:val="000B353C"/>
    <w:rsid w:val="000B4D57"/>
    <w:rsid w:val="000B604C"/>
    <w:rsid w:val="000C1749"/>
    <w:rsid w:val="000D0535"/>
    <w:rsid w:val="000D055C"/>
    <w:rsid w:val="000E24E8"/>
    <w:rsid w:val="000E4AE3"/>
    <w:rsid w:val="000F1108"/>
    <w:rsid w:val="000F398B"/>
    <w:rsid w:val="000F4BB0"/>
    <w:rsid w:val="0012381B"/>
    <w:rsid w:val="001264EC"/>
    <w:rsid w:val="00127359"/>
    <w:rsid w:val="0012783F"/>
    <w:rsid w:val="00157150"/>
    <w:rsid w:val="0017556F"/>
    <w:rsid w:val="00187B18"/>
    <w:rsid w:val="001A4B78"/>
    <w:rsid w:val="001B2307"/>
    <w:rsid w:val="001F1CFC"/>
    <w:rsid w:val="001F25CE"/>
    <w:rsid w:val="00202724"/>
    <w:rsid w:val="00222CBF"/>
    <w:rsid w:val="00224E43"/>
    <w:rsid w:val="00230AEE"/>
    <w:rsid w:val="00230DE3"/>
    <w:rsid w:val="00262112"/>
    <w:rsid w:val="00263A80"/>
    <w:rsid w:val="0026731F"/>
    <w:rsid w:val="00277BA5"/>
    <w:rsid w:val="00284F58"/>
    <w:rsid w:val="002905F9"/>
    <w:rsid w:val="002B11AF"/>
    <w:rsid w:val="002B1BC3"/>
    <w:rsid w:val="002B31BF"/>
    <w:rsid w:val="002C2570"/>
    <w:rsid w:val="002D3C4D"/>
    <w:rsid w:val="002E16D7"/>
    <w:rsid w:val="002E2EC0"/>
    <w:rsid w:val="002E6F9C"/>
    <w:rsid w:val="002F7758"/>
    <w:rsid w:val="00311E63"/>
    <w:rsid w:val="00340285"/>
    <w:rsid w:val="00353D28"/>
    <w:rsid w:val="003562CC"/>
    <w:rsid w:val="00357554"/>
    <w:rsid w:val="0036635B"/>
    <w:rsid w:val="00377073"/>
    <w:rsid w:val="00377130"/>
    <w:rsid w:val="003A7865"/>
    <w:rsid w:val="003D3C44"/>
    <w:rsid w:val="003E09F2"/>
    <w:rsid w:val="003F543E"/>
    <w:rsid w:val="00407AE0"/>
    <w:rsid w:val="00416804"/>
    <w:rsid w:val="0042193C"/>
    <w:rsid w:val="004410F8"/>
    <w:rsid w:val="00464F75"/>
    <w:rsid w:val="0047746D"/>
    <w:rsid w:val="00484524"/>
    <w:rsid w:val="004934F2"/>
    <w:rsid w:val="004A2801"/>
    <w:rsid w:val="004B1A22"/>
    <w:rsid w:val="004C3CD8"/>
    <w:rsid w:val="004D1250"/>
    <w:rsid w:val="004D52C8"/>
    <w:rsid w:val="004F480D"/>
    <w:rsid w:val="00513D8E"/>
    <w:rsid w:val="00524A86"/>
    <w:rsid w:val="00535C73"/>
    <w:rsid w:val="00536C45"/>
    <w:rsid w:val="0054122B"/>
    <w:rsid w:val="005430DE"/>
    <w:rsid w:val="00543FB4"/>
    <w:rsid w:val="005670F5"/>
    <w:rsid w:val="00571E7F"/>
    <w:rsid w:val="00593C6D"/>
    <w:rsid w:val="00595504"/>
    <w:rsid w:val="00595E50"/>
    <w:rsid w:val="005B4B6A"/>
    <w:rsid w:val="005C4329"/>
    <w:rsid w:val="005C78C2"/>
    <w:rsid w:val="005E73A1"/>
    <w:rsid w:val="005F050C"/>
    <w:rsid w:val="00601DD5"/>
    <w:rsid w:val="006023F9"/>
    <w:rsid w:val="00614A5C"/>
    <w:rsid w:val="006668F1"/>
    <w:rsid w:val="00685B75"/>
    <w:rsid w:val="0068671B"/>
    <w:rsid w:val="006A50A7"/>
    <w:rsid w:val="006C59DC"/>
    <w:rsid w:val="006E05B9"/>
    <w:rsid w:val="006E5782"/>
    <w:rsid w:val="007069C6"/>
    <w:rsid w:val="007109B6"/>
    <w:rsid w:val="00726EE5"/>
    <w:rsid w:val="00737006"/>
    <w:rsid w:val="00747D48"/>
    <w:rsid w:val="007504D4"/>
    <w:rsid w:val="00751829"/>
    <w:rsid w:val="007735E4"/>
    <w:rsid w:val="007B18FD"/>
    <w:rsid w:val="007C1144"/>
    <w:rsid w:val="007C39A4"/>
    <w:rsid w:val="007E6838"/>
    <w:rsid w:val="007E6EAC"/>
    <w:rsid w:val="007F174F"/>
    <w:rsid w:val="008149AF"/>
    <w:rsid w:val="00837866"/>
    <w:rsid w:val="00837FB7"/>
    <w:rsid w:val="0084270A"/>
    <w:rsid w:val="0084320B"/>
    <w:rsid w:val="00843A0D"/>
    <w:rsid w:val="00862B3E"/>
    <w:rsid w:val="008824BE"/>
    <w:rsid w:val="00894D59"/>
    <w:rsid w:val="008973F5"/>
    <w:rsid w:val="008C7C81"/>
    <w:rsid w:val="008C7EAC"/>
    <w:rsid w:val="008C7F7D"/>
    <w:rsid w:val="008F3A3D"/>
    <w:rsid w:val="00920C69"/>
    <w:rsid w:val="00925B0D"/>
    <w:rsid w:val="0093112A"/>
    <w:rsid w:val="00936D96"/>
    <w:rsid w:val="00953C3E"/>
    <w:rsid w:val="009A13DC"/>
    <w:rsid w:val="009B38D5"/>
    <w:rsid w:val="009B59C4"/>
    <w:rsid w:val="009C1DE4"/>
    <w:rsid w:val="009C2815"/>
    <w:rsid w:val="009C77BE"/>
    <w:rsid w:val="009D36AD"/>
    <w:rsid w:val="009E1D71"/>
    <w:rsid w:val="009E5DE7"/>
    <w:rsid w:val="009F0456"/>
    <w:rsid w:val="009F0616"/>
    <w:rsid w:val="00A06B02"/>
    <w:rsid w:val="00A1315D"/>
    <w:rsid w:val="00A1587C"/>
    <w:rsid w:val="00A303E0"/>
    <w:rsid w:val="00A32CEA"/>
    <w:rsid w:val="00A5273B"/>
    <w:rsid w:val="00A66A9E"/>
    <w:rsid w:val="00A75DB9"/>
    <w:rsid w:val="00A76DDB"/>
    <w:rsid w:val="00A85E32"/>
    <w:rsid w:val="00A9121D"/>
    <w:rsid w:val="00AA412E"/>
    <w:rsid w:val="00AD1A3A"/>
    <w:rsid w:val="00AD2D58"/>
    <w:rsid w:val="00AD7A90"/>
    <w:rsid w:val="00AE3EC1"/>
    <w:rsid w:val="00AE6116"/>
    <w:rsid w:val="00AE747E"/>
    <w:rsid w:val="00B17C1C"/>
    <w:rsid w:val="00B25BCE"/>
    <w:rsid w:val="00B275BE"/>
    <w:rsid w:val="00B4343F"/>
    <w:rsid w:val="00B43CB1"/>
    <w:rsid w:val="00B547DE"/>
    <w:rsid w:val="00B64D72"/>
    <w:rsid w:val="00B77E22"/>
    <w:rsid w:val="00B831AD"/>
    <w:rsid w:val="00B955A7"/>
    <w:rsid w:val="00BA616C"/>
    <w:rsid w:val="00BB1275"/>
    <w:rsid w:val="00BC5989"/>
    <w:rsid w:val="00BD7E4F"/>
    <w:rsid w:val="00BE2F8F"/>
    <w:rsid w:val="00BF02F2"/>
    <w:rsid w:val="00BF09A5"/>
    <w:rsid w:val="00BF3343"/>
    <w:rsid w:val="00C13D3B"/>
    <w:rsid w:val="00C23AB5"/>
    <w:rsid w:val="00C3662C"/>
    <w:rsid w:val="00C46E90"/>
    <w:rsid w:val="00C53372"/>
    <w:rsid w:val="00C542B7"/>
    <w:rsid w:val="00C62156"/>
    <w:rsid w:val="00C64A56"/>
    <w:rsid w:val="00C7122E"/>
    <w:rsid w:val="00C751C8"/>
    <w:rsid w:val="00CC4BDB"/>
    <w:rsid w:val="00CD0435"/>
    <w:rsid w:val="00CE602A"/>
    <w:rsid w:val="00CF1B82"/>
    <w:rsid w:val="00D014EE"/>
    <w:rsid w:val="00D077E9"/>
    <w:rsid w:val="00D15303"/>
    <w:rsid w:val="00D1630E"/>
    <w:rsid w:val="00D2617F"/>
    <w:rsid w:val="00D67B51"/>
    <w:rsid w:val="00D77B9C"/>
    <w:rsid w:val="00D77D8F"/>
    <w:rsid w:val="00D81392"/>
    <w:rsid w:val="00D8185B"/>
    <w:rsid w:val="00D83A1D"/>
    <w:rsid w:val="00D85DD8"/>
    <w:rsid w:val="00D924EE"/>
    <w:rsid w:val="00D944F9"/>
    <w:rsid w:val="00DA350A"/>
    <w:rsid w:val="00DA6F05"/>
    <w:rsid w:val="00DB0EDD"/>
    <w:rsid w:val="00DB1B88"/>
    <w:rsid w:val="00DB54B6"/>
    <w:rsid w:val="00DB6566"/>
    <w:rsid w:val="00DC12E0"/>
    <w:rsid w:val="00DC6329"/>
    <w:rsid w:val="00DC7465"/>
    <w:rsid w:val="00DD51A0"/>
    <w:rsid w:val="00E05CDF"/>
    <w:rsid w:val="00E136AD"/>
    <w:rsid w:val="00E13B63"/>
    <w:rsid w:val="00E2108E"/>
    <w:rsid w:val="00E21F8A"/>
    <w:rsid w:val="00E41400"/>
    <w:rsid w:val="00E45DAA"/>
    <w:rsid w:val="00E47A7D"/>
    <w:rsid w:val="00E97275"/>
    <w:rsid w:val="00EA7514"/>
    <w:rsid w:val="00ED5C99"/>
    <w:rsid w:val="00ED6F1B"/>
    <w:rsid w:val="00EE7D51"/>
    <w:rsid w:val="00EF2201"/>
    <w:rsid w:val="00EF5937"/>
    <w:rsid w:val="00F06ED7"/>
    <w:rsid w:val="00F1035D"/>
    <w:rsid w:val="00F25DC3"/>
    <w:rsid w:val="00F3211C"/>
    <w:rsid w:val="00F60F6A"/>
    <w:rsid w:val="00F6540A"/>
    <w:rsid w:val="00F849BA"/>
    <w:rsid w:val="00F90598"/>
    <w:rsid w:val="00F930CD"/>
    <w:rsid w:val="00FA05AB"/>
    <w:rsid w:val="00FA3EDB"/>
    <w:rsid w:val="00FA541A"/>
    <w:rsid w:val="00FB1573"/>
    <w:rsid w:val="00FC5E96"/>
    <w:rsid w:val="00FC6784"/>
    <w:rsid w:val="00FD6781"/>
    <w:rsid w:val="00FE197B"/>
    <w:rsid w:val="00FE71B8"/>
    <w:rsid w:val="00FF29AB"/>
    <w:rsid w:val="00FF40AB"/>
    <w:rsid w:val="00FF69E5"/>
    <w:rsid w:val="098479B9"/>
    <w:rsid w:val="1AF87587"/>
    <w:rsid w:val="1B7D66AC"/>
    <w:rsid w:val="1D3E5A1C"/>
    <w:rsid w:val="21254871"/>
    <w:rsid w:val="33371AED"/>
    <w:rsid w:val="3CFB084F"/>
    <w:rsid w:val="3E1A26D5"/>
    <w:rsid w:val="3E576B41"/>
    <w:rsid w:val="423449DB"/>
    <w:rsid w:val="4BC45C96"/>
    <w:rsid w:val="55141421"/>
    <w:rsid w:val="61B15056"/>
    <w:rsid w:val="61CD7EDC"/>
    <w:rsid w:val="64040604"/>
    <w:rsid w:val="6A803EEB"/>
    <w:rsid w:val="6B4E1923"/>
    <w:rsid w:val="6E7F63F0"/>
    <w:rsid w:val="761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华文楷体" w:hAnsi="华文楷体" w:eastAsia="华文楷体" w:cs="Times New Roman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</w:rPr>
  </w:style>
  <w:style w:type="paragraph" w:styleId="5">
    <w:name w:val="List 2"/>
    <w:basedOn w:val="1"/>
    <w:next w:val="6"/>
    <w:unhideWhenUsed/>
    <w:qFormat/>
    <w:uiPriority w:val="99"/>
    <w:pPr>
      <w:ind w:left="100" w:leftChars="200" w:hanging="200" w:hangingChars="200"/>
    </w:pPr>
  </w:style>
  <w:style w:type="paragraph" w:styleId="6">
    <w:name w:val="Plain Text"/>
    <w:basedOn w:val="1"/>
    <w:next w:val="4"/>
    <w:qFormat/>
    <w:uiPriority w:val="99"/>
    <w:rPr>
      <w:rFonts w:ascii="宋体" w:hAnsi="Courier New"/>
      <w:kern w:val="0"/>
      <w:sz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qFormat/>
    <w:uiPriority w:val="99"/>
    <w:rPr>
      <w:rFonts w:ascii="华文楷体" w:hAnsi="华文楷体" w:eastAsia="华文楷体" w:cs="Times New Roman"/>
      <w:b/>
      <w:sz w:val="32"/>
      <w:szCs w:val="32"/>
    </w:rPr>
  </w:style>
  <w:style w:type="character" w:customStyle="1" w:styleId="19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418</Words>
  <Characters>445</Characters>
  <Lines>7</Lines>
  <Paragraphs>2</Paragraphs>
  <TotalTime>3</TotalTime>
  <ScaleCrop>false</ScaleCrop>
  <LinksUpToDate>false</LinksUpToDate>
  <CharactersWithSpaces>465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cp:lastPrinted>2025-10-16T05:53:00Z</cp:lastPrinted>
  <dcterms:modified xsi:type="dcterms:W3CDTF">2026-06-23T01:53:32Z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0EE35E69A3F8455B93892A31CBA2D6B2</vt:lpwstr>
  </property>
  <property fmtid="{D5CDD505-2E9C-101B-9397-08002B2CF9AE}" pid="4" name="KSOTemplateDocerSaveRecord">
    <vt:lpwstr>eyJoZGlkIjoiMWI0MGFmZGQ5NTY3NTZiNzZjZmY1MzU5NGViMjJmNGUiLCJ1c2VySWQiOiIxNzkzOTU4OTA0In0=</vt:lpwstr>
  </property>
</Properties>
</file>