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1" w:rightFromText="454" w:vertAnchor="text" w:horzAnchor="page" w:tblpXSpec="center" w:tblpY="137"/>
        <w:tblOverlap w:val="never"/>
        <w:tblW w:w="77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454" w:type="dxa"/>
        </w:tblCellMar>
      </w:tblPr>
      <w:tblGrid>
        <w:gridCol w:w="1061"/>
        <w:gridCol w:w="1774"/>
        <w:gridCol w:w="4959"/>
      </w:tblGrid>
      <w:tr w14:paraId="4EEFF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418" w:hRule="atLeast"/>
          <w:jc w:val="center"/>
        </w:trPr>
        <w:tc>
          <w:tcPr>
            <w:tcW w:w="7794" w:type="dxa"/>
            <w:gridSpan w:val="3"/>
          </w:tcPr>
          <w:p w14:paraId="229C9CD2">
            <w:pPr>
              <w:ind w:right="-932" w:rightChars="-444"/>
              <w:jc w:val="center"/>
              <w:rPr>
                <w:rFonts w:hint="default" w:asciiTheme="majorEastAsia" w:hAnsiTheme="maj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eastAsia="zh-CN"/>
              </w:rPr>
              <w:t>设备基本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</w:rPr>
              <w:t>需求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val="en-US" w:eastAsia="zh-CN"/>
              </w:rPr>
              <w:t>-调研</w:t>
            </w:r>
          </w:p>
        </w:tc>
      </w:tr>
      <w:tr w14:paraId="05D14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562" w:hRule="exact"/>
          <w:jc w:val="center"/>
        </w:trPr>
        <w:tc>
          <w:tcPr>
            <w:tcW w:w="2835" w:type="dxa"/>
            <w:gridSpan w:val="2"/>
          </w:tcPr>
          <w:p w14:paraId="4F62FED3">
            <w:pPr>
              <w:ind w:right="-340" w:rightChars="-162"/>
              <w:rPr>
                <w:rFonts w:asciiTheme="majorEastAsia" w:hAnsiTheme="majorEastAsia" w:eastAsiaTheme="majorEastAsia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28"/>
              </w:rPr>
              <w:t>项目名称</w:t>
            </w:r>
          </w:p>
        </w:tc>
        <w:tc>
          <w:tcPr>
            <w:tcW w:w="4959" w:type="dxa"/>
            <w:vAlign w:val="center"/>
          </w:tcPr>
          <w:p w14:paraId="4A40255F">
            <w:pPr>
              <w:snapToGrid w:val="0"/>
              <w:spacing w:line="360" w:lineRule="auto"/>
              <w:jc w:val="both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全自动玻片处理系统</w:t>
            </w:r>
          </w:p>
        </w:tc>
      </w:tr>
      <w:tr w14:paraId="1C190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28DD5B61">
            <w:pPr>
              <w:ind w:right="-340" w:rightChars="-162" w:firstLine="241" w:firstLineChars="100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一</w:t>
            </w:r>
          </w:p>
        </w:tc>
        <w:tc>
          <w:tcPr>
            <w:tcW w:w="6733" w:type="dxa"/>
            <w:gridSpan w:val="2"/>
          </w:tcPr>
          <w:p w14:paraId="05283ACF">
            <w:pPr>
              <w:ind w:right="-340" w:rightChars="-162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基本要求</w:t>
            </w:r>
          </w:p>
        </w:tc>
      </w:tr>
      <w:tr w14:paraId="0451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1B2A6C69">
            <w:pPr>
              <w:ind w:right="-340" w:rightChars="-162" w:firstLine="240" w:firstLineChars="100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1.1</w:t>
            </w:r>
          </w:p>
        </w:tc>
        <w:tc>
          <w:tcPr>
            <w:tcW w:w="6733" w:type="dxa"/>
            <w:gridSpan w:val="2"/>
          </w:tcPr>
          <w:p w14:paraId="332E59C1">
            <w:pPr>
              <w:ind w:right="-340" w:rightChars="-162"/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用途：</w:t>
            </w:r>
            <w:r>
              <w:rPr>
                <w:rFonts w:hint="eastAsia"/>
                <w:sz w:val="24"/>
                <w:szCs w:val="24"/>
              </w:rPr>
              <w:t>用于病理分析前样本染色、抗原修复、脱蜡、荧光原位杂交（FISH）检测预处理、杂交后清洗。</w:t>
            </w:r>
          </w:p>
        </w:tc>
      </w:tr>
      <w:tr w14:paraId="47B9C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9" w:hRule="atLeast"/>
          <w:jc w:val="center"/>
        </w:trPr>
        <w:tc>
          <w:tcPr>
            <w:tcW w:w="1061" w:type="dxa"/>
          </w:tcPr>
          <w:p w14:paraId="53849CC7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二</w:t>
            </w:r>
          </w:p>
        </w:tc>
        <w:tc>
          <w:tcPr>
            <w:tcW w:w="6733" w:type="dxa"/>
            <w:gridSpan w:val="2"/>
          </w:tcPr>
          <w:p w14:paraId="3A3B8817">
            <w:pPr>
              <w:ind w:right="-340" w:rightChars="-162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主要功能及参数</w:t>
            </w:r>
          </w:p>
        </w:tc>
      </w:tr>
      <w:tr w14:paraId="40980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cantSplit/>
          <w:trHeight w:val="2050" w:hRule="atLeast"/>
          <w:jc w:val="center"/>
        </w:trPr>
        <w:tc>
          <w:tcPr>
            <w:tcW w:w="7794" w:type="dxa"/>
            <w:gridSpan w:val="3"/>
          </w:tcPr>
          <w:p w14:paraId="239DCB95"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基于荧光原位杂交技术，具有智能控制系统，自动加排液系统，精准加热控温系统。</w:t>
            </w:r>
          </w:p>
          <w:p w14:paraId="1903DC9C"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样本片放入样本槽后，可设定或用户自定义运行参数（包括时间、温度、步骤），自动完成样本的预处理（包括脱蜡、煮片、消化）及变性/杂交、杂交后的洗涤过程，实现荧光原位杂交实验流程的自动化和标准化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6766386"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具备高精度加热控温系统，在无液体及有液体状态下均能保持优异的温度稳定性与均一性，确保反应体系温度精准可控。</w:t>
            </w:r>
          </w:p>
          <w:p w14:paraId="4024C60A"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反应舱式设计，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个反应舱相互独立，单个舱可处理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张片，可实现多样本类型，不同时间和不同流程的区分运行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BA7BED7"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采用触屏监控，界面简洁，可实时分区监控反应舱当前实验运行步骤与温度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0D222D9"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具有液面监控功能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E603125"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具有运行日志功能，可对设备实验过程进行回溯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D64AA46"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default" w:asciiTheme="majorEastAsia" w:hAnsiTheme="majorEastAsia" w:eastAsiaTheme="majorEastAsia" w:cstheme="minorBidi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探针开放，兼容性广</w:t>
            </w:r>
            <w:r>
              <w:rPr>
                <w:rFonts w:hint="eastAsia" w:ascii="宋体" w:hAnsi="宋体" w:eastAsia="宋体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20998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49B1F62A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三</w:t>
            </w:r>
          </w:p>
        </w:tc>
        <w:tc>
          <w:tcPr>
            <w:tcW w:w="6733" w:type="dxa"/>
            <w:gridSpan w:val="2"/>
          </w:tcPr>
          <w:p w14:paraId="35671F3D">
            <w:pPr>
              <w:ind w:right="-340" w:rightChars="-162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主要配置及附件</w:t>
            </w:r>
          </w:p>
        </w:tc>
      </w:tr>
      <w:tr w14:paraId="07182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1451" w:hRule="atLeast"/>
          <w:jc w:val="center"/>
        </w:trPr>
        <w:tc>
          <w:tcPr>
            <w:tcW w:w="7794" w:type="dxa"/>
            <w:gridSpan w:val="3"/>
          </w:tcPr>
          <w:p w14:paraId="0FC225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right="-340" w:rightChars="-162"/>
              <w:textAlignment w:val="auto"/>
              <w:rPr>
                <w:rFonts w:hint="eastAsia" w:asciiTheme="majorEastAsia" w:hAnsiTheme="maj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sz w:val="24"/>
                <w:lang w:val="zh-TW" w:eastAsia="zh-TW"/>
              </w:rPr>
              <w:t>设备正常工作的其他必备功能及附件（列出详细配置清单</w:t>
            </w:r>
            <w:r>
              <w:rPr>
                <w:rFonts w:hint="eastAsia"/>
                <w:sz w:val="24"/>
                <w:lang w:val="zh-TW" w:eastAsia="zh-CN"/>
              </w:rPr>
              <w:t>）</w:t>
            </w:r>
          </w:p>
          <w:p w14:paraId="614067E6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/>
                <w:lang w:eastAsia="zh-CN"/>
              </w:rPr>
            </w:pPr>
            <w:bookmarkStart w:id="0" w:name="_GoBack"/>
            <w:bookmarkEnd w:id="0"/>
          </w:p>
        </w:tc>
      </w:tr>
    </w:tbl>
    <w:p w14:paraId="4040C9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5E87D4"/>
    <w:multiLevelType w:val="singleLevel"/>
    <w:tmpl w:val="545E87D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2B768B"/>
    <w:rsid w:val="0C153C3F"/>
    <w:rsid w:val="0C2B768B"/>
    <w:rsid w:val="7631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197</Characters>
  <Lines>0</Lines>
  <Paragraphs>0</Paragraphs>
  <TotalTime>0</TotalTime>
  <ScaleCrop>false</ScaleCrop>
  <LinksUpToDate>false</LinksUpToDate>
  <CharactersWithSpaces>197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2026-04-22T09:23:00Z</dcterms:created>
  <dc:creator>admin</dc:creator>
  <cp:lastModifiedBy>admin</cp:lastModifiedBy>
  <dcterms:modified xsi:type="dcterms:W3CDTF">2026-04-27T08:40:12Z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F0FA04E021B14F399B9FB9EB14DFD316_13</vt:lpwstr>
  </property>
  <property fmtid="{D5CDD505-2E9C-101B-9397-08002B2CF9AE}" pid="4" name="KSOTemplateDocerSaveRecord">
    <vt:lpwstr>eyJoZGlkIjoiNTlmZDc5ZDM2ZjE4MDA0ZTI4NGNlYTU1ZmIzMzY1ZGIiLCJ1c2VySWQiOiIxNjM2OTUxODE3In0=</vt:lpwstr>
  </property>
</Properties>
</file>