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3BDA">
      <w:pPr>
        <w:jc w:val="left"/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>~ 五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567" w:type="dxa"/>
        </w:tblCellMar>
      </w:tblPr>
      <w:tblGrid>
        <w:gridCol w:w="1808"/>
        <w:gridCol w:w="7179"/>
      </w:tblGrid>
      <w:tr w14:paraId="440F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18" w:hRule="atLeast"/>
        </w:trPr>
        <w:tc>
          <w:tcPr>
            <w:tcW w:w="5000" w:type="pct"/>
            <w:gridSpan w:val="2"/>
          </w:tcPr>
          <w:p w14:paraId="4AEF20A7">
            <w:pPr>
              <w:ind w:right="-932" w:rightChars="-444"/>
              <w:jc w:val="center"/>
              <w:rPr>
                <w:rFonts w:ascii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设备基本需求表</w:t>
            </w:r>
          </w:p>
        </w:tc>
      </w:tr>
      <w:tr w14:paraId="64D8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62" w:hRule="exact"/>
        </w:trPr>
        <w:tc>
          <w:tcPr>
            <w:tcW w:w="1006" w:type="pct"/>
          </w:tcPr>
          <w:p w14:paraId="1DA7E66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14:paraId="2C1CED11">
            <w:pPr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  <w:lang w:val="en-US" w:eastAsia="zh-CN"/>
              </w:rPr>
              <w:t>新生儿心脑功能评估系统</w:t>
            </w:r>
          </w:p>
        </w:tc>
      </w:tr>
      <w:tr w14:paraId="2B18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DE96D5E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14:paraId="0AE68A1F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基本要求</w:t>
            </w:r>
          </w:p>
        </w:tc>
      </w:tr>
      <w:tr w14:paraId="5F42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94BB07C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14:paraId="2ADA34C1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用途：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包含脑功能监护模块和无创血流动力学监护模块，前者用于动态监测新生儿脑电活动，评估脑功能状态、筛查脑损伤及预测神经发育预后；后者用于系统化、动态化实时监测患儿血流动力学情况。</w:t>
            </w:r>
          </w:p>
        </w:tc>
      </w:tr>
      <w:tr w14:paraId="4CA3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2FB927E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14:paraId="654501DB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数量：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6F59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4DDAC857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14:paraId="7E0CDD04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主要功能及参数</w:t>
            </w:r>
          </w:p>
        </w:tc>
      </w:tr>
      <w:tr w14:paraId="033B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57" w:hRule="atLeast"/>
        </w:trPr>
        <w:tc>
          <w:tcPr>
            <w:tcW w:w="5000" w:type="pct"/>
            <w:gridSpan w:val="2"/>
          </w:tcPr>
          <w:p w14:paraId="03B09F70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模块一：脑功能监护仪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适用于各种高胆红素血症、低血糖、HIE、早产儿脑病、休克、惊厥、癫痫持续状态、不明原因引起的惊厥昏迷患儿。通过完善的患儿神经电生理监护，做出脑发育评估，减少因神经系统损伤导致的远期不良预后的发生，改善神经损伤高危儿的预后及结局，进一步提高存活患儿的生活质量。</w:t>
            </w:r>
          </w:p>
          <w:p w14:paraId="5708B7DA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2、医疗专用主机系统， 监护病房专用，低噪音，符合医规抗干扰，易清洁，可直接酒精擦拭，避免院内感染。</w:t>
            </w:r>
          </w:p>
          <w:p w14:paraId="52773ACE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3、放大器系统:不少于32通道高性能放大器；</w:t>
            </w:r>
          </w:p>
          <w:p w14:paraId="14A663DC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4、输入阻抗＞100M；</w:t>
            </w:r>
          </w:p>
          <w:p w14:paraId="2CE658D4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5、共模抑制比＞120dB；</w:t>
            </w:r>
          </w:p>
          <w:p w14:paraId="19F74941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6、噪声1.5μvkp-pk，有效噪声RMS＜0.5μV（抗干扰性强，可适于监护室应用）；</w:t>
            </w:r>
          </w:p>
          <w:p w14:paraId="3F7E9406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7、至少包含9对双极生物信号通道，脑电、心电、肌电、眼动等电信号网线传输数据；</w:t>
            </w:r>
          </w:p>
          <w:p w14:paraId="2DCAFE8D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8、自动连续阻抗监测；</w:t>
            </w:r>
          </w:p>
          <w:p w14:paraId="625B3B55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9、专用仪器车：一体化高度防菌无缝隙，易清洁，轮子推动采用静音设计；</w:t>
            </w:r>
          </w:p>
          <w:p w14:paraId="02A63CCB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BD56CC0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模块二：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无创血流动力学监护</w:t>
            </w:r>
          </w:p>
          <w:p w14:paraId="161E12E2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一、用途：能够系统化、动态化地实时监测患儿的血流动力学情况，为医生提供准确的诊断依据。</w:t>
            </w:r>
          </w:p>
          <w:p w14:paraId="44B9D8EB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二、监测内容主要包括：</w:t>
            </w:r>
          </w:p>
          <w:p w14:paraId="55D43015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容量状态及容量反应性、心功能及血管状态、全身及局部氧代谢。这些指标能够全面反映患儿的生理状态，帮助医生及时发现并处理可能出现的问题。</w:t>
            </w:r>
          </w:p>
          <w:p w14:paraId="6497866C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每搏输出量/每搏输出指数（SV/SI）、心输出量/心指数（CO/CI）是该设备用于监测心排量的重要指标。通过这些指标，医生可以准确了解患儿的心脏功能状态，为治疗提供科学依据。</w:t>
            </w:r>
          </w:p>
          <w:p w14:paraId="42E5851A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外周血管阻力/外周血管阻力指数（SVR/SVRI）是该设备用于监测血管阻力的重要指标。通过这些指标，医生可以准确了解患儿的血管状态，为治疗提供科学依据。</w:t>
            </w:r>
          </w:p>
          <w:p w14:paraId="3134B40E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收缩时间比例（STR）、心肌收缩（ICON）、LVET、PEP是该设备用于监测心肌收缩力的重要指标。通过这些指标，医生可以准确了解患儿的心肌收缩力，为治疗提供科学依据。</w:t>
            </w:r>
          </w:p>
          <w:p w14:paraId="6A00C5C2">
            <w:pPr>
              <w:pStyle w:val="13"/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胸腔液体水平（TFC）、每搏输出变异（SVV）、射血时间修正（FTC）是该设备用于监测容量情况的重要指标。通过这些指标，医生可以准确了解患儿的容量状态，为治疗提供科学依据。</w:t>
            </w:r>
          </w:p>
          <w:p w14:paraId="6182ED1F">
            <w:pPr>
              <w:pStyle w:val="13"/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sz w:val="24"/>
                <w:szCs w:val="24"/>
              </w:rPr>
            </w:pPr>
          </w:p>
          <w:p w14:paraId="3222349E"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其他要求：</w:t>
            </w:r>
          </w:p>
          <w:p w14:paraId="3C3554AF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若可以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尽量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提供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样机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以及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配套耗材到现场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，无法提供样机的也请提供实物操作视频现场展示。</w:t>
            </w:r>
          </w:p>
          <w:p w14:paraId="39B23309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须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能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提供注册证附页证明材料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技术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白皮书如实</w:t>
            </w:r>
            <w:r>
              <w:rPr>
                <w:rFonts w:ascii="宋体" w:hAnsi="宋体" w:eastAsia="宋体"/>
                <w:sz w:val="24"/>
                <w:szCs w:val="24"/>
                <w:highlight w:val="yellow"/>
              </w:rPr>
              <w:t>证明上述需求中的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功能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参数</w:t>
            </w:r>
          </w:p>
        </w:tc>
      </w:tr>
      <w:tr w14:paraId="01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407E152A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14:paraId="3C58AE7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主要配置及附件</w:t>
            </w:r>
          </w:p>
        </w:tc>
      </w:tr>
      <w:tr w14:paraId="74AE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95" w:hRule="atLeast"/>
        </w:trPr>
        <w:tc>
          <w:tcPr>
            <w:tcW w:w="5000" w:type="pct"/>
            <w:gridSpan w:val="2"/>
          </w:tcPr>
          <w:p w14:paraId="2165ADF2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脑功能监护仪主机及附件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</w:p>
          <w:p w14:paraId="4E553D6A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无创血流动力学监护仪主机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</w:p>
          <w:p w14:paraId="339318E9"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设备正常工作的其他必备功能及附件</w:t>
            </w:r>
          </w:p>
        </w:tc>
      </w:tr>
      <w:tr w14:paraId="2CB3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45E15819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14:paraId="78E51023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售后服务要求</w:t>
            </w:r>
          </w:p>
        </w:tc>
      </w:tr>
      <w:tr w14:paraId="38DD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404C23D2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78DDA1EB">
            <w:pPr>
              <w:ind w:right="105" w:right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原厂质保期（含配件）≥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</w:p>
        </w:tc>
      </w:tr>
      <w:tr w14:paraId="285F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61CEB080">
            <w:pPr>
              <w:ind w:firstLine="240" w:firstLineChars="1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1C983A4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超出质保期后每年保修价格</w:t>
            </w:r>
          </w:p>
        </w:tc>
      </w:tr>
      <w:tr w14:paraId="73A9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F53F01E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32C7BC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名称、价格清单 </w:t>
            </w:r>
          </w:p>
        </w:tc>
      </w:tr>
      <w:tr w14:paraId="3C30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5ECA7354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78C350D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提供建议使用年限时长（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说明书/铭牌 截图佐证）；</w:t>
            </w:r>
          </w:p>
        </w:tc>
      </w:tr>
      <w:tr w14:paraId="2FE0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39493FB6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4062BA4B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货时间</w:t>
            </w:r>
          </w:p>
        </w:tc>
      </w:tr>
      <w:tr w14:paraId="05C0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BC3D3E6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14:paraId="2A19D050">
            <w:pPr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配套耗材情况，（若有）提供价格及平台代码</w:t>
            </w:r>
          </w:p>
        </w:tc>
      </w:tr>
      <w:tr w14:paraId="0C4E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0FF9E59D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 xml:space="preserve">5.1 </w:t>
            </w:r>
          </w:p>
        </w:tc>
        <w:tc>
          <w:tcPr>
            <w:tcW w:w="3994" w:type="pct"/>
            <w:shd w:val="clear" w:color="auto" w:fill="auto"/>
          </w:tcPr>
          <w:p w14:paraId="2E4CD3C8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</w:tbl>
    <w:p w14:paraId="5CDA8801">
      <w:pPr>
        <w:rPr>
          <w:b/>
          <w:sz w:val="24"/>
          <w:szCs w:val="24"/>
        </w:rPr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C6677"/>
    <w:multiLevelType w:val="multilevel"/>
    <w:tmpl w:val="6D3C667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GMyZDJmZmNiZTdlYWFjMTlmN2VjMDY0NjhiNWUifQ=="/>
    <w:docVar w:name="KSO_WPS_MARK_KEY" w:val="226f7087-9043-4427-b38f-c8c0716c6ee6"/>
  </w:docVars>
  <w:rsids>
    <w:rsidRoot w:val="00C53372"/>
    <w:rsid w:val="00004373"/>
    <w:rsid w:val="000113DC"/>
    <w:rsid w:val="00035BA2"/>
    <w:rsid w:val="0004248C"/>
    <w:rsid w:val="00055DA4"/>
    <w:rsid w:val="00056A90"/>
    <w:rsid w:val="00064E0F"/>
    <w:rsid w:val="00074965"/>
    <w:rsid w:val="00090F26"/>
    <w:rsid w:val="000A0841"/>
    <w:rsid w:val="000A091F"/>
    <w:rsid w:val="000A534F"/>
    <w:rsid w:val="000B353C"/>
    <w:rsid w:val="000B4D57"/>
    <w:rsid w:val="000B604C"/>
    <w:rsid w:val="000C1749"/>
    <w:rsid w:val="000D0535"/>
    <w:rsid w:val="000D055C"/>
    <w:rsid w:val="000E24E8"/>
    <w:rsid w:val="000E4AE3"/>
    <w:rsid w:val="000F1108"/>
    <w:rsid w:val="000F398B"/>
    <w:rsid w:val="000F4BB0"/>
    <w:rsid w:val="0012381B"/>
    <w:rsid w:val="001264EC"/>
    <w:rsid w:val="00127359"/>
    <w:rsid w:val="0012783F"/>
    <w:rsid w:val="00157150"/>
    <w:rsid w:val="0017556F"/>
    <w:rsid w:val="00187B18"/>
    <w:rsid w:val="001A4B78"/>
    <w:rsid w:val="001B2307"/>
    <w:rsid w:val="001F1CFC"/>
    <w:rsid w:val="001F25CE"/>
    <w:rsid w:val="00202724"/>
    <w:rsid w:val="00222CBF"/>
    <w:rsid w:val="00224E43"/>
    <w:rsid w:val="00230AEE"/>
    <w:rsid w:val="00230DE3"/>
    <w:rsid w:val="00262112"/>
    <w:rsid w:val="00263A80"/>
    <w:rsid w:val="0026731F"/>
    <w:rsid w:val="00277BA5"/>
    <w:rsid w:val="00284F58"/>
    <w:rsid w:val="002905F9"/>
    <w:rsid w:val="002B11AF"/>
    <w:rsid w:val="002B1BC3"/>
    <w:rsid w:val="002B31BF"/>
    <w:rsid w:val="002C2570"/>
    <w:rsid w:val="002D3C4D"/>
    <w:rsid w:val="002E16D7"/>
    <w:rsid w:val="002E2EC0"/>
    <w:rsid w:val="002E6F9C"/>
    <w:rsid w:val="002F7758"/>
    <w:rsid w:val="00311E63"/>
    <w:rsid w:val="00340285"/>
    <w:rsid w:val="00353D28"/>
    <w:rsid w:val="003562CC"/>
    <w:rsid w:val="00357554"/>
    <w:rsid w:val="0036635B"/>
    <w:rsid w:val="00377073"/>
    <w:rsid w:val="00377130"/>
    <w:rsid w:val="003A7865"/>
    <w:rsid w:val="003D3C44"/>
    <w:rsid w:val="003E09F2"/>
    <w:rsid w:val="003F543E"/>
    <w:rsid w:val="00407AE0"/>
    <w:rsid w:val="00416804"/>
    <w:rsid w:val="0042193C"/>
    <w:rsid w:val="004410F8"/>
    <w:rsid w:val="00464F75"/>
    <w:rsid w:val="0047746D"/>
    <w:rsid w:val="00484524"/>
    <w:rsid w:val="004934F2"/>
    <w:rsid w:val="004A2801"/>
    <w:rsid w:val="004B1A22"/>
    <w:rsid w:val="004C3CD8"/>
    <w:rsid w:val="004D1250"/>
    <w:rsid w:val="004D52C8"/>
    <w:rsid w:val="004F480D"/>
    <w:rsid w:val="00513D8E"/>
    <w:rsid w:val="00524A86"/>
    <w:rsid w:val="00535C73"/>
    <w:rsid w:val="00536C45"/>
    <w:rsid w:val="0054122B"/>
    <w:rsid w:val="005430DE"/>
    <w:rsid w:val="00543FB4"/>
    <w:rsid w:val="005670F5"/>
    <w:rsid w:val="00571E7F"/>
    <w:rsid w:val="00593C6D"/>
    <w:rsid w:val="00595504"/>
    <w:rsid w:val="00595E50"/>
    <w:rsid w:val="005B4B6A"/>
    <w:rsid w:val="005C4329"/>
    <w:rsid w:val="005C78C2"/>
    <w:rsid w:val="005E73A1"/>
    <w:rsid w:val="005F050C"/>
    <w:rsid w:val="00601DD5"/>
    <w:rsid w:val="006023F9"/>
    <w:rsid w:val="00614A5C"/>
    <w:rsid w:val="006668F1"/>
    <w:rsid w:val="00685B75"/>
    <w:rsid w:val="0068671B"/>
    <w:rsid w:val="006A50A7"/>
    <w:rsid w:val="006C59DC"/>
    <w:rsid w:val="006E05B9"/>
    <w:rsid w:val="006E5782"/>
    <w:rsid w:val="007069C6"/>
    <w:rsid w:val="007109B6"/>
    <w:rsid w:val="00726EE5"/>
    <w:rsid w:val="00737006"/>
    <w:rsid w:val="00747D48"/>
    <w:rsid w:val="007504D4"/>
    <w:rsid w:val="00751829"/>
    <w:rsid w:val="007735E4"/>
    <w:rsid w:val="007B18FD"/>
    <w:rsid w:val="007C1144"/>
    <w:rsid w:val="007C39A4"/>
    <w:rsid w:val="007E6838"/>
    <w:rsid w:val="007E6EAC"/>
    <w:rsid w:val="007F174F"/>
    <w:rsid w:val="008149AF"/>
    <w:rsid w:val="00837866"/>
    <w:rsid w:val="00837FB7"/>
    <w:rsid w:val="0084270A"/>
    <w:rsid w:val="0084320B"/>
    <w:rsid w:val="00843A0D"/>
    <w:rsid w:val="00862B3E"/>
    <w:rsid w:val="008824BE"/>
    <w:rsid w:val="00894D59"/>
    <w:rsid w:val="008973F5"/>
    <w:rsid w:val="008C7C81"/>
    <w:rsid w:val="008C7EAC"/>
    <w:rsid w:val="008C7F7D"/>
    <w:rsid w:val="008F3A3D"/>
    <w:rsid w:val="00920C69"/>
    <w:rsid w:val="00925B0D"/>
    <w:rsid w:val="0093112A"/>
    <w:rsid w:val="00936D96"/>
    <w:rsid w:val="00953C3E"/>
    <w:rsid w:val="009A13DC"/>
    <w:rsid w:val="009B38D5"/>
    <w:rsid w:val="009B59C4"/>
    <w:rsid w:val="009C1DE4"/>
    <w:rsid w:val="009C2815"/>
    <w:rsid w:val="009C77BE"/>
    <w:rsid w:val="009D36AD"/>
    <w:rsid w:val="009E1D71"/>
    <w:rsid w:val="009E5DE7"/>
    <w:rsid w:val="009F0456"/>
    <w:rsid w:val="009F0616"/>
    <w:rsid w:val="00A06B02"/>
    <w:rsid w:val="00A1315D"/>
    <w:rsid w:val="00A1587C"/>
    <w:rsid w:val="00A303E0"/>
    <w:rsid w:val="00A32CEA"/>
    <w:rsid w:val="00A5273B"/>
    <w:rsid w:val="00A66A9E"/>
    <w:rsid w:val="00A75DB9"/>
    <w:rsid w:val="00A76DDB"/>
    <w:rsid w:val="00A85E32"/>
    <w:rsid w:val="00A9121D"/>
    <w:rsid w:val="00AA412E"/>
    <w:rsid w:val="00AD1A3A"/>
    <w:rsid w:val="00AD2D58"/>
    <w:rsid w:val="00AD7A90"/>
    <w:rsid w:val="00AE3EC1"/>
    <w:rsid w:val="00AE6116"/>
    <w:rsid w:val="00AE747E"/>
    <w:rsid w:val="00B17C1C"/>
    <w:rsid w:val="00B25BCE"/>
    <w:rsid w:val="00B275BE"/>
    <w:rsid w:val="00B4343F"/>
    <w:rsid w:val="00B43CB1"/>
    <w:rsid w:val="00B547DE"/>
    <w:rsid w:val="00B64D72"/>
    <w:rsid w:val="00B77E22"/>
    <w:rsid w:val="00B831AD"/>
    <w:rsid w:val="00B955A7"/>
    <w:rsid w:val="00BA616C"/>
    <w:rsid w:val="00BB1275"/>
    <w:rsid w:val="00BC5989"/>
    <w:rsid w:val="00BD7E4F"/>
    <w:rsid w:val="00BE2F8F"/>
    <w:rsid w:val="00BF02F2"/>
    <w:rsid w:val="00BF09A5"/>
    <w:rsid w:val="00BF3343"/>
    <w:rsid w:val="00C13D3B"/>
    <w:rsid w:val="00C23AB5"/>
    <w:rsid w:val="00C3662C"/>
    <w:rsid w:val="00C46E90"/>
    <w:rsid w:val="00C53372"/>
    <w:rsid w:val="00C542B7"/>
    <w:rsid w:val="00C62156"/>
    <w:rsid w:val="00C64A56"/>
    <w:rsid w:val="00C7122E"/>
    <w:rsid w:val="00C751C8"/>
    <w:rsid w:val="00CC4BDB"/>
    <w:rsid w:val="00CD0435"/>
    <w:rsid w:val="00CE602A"/>
    <w:rsid w:val="00CF1B82"/>
    <w:rsid w:val="00D014EE"/>
    <w:rsid w:val="00D077E9"/>
    <w:rsid w:val="00D15303"/>
    <w:rsid w:val="00D1630E"/>
    <w:rsid w:val="00D2617F"/>
    <w:rsid w:val="00D67B51"/>
    <w:rsid w:val="00D77B9C"/>
    <w:rsid w:val="00D77D8F"/>
    <w:rsid w:val="00D81392"/>
    <w:rsid w:val="00D8185B"/>
    <w:rsid w:val="00D83A1D"/>
    <w:rsid w:val="00D85DD8"/>
    <w:rsid w:val="00D924EE"/>
    <w:rsid w:val="00D944F9"/>
    <w:rsid w:val="00DA350A"/>
    <w:rsid w:val="00DA6F05"/>
    <w:rsid w:val="00DB0EDD"/>
    <w:rsid w:val="00DB1B88"/>
    <w:rsid w:val="00DB54B6"/>
    <w:rsid w:val="00DB6566"/>
    <w:rsid w:val="00DC12E0"/>
    <w:rsid w:val="00DC6329"/>
    <w:rsid w:val="00DC7465"/>
    <w:rsid w:val="00DD51A0"/>
    <w:rsid w:val="00E05CDF"/>
    <w:rsid w:val="00E136AD"/>
    <w:rsid w:val="00E13B63"/>
    <w:rsid w:val="00E2108E"/>
    <w:rsid w:val="00E21F8A"/>
    <w:rsid w:val="00E41400"/>
    <w:rsid w:val="00E45DAA"/>
    <w:rsid w:val="00E47A7D"/>
    <w:rsid w:val="00E97275"/>
    <w:rsid w:val="00EA7514"/>
    <w:rsid w:val="00ED5C99"/>
    <w:rsid w:val="00ED6F1B"/>
    <w:rsid w:val="00EE7D51"/>
    <w:rsid w:val="00EF2201"/>
    <w:rsid w:val="00EF5937"/>
    <w:rsid w:val="00F06ED7"/>
    <w:rsid w:val="00F1035D"/>
    <w:rsid w:val="00F25DC3"/>
    <w:rsid w:val="00F3211C"/>
    <w:rsid w:val="00F60F6A"/>
    <w:rsid w:val="00F6540A"/>
    <w:rsid w:val="00F849BA"/>
    <w:rsid w:val="00F90598"/>
    <w:rsid w:val="00F930CD"/>
    <w:rsid w:val="00FA05AB"/>
    <w:rsid w:val="00FA3EDB"/>
    <w:rsid w:val="00FA541A"/>
    <w:rsid w:val="00FB1573"/>
    <w:rsid w:val="00FC5E96"/>
    <w:rsid w:val="00FC6784"/>
    <w:rsid w:val="00FD6781"/>
    <w:rsid w:val="00FE197B"/>
    <w:rsid w:val="00FE71B8"/>
    <w:rsid w:val="00FF29AB"/>
    <w:rsid w:val="00FF40AB"/>
    <w:rsid w:val="00FF69E5"/>
    <w:rsid w:val="1AF87587"/>
    <w:rsid w:val="1B7D66AC"/>
    <w:rsid w:val="1D3E5A1C"/>
    <w:rsid w:val="33371AED"/>
    <w:rsid w:val="3E1A26D5"/>
    <w:rsid w:val="4BC45C96"/>
    <w:rsid w:val="61CD7EDC"/>
    <w:rsid w:val="6A803EEB"/>
    <w:rsid w:val="6B4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华文楷体" w:hAnsi="华文楷体" w:eastAsia="华文楷体" w:cs="Times New Roman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</w:rPr>
  </w:style>
  <w:style w:type="paragraph" w:styleId="5">
    <w:name w:val="List 2"/>
    <w:basedOn w:val="1"/>
    <w:next w:val="6"/>
    <w:unhideWhenUsed/>
    <w:qFormat/>
    <w:uiPriority w:val="99"/>
    <w:pPr>
      <w:ind w:left="100" w:leftChars="200" w:hanging="200" w:hangingChars="200"/>
    </w:pPr>
  </w:style>
  <w:style w:type="paragraph" w:styleId="6">
    <w:name w:val="Plain Text"/>
    <w:basedOn w:val="1"/>
    <w:next w:val="4"/>
    <w:qFormat/>
    <w:uiPriority w:val="99"/>
    <w:rPr>
      <w:rFonts w:ascii="宋体" w:hAnsi="Courier New"/>
      <w:kern w:val="0"/>
      <w:sz w:val="20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9"/>
    <w:rPr>
      <w:rFonts w:ascii="华文楷体" w:hAnsi="华文楷体" w:eastAsia="华文楷体" w:cs="Times New Roman"/>
      <w:b/>
      <w:sz w:val="32"/>
      <w:szCs w:val="32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1153</Words>
  <Characters>1251</Characters>
  <Lines>7</Lines>
  <Paragraphs>2</Paragraphs>
  <TotalTime>2</TotalTime>
  <ScaleCrop>false</ScaleCrop>
  <LinksUpToDate>false</LinksUpToDate>
  <CharactersWithSpaces>1269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2024-04-17T12:57:00Z</dcterms:created>
  <dc:creator>Administrator</dc:creator>
  <cp:lastModifiedBy>Administrator</cp:lastModifiedBy>
  <cp:lastPrinted>2025-10-16T05:53:00Z</cp:lastPrinted>
  <dcterms:modified xsi:type="dcterms:W3CDTF">2026-06-02T02:01:23Z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0EE35E69A3F8455B93892A31CBA2D6B2</vt:lpwstr>
  </property>
  <property fmtid="{D5CDD505-2E9C-101B-9397-08002B2CF9AE}" pid="4" name="KSOTemplateDocerSaveRecord">
    <vt:lpwstr>eyJoZGlkIjoiMWI0MGFmZGQ5NTY3NTZiNzZjZmY1MzU5NGViMjJmNGUiLCJ1c2VySWQiOiIxNzkzOTU4OTA0In0=</vt:lpwstr>
  </property>
</Properties>
</file>