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405FF">
      <w:pPr>
        <w:pStyle w:val="54"/>
        <w:widowControl w:val="0"/>
        <w:snapToGrid w:val="0"/>
        <w:spacing w:line="360" w:lineRule="auto"/>
        <w:ind w:firstLine="418" w:firstLineChars="52"/>
        <w:jc w:val="center"/>
        <w:rPr>
          <w:rFonts w:ascii="宋体" w:hAnsi="宋体"/>
          <w:color w:val="auto"/>
          <w:sz w:val="80"/>
          <w:szCs w:val="80"/>
        </w:rPr>
      </w:pPr>
    </w:p>
    <w:p w14:paraId="19993E5F">
      <w:pPr>
        <w:pStyle w:val="54"/>
        <w:widowControl w:val="0"/>
        <w:snapToGrid w:val="0"/>
        <w:spacing w:line="360" w:lineRule="auto"/>
        <w:ind w:firstLine="418" w:firstLineChars="52"/>
        <w:jc w:val="center"/>
        <w:rPr>
          <w:rFonts w:ascii="宋体" w:hAnsi="宋体"/>
          <w:color w:val="auto"/>
          <w:sz w:val="80"/>
          <w:szCs w:val="80"/>
        </w:rPr>
      </w:pPr>
    </w:p>
    <w:p w14:paraId="28E57A2D">
      <w:pPr>
        <w:pStyle w:val="54"/>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73D62895">
      <w:pPr>
        <w:pStyle w:val="54"/>
        <w:widowControl w:val="0"/>
        <w:snapToGrid w:val="0"/>
        <w:spacing w:line="360" w:lineRule="auto"/>
        <w:ind w:firstLine="0"/>
        <w:jc w:val="center"/>
        <w:rPr>
          <w:bCs/>
          <w:color w:val="auto"/>
          <w:kern w:val="2"/>
          <w:sz w:val="32"/>
          <w:szCs w:val="32"/>
        </w:rPr>
      </w:pPr>
    </w:p>
    <w:p w14:paraId="4822E8B8">
      <w:pPr>
        <w:pStyle w:val="54"/>
        <w:widowControl w:val="0"/>
        <w:snapToGrid w:val="0"/>
        <w:spacing w:line="360" w:lineRule="auto"/>
        <w:ind w:firstLine="0"/>
        <w:jc w:val="center"/>
        <w:rPr>
          <w:bCs/>
          <w:color w:val="auto"/>
          <w:kern w:val="2"/>
          <w:sz w:val="32"/>
          <w:szCs w:val="32"/>
        </w:rPr>
      </w:pPr>
    </w:p>
    <w:p w14:paraId="60CEAD87">
      <w:pPr>
        <w:pStyle w:val="54"/>
        <w:widowControl w:val="0"/>
        <w:snapToGrid w:val="0"/>
        <w:spacing w:line="360" w:lineRule="auto"/>
        <w:ind w:firstLine="0"/>
        <w:jc w:val="center"/>
        <w:rPr>
          <w:bCs/>
          <w:color w:val="auto"/>
          <w:kern w:val="2"/>
          <w:sz w:val="32"/>
          <w:szCs w:val="32"/>
        </w:rPr>
      </w:pPr>
    </w:p>
    <w:p w14:paraId="0376E400">
      <w:pPr>
        <w:pStyle w:val="54"/>
        <w:widowControl w:val="0"/>
        <w:snapToGrid w:val="0"/>
        <w:spacing w:line="360" w:lineRule="auto"/>
        <w:ind w:firstLine="0"/>
        <w:jc w:val="center"/>
        <w:rPr>
          <w:bCs/>
          <w:color w:val="auto"/>
          <w:kern w:val="2"/>
          <w:sz w:val="32"/>
          <w:szCs w:val="32"/>
        </w:rPr>
      </w:pPr>
    </w:p>
    <w:p w14:paraId="7B18D745">
      <w:pPr>
        <w:pStyle w:val="54"/>
        <w:widowControl w:val="0"/>
        <w:snapToGrid w:val="0"/>
        <w:spacing w:line="360" w:lineRule="auto"/>
        <w:ind w:firstLine="0"/>
        <w:jc w:val="center"/>
        <w:rPr>
          <w:rFonts w:hint="eastAsia" w:eastAsia="宋体"/>
          <w:bCs/>
          <w:color w:val="auto"/>
          <w:kern w:val="2"/>
          <w:sz w:val="32"/>
          <w:szCs w:val="32"/>
          <w:lang w:eastAsia="zh-CN"/>
        </w:rPr>
      </w:pPr>
      <w:r>
        <w:rPr>
          <w:rFonts w:hint="eastAsia"/>
          <w:bCs/>
          <w:color w:val="auto"/>
          <w:kern w:val="2"/>
          <w:sz w:val="32"/>
          <w:szCs w:val="32"/>
        </w:rPr>
        <w:t>项目名称：</w:t>
      </w:r>
      <w:r>
        <w:rPr>
          <w:rFonts w:hint="eastAsia"/>
          <w:bCs/>
          <w:color w:val="auto"/>
          <w:kern w:val="2"/>
          <w:sz w:val="32"/>
          <w:szCs w:val="32"/>
          <w:lang w:eastAsia="zh-CN"/>
        </w:rPr>
        <w:t>科研物资管理平台运维服务</w:t>
      </w:r>
    </w:p>
    <w:p w14:paraId="77C7A350">
      <w:pPr>
        <w:spacing w:line="360" w:lineRule="auto"/>
        <w:jc w:val="center"/>
        <w:rPr>
          <w:rFonts w:hint="default" w:ascii="宋体" w:hAnsi="宋体" w:eastAsia="宋体"/>
          <w:b/>
          <w:color w:val="auto"/>
          <w:sz w:val="32"/>
          <w:u w:val="single"/>
          <w:lang w:val="en-US" w:eastAsia="zh-CN"/>
        </w:rPr>
      </w:pPr>
      <w:r>
        <w:rPr>
          <w:b/>
          <w:bCs/>
          <w:color w:val="auto"/>
          <w:sz w:val="32"/>
          <w:szCs w:val="32"/>
        </w:rPr>
        <w:t>项目编号：</w:t>
      </w:r>
      <w:r>
        <w:rPr>
          <w:rFonts w:hint="eastAsia"/>
          <w:b/>
          <w:bCs/>
          <w:color w:val="auto"/>
          <w:sz w:val="32"/>
          <w:szCs w:val="32"/>
        </w:rPr>
        <w:t>CGZX-XXXM-20260724-01</w:t>
      </w:r>
    </w:p>
    <w:p w14:paraId="0BF5319E">
      <w:pPr>
        <w:pStyle w:val="54"/>
        <w:widowControl w:val="0"/>
        <w:snapToGrid w:val="0"/>
        <w:spacing w:line="360" w:lineRule="auto"/>
        <w:ind w:firstLine="0"/>
        <w:jc w:val="center"/>
        <w:rPr>
          <w:rFonts w:ascii="宋体" w:hAnsi="宋体"/>
          <w:color w:val="auto"/>
        </w:rPr>
      </w:pPr>
    </w:p>
    <w:p w14:paraId="61CDDF59">
      <w:pPr>
        <w:pStyle w:val="54"/>
        <w:spacing w:line="360" w:lineRule="auto"/>
        <w:ind w:firstLine="0"/>
        <w:jc w:val="center"/>
        <w:rPr>
          <w:rFonts w:ascii="宋体" w:hAnsi="宋体"/>
          <w:color w:val="auto"/>
          <w:sz w:val="32"/>
          <w:szCs w:val="32"/>
        </w:rPr>
      </w:pPr>
    </w:p>
    <w:p w14:paraId="462C0814">
      <w:pPr>
        <w:pStyle w:val="54"/>
        <w:spacing w:line="360" w:lineRule="auto"/>
        <w:ind w:firstLine="0"/>
        <w:jc w:val="center"/>
        <w:rPr>
          <w:rFonts w:ascii="宋体" w:hAnsi="宋体"/>
          <w:color w:val="auto"/>
          <w:sz w:val="32"/>
          <w:szCs w:val="32"/>
        </w:rPr>
      </w:pPr>
    </w:p>
    <w:p w14:paraId="3F387C41">
      <w:pPr>
        <w:pStyle w:val="54"/>
        <w:spacing w:line="360" w:lineRule="auto"/>
        <w:ind w:firstLine="0"/>
        <w:jc w:val="center"/>
        <w:rPr>
          <w:rFonts w:ascii="宋体" w:hAnsi="宋体"/>
          <w:color w:val="auto"/>
          <w:sz w:val="32"/>
          <w:szCs w:val="32"/>
        </w:rPr>
      </w:pPr>
    </w:p>
    <w:p w14:paraId="0088C1D9">
      <w:pPr>
        <w:pStyle w:val="54"/>
        <w:spacing w:line="360" w:lineRule="auto"/>
        <w:ind w:firstLine="0"/>
        <w:jc w:val="center"/>
        <w:rPr>
          <w:rFonts w:ascii="宋体" w:hAnsi="宋体"/>
          <w:color w:val="auto"/>
          <w:sz w:val="32"/>
          <w:szCs w:val="32"/>
        </w:rPr>
      </w:pPr>
    </w:p>
    <w:p w14:paraId="272A1544">
      <w:pPr>
        <w:pStyle w:val="54"/>
        <w:spacing w:line="360" w:lineRule="auto"/>
        <w:ind w:firstLine="0"/>
        <w:jc w:val="center"/>
        <w:rPr>
          <w:rFonts w:ascii="宋体" w:hAnsi="宋体"/>
          <w:color w:val="auto"/>
          <w:sz w:val="32"/>
          <w:szCs w:val="32"/>
        </w:rPr>
      </w:pPr>
    </w:p>
    <w:p w14:paraId="7E9D4433">
      <w:pPr>
        <w:pStyle w:val="54"/>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7FC64468">
      <w:pPr>
        <w:pStyle w:val="54"/>
        <w:spacing w:line="360" w:lineRule="auto"/>
        <w:ind w:firstLine="0"/>
        <w:jc w:val="center"/>
        <w:rPr>
          <w:rFonts w:ascii="宋体" w:hAnsi="宋体"/>
          <w:color w:val="auto"/>
          <w:sz w:val="32"/>
          <w:szCs w:val="32"/>
        </w:rPr>
      </w:pPr>
      <w:r>
        <w:rPr>
          <w:rFonts w:hint="eastAsia" w:ascii="宋体" w:hAnsi="宋体"/>
          <w:color w:val="auto"/>
          <w:sz w:val="32"/>
          <w:szCs w:val="32"/>
        </w:rPr>
        <w:t>二〇二</w:t>
      </w:r>
      <w:r>
        <w:rPr>
          <w:rFonts w:hint="eastAsia" w:ascii="宋体" w:hAnsi="宋体"/>
          <w:color w:val="auto"/>
          <w:sz w:val="32"/>
          <w:szCs w:val="32"/>
          <w:lang w:val="en-US" w:eastAsia="zh-CN"/>
        </w:rPr>
        <w:t>六</w:t>
      </w:r>
      <w:r>
        <w:rPr>
          <w:rFonts w:ascii="宋体" w:hAnsi="宋体"/>
          <w:color w:val="auto"/>
          <w:sz w:val="32"/>
          <w:szCs w:val="32"/>
        </w:rPr>
        <w:t>年</w:t>
      </w:r>
      <w:r>
        <w:rPr>
          <w:rFonts w:hint="eastAsia" w:ascii="宋体" w:hAnsi="宋体"/>
          <w:color w:val="auto"/>
          <w:sz w:val="32"/>
          <w:szCs w:val="32"/>
          <w:lang w:val="en-US" w:eastAsia="zh-CN"/>
        </w:rPr>
        <w:t>七</w:t>
      </w:r>
      <w:r>
        <w:rPr>
          <w:rFonts w:ascii="宋体" w:hAnsi="宋体"/>
          <w:color w:val="auto"/>
          <w:sz w:val="32"/>
          <w:szCs w:val="32"/>
        </w:rPr>
        <w:t>月</w:t>
      </w:r>
    </w:p>
    <w:p w14:paraId="0330AC62">
      <w:pPr>
        <w:jc w:val="center"/>
        <w:rPr>
          <w:b/>
          <w:bCs/>
          <w:color w:val="auto"/>
          <w:sz w:val="32"/>
        </w:rPr>
      </w:pPr>
    </w:p>
    <w:p w14:paraId="61665D89">
      <w:pPr>
        <w:widowControl/>
        <w:jc w:val="center"/>
        <w:rPr>
          <w:b/>
          <w:bCs/>
          <w:color w:val="auto"/>
          <w:sz w:val="48"/>
          <w:szCs w:val="48"/>
        </w:rPr>
      </w:pPr>
      <w:r>
        <w:rPr>
          <w:rFonts w:hint="eastAsia"/>
          <w:b/>
          <w:bCs/>
          <w:color w:val="auto"/>
          <w:sz w:val="48"/>
          <w:szCs w:val="48"/>
        </w:rPr>
        <w:t>目  录</w:t>
      </w:r>
    </w:p>
    <w:p w14:paraId="08DBA348">
      <w:pPr>
        <w:jc w:val="center"/>
        <w:rPr>
          <w:b/>
          <w:bCs/>
          <w:color w:val="auto"/>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221F0AB2">
          <w:pPr>
            <w:pStyle w:val="55"/>
            <w:rPr>
              <w:color w:val="auto"/>
              <w:sz w:val="28"/>
              <w:szCs w:val="28"/>
            </w:rPr>
          </w:pPr>
        </w:p>
        <w:p w14:paraId="00CE5C87">
          <w:pPr>
            <w:pStyle w:val="15"/>
            <w:tabs>
              <w:tab w:val="right" w:leader="dot" w:pos="8306"/>
            </w:tabs>
            <w:rPr>
              <w:color w:val="auto"/>
              <w:sz w:val="28"/>
              <w:szCs w:val="28"/>
            </w:rPr>
          </w:pPr>
          <w:r>
            <w:rPr>
              <w:rFonts w:asciiTheme="minorEastAsia" w:hAnsiTheme="minorEastAsia" w:eastAsiaTheme="minorEastAsia"/>
              <w:b/>
              <w:color w:val="auto"/>
              <w:sz w:val="28"/>
              <w:szCs w:val="28"/>
            </w:rPr>
            <w:fldChar w:fldCharType="begin"/>
          </w:r>
          <w:r>
            <w:rPr>
              <w:rFonts w:asciiTheme="minorEastAsia" w:hAnsiTheme="minorEastAsia" w:eastAsiaTheme="minorEastAsia"/>
              <w:b/>
              <w:color w:val="auto"/>
              <w:sz w:val="28"/>
              <w:szCs w:val="28"/>
            </w:rPr>
            <w:instrText xml:space="preserve"> TOC \o "1-3" \h \z \u </w:instrText>
          </w:r>
          <w:r>
            <w:rPr>
              <w:rFonts w:asciiTheme="minorEastAsia" w:hAnsiTheme="minorEastAsia" w:eastAsiaTheme="minorEastAsia"/>
              <w:b/>
              <w:color w:val="auto"/>
              <w:sz w:val="28"/>
              <w:szCs w:val="28"/>
            </w:rPr>
            <w:fldChar w:fldCharType="separate"/>
          </w:r>
          <w:r>
            <w:rPr>
              <w:rFonts w:asciiTheme="minorEastAsia" w:hAnsiTheme="minorEastAsia" w:eastAsiaTheme="minorEastAsia"/>
              <w:color w:val="auto"/>
              <w:sz w:val="28"/>
              <w:szCs w:val="28"/>
            </w:rPr>
            <w:fldChar w:fldCharType="begin"/>
          </w:r>
          <w:r>
            <w:rPr>
              <w:rFonts w:asciiTheme="minorEastAsia" w:hAnsiTheme="minorEastAsia" w:eastAsiaTheme="minorEastAsia"/>
              <w:color w:val="auto"/>
              <w:sz w:val="28"/>
              <w:szCs w:val="28"/>
            </w:rPr>
            <w:instrText xml:space="preserve"> HYPERLINK \l _Toc16023 </w:instrText>
          </w:r>
          <w:r>
            <w:rPr>
              <w:rFonts w:asciiTheme="minorEastAsia" w:hAnsiTheme="minorEastAsia" w:eastAsiaTheme="minorEastAsia"/>
              <w:color w:val="auto"/>
              <w:sz w:val="28"/>
              <w:szCs w:val="28"/>
            </w:rPr>
            <w:fldChar w:fldCharType="separate"/>
          </w:r>
          <w:r>
            <w:rPr>
              <w:rFonts w:hint="eastAsia"/>
              <w:color w:val="auto"/>
              <w:sz w:val="28"/>
              <w:szCs w:val="28"/>
            </w:rPr>
            <w:t xml:space="preserve">第一章 </w:t>
          </w:r>
          <w:r>
            <w:rPr>
              <w:color w:val="auto"/>
              <w:sz w:val="28"/>
              <w:szCs w:val="28"/>
            </w:rPr>
            <w:t>采购公告</w:t>
          </w:r>
          <w:r>
            <w:rPr>
              <w:color w:val="auto"/>
              <w:sz w:val="28"/>
              <w:szCs w:val="28"/>
            </w:rPr>
            <w:tab/>
          </w:r>
          <w:r>
            <w:rPr>
              <w:color w:val="auto"/>
              <w:sz w:val="28"/>
              <w:szCs w:val="28"/>
            </w:rPr>
            <w:fldChar w:fldCharType="begin"/>
          </w:r>
          <w:r>
            <w:rPr>
              <w:color w:val="auto"/>
              <w:sz w:val="28"/>
              <w:szCs w:val="28"/>
            </w:rPr>
            <w:instrText xml:space="preserve"> PAGEREF _Toc16023 \h </w:instrText>
          </w:r>
          <w:r>
            <w:rPr>
              <w:color w:val="auto"/>
              <w:sz w:val="28"/>
              <w:szCs w:val="28"/>
            </w:rPr>
            <w:fldChar w:fldCharType="separate"/>
          </w:r>
          <w:r>
            <w:rPr>
              <w:color w:val="auto"/>
              <w:sz w:val="28"/>
              <w:szCs w:val="28"/>
            </w:rPr>
            <w:t>- 1 -</w:t>
          </w:r>
          <w:r>
            <w:rPr>
              <w:color w:val="auto"/>
              <w:sz w:val="28"/>
              <w:szCs w:val="28"/>
            </w:rPr>
            <w:fldChar w:fldCharType="end"/>
          </w:r>
          <w:r>
            <w:rPr>
              <w:rFonts w:asciiTheme="minorEastAsia" w:hAnsiTheme="minorEastAsia" w:eastAsiaTheme="minorEastAsia"/>
              <w:color w:val="auto"/>
              <w:sz w:val="28"/>
              <w:szCs w:val="28"/>
            </w:rPr>
            <w:fldChar w:fldCharType="end"/>
          </w:r>
        </w:p>
        <w:p w14:paraId="5DCAD125">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_Toc9951 </w:instrText>
          </w:r>
          <w:r>
            <w:rPr>
              <w:rFonts w:asciiTheme="minorEastAsia" w:hAnsiTheme="minorEastAsia" w:eastAsiaTheme="minorEastAsia"/>
              <w:bCs/>
              <w:color w:val="auto"/>
              <w:sz w:val="28"/>
              <w:szCs w:val="28"/>
              <w:lang w:val="zh-CN"/>
            </w:rPr>
            <w:fldChar w:fldCharType="separate"/>
          </w:r>
          <w:r>
            <w:rPr>
              <w:rFonts w:hint="eastAsia"/>
              <w:color w:val="auto"/>
              <w:sz w:val="28"/>
              <w:szCs w:val="28"/>
            </w:rPr>
            <w:t xml:space="preserve">第二章 </w:t>
          </w:r>
          <w:r>
            <w:rPr>
              <w:color w:val="auto"/>
              <w:sz w:val="28"/>
              <w:szCs w:val="28"/>
            </w:rPr>
            <w:t>采购内容</w:t>
          </w:r>
          <w:r>
            <w:rPr>
              <w:rFonts w:hint="eastAsia"/>
              <w:color w:val="auto"/>
              <w:sz w:val="28"/>
              <w:szCs w:val="28"/>
            </w:rPr>
            <w:t>及</w:t>
          </w:r>
          <w:r>
            <w:rPr>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_Toc9951 \h </w:instrText>
          </w:r>
          <w:r>
            <w:rPr>
              <w:color w:val="auto"/>
              <w:sz w:val="28"/>
              <w:szCs w:val="28"/>
            </w:rPr>
            <w:fldChar w:fldCharType="separate"/>
          </w:r>
          <w:r>
            <w:rPr>
              <w:color w:val="auto"/>
              <w:sz w:val="28"/>
              <w:szCs w:val="28"/>
            </w:rPr>
            <w:t>- 2 -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04942EA9">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_Toc30692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第三章 评审办法</w:t>
          </w:r>
          <w:r>
            <w:rPr>
              <w:color w:val="auto"/>
              <w:sz w:val="28"/>
              <w:szCs w:val="28"/>
            </w:rPr>
            <w:tab/>
          </w:r>
          <w:r>
            <w:rPr>
              <w:color w:val="auto"/>
              <w:sz w:val="28"/>
              <w:szCs w:val="28"/>
            </w:rPr>
            <w:fldChar w:fldCharType="begin"/>
          </w:r>
          <w:r>
            <w:rPr>
              <w:color w:val="auto"/>
              <w:sz w:val="28"/>
              <w:szCs w:val="28"/>
            </w:rPr>
            <w:instrText xml:space="preserve"> PAGEREF _Toc30692 \h </w:instrText>
          </w:r>
          <w:r>
            <w:rPr>
              <w:color w:val="auto"/>
              <w:sz w:val="28"/>
              <w:szCs w:val="28"/>
            </w:rPr>
            <w:fldChar w:fldCharType="separate"/>
          </w:r>
          <w:r>
            <w:rPr>
              <w:color w:val="auto"/>
              <w:sz w:val="28"/>
              <w:szCs w:val="28"/>
            </w:rPr>
            <w:t>- 6 -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8E562D3">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_Toc31724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第四章 响应文件格式</w:t>
          </w:r>
          <w:r>
            <w:rPr>
              <w:color w:val="auto"/>
              <w:sz w:val="28"/>
              <w:szCs w:val="28"/>
            </w:rPr>
            <w:tab/>
          </w:r>
          <w:r>
            <w:rPr>
              <w:color w:val="auto"/>
              <w:sz w:val="28"/>
              <w:szCs w:val="28"/>
            </w:rPr>
            <w:fldChar w:fldCharType="begin"/>
          </w:r>
          <w:r>
            <w:rPr>
              <w:color w:val="auto"/>
              <w:sz w:val="28"/>
              <w:szCs w:val="28"/>
            </w:rPr>
            <w:instrText xml:space="preserve"> PAGEREF _Toc31724 \h </w:instrText>
          </w:r>
          <w:r>
            <w:rPr>
              <w:color w:val="auto"/>
              <w:sz w:val="28"/>
              <w:szCs w:val="28"/>
            </w:rPr>
            <w:fldChar w:fldCharType="separate"/>
          </w:r>
          <w:r>
            <w:rPr>
              <w:color w:val="auto"/>
              <w:sz w:val="28"/>
              <w:szCs w:val="28"/>
            </w:rPr>
            <w:t>- 7 -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24E9A4ED">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_Toc3195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第五章 合同主要条款</w:t>
          </w:r>
          <w:r>
            <w:rPr>
              <w:color w:val="auto"/>
              <w:sz w:val="28"/>
              <w:szCs w:val="28"/>
            </w:rPr>
            <w:tab/>
          </w:r>
          <w:r>
            <w:rPr>
              <w:color w:val="auto"/>
              <w:sz w:val="28"/>
              <w:szCs w:val="28"/>
            </w:rPr>
            <w:fldChar w:fldCharType="begin"/>
          </w:r>
          <w:r>
            <w:rPr>
              <w:color w:val="auto"/>
              <w:sz w:val="28"/>
              <w:szCs w:val="28"/>
            </w:rPr>
            <w:instrText xml:space="preserve"> PAGEREF _Toc3195 \h </w:instrText>
          </w:r>
          <w:r>
            <w:rPr>
              <w:color w:val="auto"/>
              <w:sz w:val="28"/>
              <w:szCs w:val="28"/>
            </w:rPr>
            <w:fldChar w:fldCharType="separate"/>
          </w:r>
          <w:r>
            <w:rPr>
              <w:color w:val="auto"/>
              <w:sz w:val="28"/>
              <w:szCs w:val="28"/>
            </w:rPr>
            <w:t>- 13 -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A9EA5C9">
          <w:pPr>
            <w:rPr>
              <w:rFonts w:asciiTheme="minorEastAsia" w:hAnsiTheme="minorEastAsia" w:eastAsiaTheme="minorEastAsia"/>
              <w:b/>
              <w:color w:val="auto"/>
              <w:sz w:val="30"/>
              <w:szCs w:val="30"/>
            </w:rPr>
          </w:pPr>
          <w:r>
            <w:rPr>
              <w:rFonts w:asciiTheme="minorEastAsia" w:hAnsiTheme="minorEastAsia" w:eastAsiaTheme="minorEastAsia"/>
              <w:bCs/>
              <w:color w:val="auto"/>
              <w:sz w:val="28"/>
              <w:szCs w:val="28"/>
              <w:lang w:val="zh-CN"/>
            </w:rPr>
            <w:fldChar w:fldCharType="end"/>
          </w:r>
        </w:p>
      </w:sdtContent>
    </w:sdt>
    <w:p w14:paraId="27904725">
      <w:pPr>
        <w:jc w:val="left"/>
        <w:rPr>
          <w:b/>
          <w:bCs/>
          <w:color w:val="auto"/>
          <w:sz w:val="32"/>
        </w:rPr>
      </w:pPr>
    </w:p>
    <w:p w14:paraId="593D9252">
      <w:pPr>
        <w:jc w:val="center"/>
        <w:rPr>
          <w:b/>
          <w:bCs/>
          <w:color w:val="auto"/>
          <w:sz w:val="32"/>
        </w:rPr>
      </w:pPr>
    </w:p>
    <w:p w14:paraId="284284E2">
      <w:pPr>
        <w:widowControl/>
        <w:jc w:val="left"/>
        <w:rPr>
          <w:b/>
          <w:bCs/>
          <w:color w:val="auto"/>
          <w:sz w:val="32"/>
        </w:rPr>
      </w:pPr>
      <w:r>
        <w:rPr>
          <w:b/>
          <w:bCs/>
          <w:color w:val="auto"/>
          <w:sz w:val="32"/>
        </w:rPr>
        <w:br w:type="page"/>
      </w:r>
    </w:p>
    <w:p w14:paraId="6056877C">
      <w:pPr>
        <w:pStyle w:val="19"/>
        <w:rPr>
          <w:color w:val="auto"/>
        </w:rPr>
        <w:sectPr>
          <w:footerReference r:id="rId3" w:type="default"/>
          <w:pgSz w:w="11906" w:h="16838"/>
          <w:pgMar w:top="1440" w:right="1800" w:bottom="1440" w:left="1800" w:header="851" w:footer="992" w:gutter="0"/>
          <w:cols w:space="425" w:num="1"/>
          <w:docGrid w:type="lines" w:linePitch="312" w:charSpace="0"/>
        </w:sectPr>
      </w:pPr>
    </w:p>
    <w:p w14:paraId="7BE579F9">
      <w:pPr>
        <w:pStyle w:val="19"/>
        <w:rPr>
          <w:color w:val="auto"/>
        </w:rPr>
      </w:pPr>
      <w:bookmarkStart w:id="0" w:name="_Toc16023"/>
      <w:r>
        <w:rPr>
          <w:rFonts w:hint="eastAsia"/>
          <w:color w:val="auto"/>
        </w:rPr>
        <w:t xml:space="preserve">第一章 </w:t>
      </w:r>
      <w:r>
        <w:rPr>
          <w:color w:val="auto"/>
        </w:rPr>
        <w:t>采购公告</w:t>
      </w:r>
      <w:bookmarkEnd w:id="0"/>
    </w:p>
    <w:p w14:paraId="4260B1BF">
      <w:pPr>
        <w:spacing w:line="360" w:lineRule="auto"/>
        <w:ind w:firstLine="482" w:firstLineChars="200"/>
        <w:rPr>
          <w:b/>
          <w:color w:val="auto"/>
          <w:sz w:val="24"/>
        </w:rPr>
      </w:pPr>
    </w:p>
    <w:p w14:paraId="78A1BF9C">
      <w:pPr>
        <w:spacing w:line="360" w:lineRule="auto"/>
        <w:jc w:val="center"/>
        <w:rPr>
          <w:b/>
          <w:color w:val="auto"/>
          <w:sz w:val="24"/>
        </w:rPr>
      </w:pPr>
      <w:r>
        <w:rPr>
          <w:rFonts w:hint="eastAsia"/>
          <w:b/>
          <w:color w:val="auto"/>
          <w:sz w:val="24"/>
        </w:rPr>
        <w:t>浙大</w:t>
      </w:r>
      <w:r>
        <w:rPr>
          <w:b/>
          <w:color w:val="auto"/>
          <w:sz w:val="24"/>
        </w:rPr>
        <w:t>妇院</w:t>
      </w:r>
      <w:r>
        <w:rPr>
          <w:rFonts w:hint="eastAsia"/>
          <w:b/>
          <w:color w:val="auto"/>
          <w:sz w:val="24"/>
        </w:rPr>
        <w:t>院内</w:t>
      </w:r>
      <w:r>
        <w:rPr>
          <w:b/>
          <w:color w:val="auto"/>
          <w:sz w:val="24"/>
        </w:rPr>
        <w:t>采购公告（</w:t>
      </w:r>
      <w:r>
        <w:rPr>
          <w:rFonts w:hint="eastAsia"/>
          <w:b/>
          <w:color w:val="auto"/>
          <w:sz w:val="24"/>
        </w:rPr>
        <w:t>项目编号：CGZX-XXXM-20260724-01）</w:t>
      </w:r>
    </w:p>
    <w:p w14:paraId="175BB690">
      <w:pPr>
        <w:spacing w:line="360" w:lineRule="auto"/>
        <w:ind w:firstLine="482" w:firstLineChars="200"/>
        <w:rPr>
          <w:b/>
          <w:color w:val="auto"/>
          <w:sz w:val="24"/>
        </w:rPr>
      </w:pPr>
    </w:p>
    <w:p w14:paraId="3E2BC169">
      <w:pPr>
        <w:spacing w:line="360" w:lineRule="auto"/>
        <w:ind w:firstLine="480" w:firstLineChars="200"/>
        <w:rPr>
          <w:color w:val="auto"/>
          <w:sz w:val="24"/>
        </w:rPr>
      </w:pPr>
      <w:r>
        <w:rPr>
          <w:color w:val="auto"/>
          <w:sz w:val="24"/>
        </w:rPr>
        <w:t>根据国家及浙江省有关文件精神和医院有关政策，我们坚持公开、公平、公正和诚信的原则，欢迎满足要求的供应商前来参与本项目采购</w:t>
      </w:r>
      <w:r>
        <w:rPr>
          <w:rFonts w:hint="eastAsia"/>
          <w:color w:val="auto"/>
          <w:sz w:val="24"/>
        </w:rPr>
        <w:t>（采购文件详见附件）</w:t>
      </w:r>
      <w:r>
        <w:rPr>
          <w:color w:val="auto"/>
          <w:sz w:val="24"/>
        </w:rPr>
        <w:t>。</w:t>
      </w:r>
    </w:p>
    <w:p w14:paraId="787B9291">
      <w:pPr>
        <w:spacing w:line="360" w:lineRule="auto"/>
        <w:rPr>
          <w:color w:val="auto"/>
          <w:sz w:val="24"/>
        </w:rPr>
      </w:pPr>
      <w:r>
        <w:rPr>
          <w:rFonts w:hint="eastAsia"/>
          <w:b/>
          <w:bCs/>
          <w:color w:val="auto"/>
          <w:sz w:val="24"/>
        </w:rPr>
        <w:t>项目概况：</w:t>
      </w:r>
      <w:r>
        <w:rPr>
          <w:rFonts w:hint="eastAsia"/>
          <w:color w:val="FF0000"/>
          <w:sz w:val="24"/>
          <w:lang w:eastAsia="zh-CN"/>
        </w:rPr>
        <w:t>科研物资管理平台运维服务</w:t>
      </w:r>
      <w:r>
        <w:rPr>
          <w:rFonts w:hint="eastAsia"/>
          <w:color w:val="FF0000"/>
          <w:sz w:val="24"/>
        </w:rPr>
        <w:t>，预算金额</w:t>
      </w:r>
      <w:r>
        <w:rPr>
          <w:rFonts w:hint="eastAsia"/>
          <w:color w:val="FF0000"/>
          <w:sz w:val="24"/>
          <w:lang w:val="en-US" w:eastAsia="zh-CN"/>
        </w:rPr>
        <w:t>9.8</w:t>
      </w:r>
      <w:r>
        <w:rPr>
          <w:rFonts w:hint="eastAsia"/>
          <w:color w:val="FF0000"/>
          <w:sz w:val="24"/>
        </w:rPr>
        <w:t>万元。</w:t>
      </w:r>
    </w:p>
    <w:p w14:paraId="27692C3D">
      <w:pPr>
        <w:spacing w:line="360" w:lineRule="auto"/>
        <w:ind w:firstLine="480" w:firstLineChars="200"/>
        <w:rPr>
          <w:color w:val="auto"/>
          <w:sz w:val="24"/>
        </w:rPr>
      </w:pPr>
    </w:p>
    <w:p w14:paraId="4C54DBDA">
      <w:pPr>
        <w:spacing w:line="360" w:lineRule="auto"/>
        <w:rPr>
          <w:b/>
          <w:bCs/>
          <w:color w:val="auto"/>
          <w:sz w:val="24"/>
        </w:rPr>
      </w:pPr>
      <w:r>
        <w:rPr>
          <w:b/>
          <w:bCs/>
          <w:color w:val="auto"/>
          <w:sz w:val="24"/>
        </w:rPr>
        <w:t>响应要求：</w:t>
      </w:r>
    </w:p>
    <w:p w14:paraId="75CD533F">
      <w:pPr>
        <w:spacing w:line="360" w:lineRule="auto"/>
        <w:rPr>
          <w:color w:val="auto"/>
          <w:sz w:val="24"/>
        </w:rPr>
      </w:pPr>
      <w:r>
        <w:rPr>
          <w:color w:val="auto"/>
          <w:sz w:val="24"/>
        </w:rPr>
        <w:t>1、提供有效的营业执照复印件并加盖公司公章。</w:t>
      </w:r>
    </w:p>
    <w:p w14:paraId="39EA05C7">
      <w:pPr>
        <w:spacing w:line="360" w:lineRule="auto"/>
        <w:rPr>
          <w:color w:val="auto"/>
          <w:sz w:val="24"/>
        </w:rPr>
      </w:pPr>
      <w:r>
        <w:rPr>
          <w:color w:val="auto"/>
          <w:sz w:val="24"/>
        </w:rPr>
        <w:t>2、提供自采购公告发布之日起至公告截止日内任意时间的“信用中国”网站（www.creditchina.gov.cn）的响应供应商信用查询网页截图。</w:t>
      </w:r>
    </w:p>
    <w:p w14:paraId="7AFA2735">
      <w:pPr>
        <w:spacing w:line="360" w:lineRule="auto"/>
        <w:rPr>
          <w:color w:val="auto"/>
          <w:sz w:val="24"/>
        </w:rPr>
      </w:pPr>
      <w:r>
        <w:rPr>
          <w:rFonts w:hint="eastAsia"/>
          <w:color w:val="auto"/>
          <w:sz w:val="24"/>
        </w:rPr>
        <w:t>3</w:t>
      </w:r>
      <w:r>
        <w:rPr>
          <w:color w:val="auto"/>
          <w:sz w:val="24"/>
        </w:rPr>
        <w:t>、参与公司必须承诺所有数据要求真实可靠</w:t>
      </w:r>
      <w:r>
        <w:rPr>
          <w:rFonts w:hint="eastAsia"/>
          <w:color w:val="auto"/>
          <w:sz w:val="24"/>
        </w:rPr>
        <w:t>，如发生所供产品与合同、采购文件要求不符，甲方（使用方）有权拒绝收货或退货并终止合同，由此产生的一切责任和后果由乙方承担</w:t>
      </w:r>
      <w:r>
        <w:rPr>
          <w:color w:val="auto"/>
          <w:sz w:val="24"/>
        </w:rPr>
        <w:t>。</w:t>
      </w:r>
    </w:p>
    <w:p w14:paraId="4AA54859">
      <w:pPr>
        <w:spacing w:line="360" w:lineRule="auto"/>
        <w:rPr>
          <w:color w:val="auto"/>
          <w:sz w:val="24"/>
        </w:rPr>
      </w:pPr>
      <w:r>
        <w:rPr>
          <w:rFonts w:hint="eastAsia"/>
          <w:color w:val="auto"/>
          <w:sz w:val="24"/>
        </w:rPr>
        <w:t>4</w:t>
      </w:r>
      <w:r>
        <w:rPr>
          <w:color w:val="auto"/>
          <w:sz w:val="24"/>
        </w:rPr>
        <w:t>、不接受联合体响应，不允许分包和转包。</w:t>
      </w:r>
    </w:p>
    <w:p w14:paraId="0074DEB7">
      <w:pPr>
        <w:spacing w:line="360" w:lineRule="auto"/>
        <w:rPr>
          <w:color w:val="auto"/>
          <w:sz w:val="24"/>
        </w:rPr>
      </w:pPr>
      <w:r>
        <w:rPr>
          <w:rFonts w:hint="eastAsia"/>
          <w:color w:val="auto"/>
          <w:sz w:val="24"/>
        </w:rPr>
        <w:t>5</w:t>
      </w:r>
      <w:r>
        <w:rPr>
          <w:color w:val="auto"/>
          <w:sz w:val="24"/>
        </w:rPr>
        <w:t>、响应文件一正三副（固定装订，不强制要求胶装），必须档案袋密封于</w:t>
      </w:r>
      <w:r>
        <w:rPr>
          <w:rFonts w:hint="eastAsia"/>
          <w:color w:val="auto"/>
          <w:sz w:val="24"/>
        </w:rPr>
        <w:t>采购</w:t>
      </w:r>
      <w:r>
        <w:rPr>
          <w:color w:val="auto"/>
          <w:sz w:val="24"/>
        </w:rPr>
        <w:t>现场统一递交，一个</w:t>
      </w:r>
      <w:r>
        <w:rPr>
          <w:rFonts w:hint="eastAsia"/>
          <w:color w:val="auto"/>
          <w:sz w:val="24"/>
        </w:rPr>
        <w:t>项目</w:t>
      </w:r>
      <w:r>
        <w:rPr>
          <w:color w:val="auto"/>
          <w:sz w:val="24"/>
        </w:rPr>
        <w:t>对应一个档案袋。</w:t>
      </w:r>
    </w:p>
    <w:p w14:paraId="62FD4E73">
      <w:pPr>
        <w:spacing w:line="360" w:lineRule="auto"/>
        <w:rPr>
          <w:color w:val="auto"/>
          <w:sz w:val="24"/>
        </w:rPr>
      </w:pPr>
      <w:r>
        <w:rPr>
          <w:rFonts w:hint="eastAsia"/>
          <w:color w:val="auto"/>
          <w:sz w:val="24"/>
        </w:rPr>
        <w:t>6</w:t>
      </w:r>
      <w:r>
        <w:rPr>
          <w:color w:val="auto"/>
          <w:sz w:val="24"/>
        </w:rPr>
        <w:t>、</w:t>
      </w:r>
      <w:r>
        <w:rPr>
          <w:rFonts w:hint="eastAsia"/>
          <w:color w:val="auto"/>
          <w:sz w:val="24"/>
          <w:lang w:val="en-US" w:eastAsia="zh-CN"/>
        </w:rPr>
        <w:t>采购时间、地点邮件通知</w:t>
      </w:r>
      <w:r>
        <w:rPr>
          <w:rFonts w:hint="eastAsia"/>
          <w:b/>
          <w:bCs/>
          <w:color w:val="auto"/>
          <w:sz w:val="24"/>
        </w:rPr>
        <w:t>，</w:t>
      </w:r>
      <w:r>
        <w:rPr>
          <w:b/>
          <w:bCs/>
          <w:color w:val="FF0000"/>
          <w:sz w:val="24"/>
        </w:rPr>
        <w:t>报名截</w:t>
      </w:r>
      <w:r>
        <w:rPr>
          <w:b/>
          <w:color w:val="FF0000"/>
          <w:sz w:val="24"/>
        </w:rPr>
        <w:t>止</w:t>
      </w:r>
      <w:r>
        <w:rPr>
          <w:rFonts w:hint="eastAsia"/>
          <w:b/>
          <w:color w:val="FF0000"/>
          <w:sz w:val="24"/>
          <w:lang w:val="en-US" w:eastAsia="zh-CN"/>
        </w:rPr>
        <w:t>时间2026年7月31日 16:00</w:t>
      </w:r>
      <w:r>
        <w:rPr>
          <w:color w:val="auto"/>
          <w:sz w:val="24"/>
        </w:rPr>
        <w:t>（报名以邮件为准，</w:t>
      </w:r>
      <w:r>
        <w:rPr>
          <w:b/>
          <w:bCs/>
          <w:color w:val="auto"/>
          <w:sz w:val="24"/>
        </w:rPr>
        <w:t>邮件标题</w:t>
      </w:r>
      <w:r>
        <w:rPr>
          <w:rFonts w:hint="eastAsia"/>
          <w:b/>
          <w:bCs/>
          <w:color w:val="auto"/>
          <w:sz w:val="24"/>
          <w:lang w:val="en-US" w:eastAsia="zh-CN"/>
        </w:rPr>
        <w:t>统一为：公告项目</w:t>
      </w:r>
      <w:r>
        <w:rPr>
          <w:b/>
          <w:bCs/>
          <w:color w:val="auto"/>
          <w:sz w:val="24"/>
        </w:rPr>
        <w:t>编号</w:t>
      </w:r>
      <w:r>
        <w:rPr>
          <w:rFonts w:hint="eastAsia"/>
          <w:b/>
          <w:bCs/>
          <w:color w:val="auto"/>
          <w:sz w:val="24"/>
          <w:lang w:val="en-US" w:eastAsia="zh-CN"/>
        </w:rPr>
        <w:t>+</w:t>
      </w:r>
      <w:r>
        <w:rPr>
          <w:rFonts w:hint="eastAsia"/>
          <w:b/>
          <w:bCs/>
          <w:color w:val="auto"/>
          <w:sz w:val="24"/>
        </w:rPr>
        <w:t>项目名称</w:t>
      </w:r>
      <w:r>
        <w:rPr>
          <w:rFonts w:hint="eastAsia"/>
          <w:b/>
          <w:bCs/>
          <w:color w:val="auto"/>
          <w:sz w:val="24"/>
          <w:lang w:val="en-US" w:eastAsia="zh-CN"/>
        </w:rPr>
        <w:t>+</w:t>
      </w:r>
      <w:r>
        <w:rPr>
          <w:rFonts w:hint="eastAsia"/>
          <w:b/>
          <w:bCs/>
          <w:color w:val="auto"/>
          <w:sz w:val="24"/>
        </w:rPr>
        <w:t>响应</w:t>
      </w:r>
      <w:r>
        <w:rPr>
          <w:b/>
          <w:bCs/>
          <w:color w:val="auto"/>
          <w:sz w:val="24"/>
        </w:rPr>
        <w:t>公司名称</w:t>
      </w:r>
      <w:r>
        <w:rPr>
          <w:rFonts w:hint="eastAsia"/>
          <w:color w:val="auto"/>
          <w:sz w:val="24"/>
          <w:lang w:eastAsia="zh-CN"/>
        </w:rPr>
        <w:t>，</w:t>
      </w:r>
      <w:r>
        <w:rPr>
          <w:rFonts w:hint="eastAsia"/>
          <w:color w:val="auto"/>
          <w:sz w:val="24"/>
          <w:lang w:val="en-US" w:eastAsia="zh-CN"/>
        </w:rPr>
        <w:t>邮件内容注明相应公司名称、</w:t>
      </w:r>
      <w:r>
        <w:rPr>
          <w:rFonts w:hint="eastAsia"/>
          <w:color w:val="auto"/>
          <w:sz w:val="24"/>
        </w:rPr>
        <w:t>授权</w:t>
      </w:r>
      <w:r>
        <w:rPr>
          <w:color w:val="auto"/>
          <w:sz w:val="24"/>
        </w:rPr>
        <w:t>人姓名</w:t>
      </w:r>
      <w:r>
        <w:rPr>
          <w:rFonts w:hint="eastAsia"/>
          <w:color w:val="auto"/>
          <w:sz w:val="24"/>
          <w:lang w:val="en-US" w:eastAsia="zh-CN"/>
        </w:rPr>
        <w:t>、</w:t>
      </w:r>
      <w:r>
        <w:rPr>
          <w:color w:val="auto"/>
          <w:sz w:val="24"/>
        </w:rPr>
        <w:t>联系方式</w:t>
      </w:r>
      <w:r>
        <w:rPr>
          <w:rFonts w:hint="eastAsia"/>
          <w:color w:val="auto"/>
          <w:sz w:val="24"/>
          <w:lang w:eastAsia="zh-CN"/>
        </w:rPr>
        <w:t>、</w:t>
      </w:r>
      <w:r>
        <w:rPr>
          <w:rFonts w:hint="eastAsia"/>
          <w:color w:val="auto"/>
          <w:sz w:val="24"/>
          <w:lang w:val="en-US" w:eastAsia="zh-CN"/>
        </w:rPr>
        <w:t>法人代表授权委托函</w:t>
      </w:r>
      <w:r>
        <w:rPr>
          <w:color w:val="auto"/>
          <w:sz w:val="24"/>
        </w:rPr>
        <w:t>等）</w:t>
      </w:r>
      <w:r>
        <w:rPr>
          <w:rFonts w:hint="eastAsia"/>
          <w:color w:val="auto"/>
          <w:sz w:val="24"/>
        </w:rPr>
        <w:t>。</w:t>
      </w:r>
    </w:p>
    <w:p w14:paraId="4AE81EEF">
      <w:pPr>
        <w:spacing w:line="360" w:lineRule="auto"/>
        <w:rPr>
          <w:color w:val="auto"/>
          <w:sz w:val="24"/>
        </w:rPr>
      </w:pPr>
      <w:r>
        <w:rPr>
          <w:rFonts w:hint="eastAsia"/>
          <w:color w:val="auto"/>
          <w:sz w:val="24"/>
        </w:rPr>
        <w:t>7</w:t>
      </w:r>
      <w:r>
        <w:rPr>
          <w:color w:val="auto"/>
          <w:sz w:val="24"/>
        </w:rPr>
        <w:t>、以上事项均为必须项，任何一项不满足均取消响应资格。</w:t>
      </w:r>
    </w:p>
    <w:p w14:paraId="31F05445">
      <w:pPr>
        <w:spacing w:line="360" w:lineRule="auto"/>
        <w:rPr>
          <w:b/>
          <w:bCs/>
          <w:color w:val="auto"/>
          <w:sz w:val="24"/>
        </w:rPr>
      </w:pPr>
    </w:p>
    <w:p w14:paraId="649E61BF">
      <w:pPr>
        <w:spacing w:line="360" w:lineRule="auto"/>
        <w:rPr>
          <w:b/>
          <w:bCs/>
          <w:color w:val="auto"/>
          <w:sz w:val="24"/>
        </w:rPr>
      </w:pPr>
    </w:p>
    <w:p w14:paraId="665A8BFA">
      <w:pPr>
        <w:spacing w:line="360" w:lineRule="auto"/>
        <w:rPr>
          <w:b/>
          <w:bCs/>
          <w:color w:val="auto"/>
          <w:sz w:val="24"/>
        </w:rPr>
      </w:pPr>
      <w:r>
        <w:rPr>
          <w:b/>
          <w:bCs/>
          <w:color w:val="auto"/>
          <w:sz w:val="24"/>
        </w:rPr>
        <w:t>其他事项：</w:t>
      </w:r>
    </w:p>
    <w:p w14:paraId="2F60F6BE">
      <w:pPr>
        <w:rPr>
          <w:color w:val="auto"/>
          <w:sz w:val="24"/>
        </w:rPr>
      </w:pPr>
      <w:r>
        <w:rPr>
          <w:color w:val="auto"/>
          <w:sz w:val="24"/>
        </w:rPr>
        <w:t>咨询、报名电话：</w:t>
      </w:r>
      <w:r>
        <w:rPr>
          <w:rFonts w:hint="eastAsia"/>
          <w:color w:val="auto"/>
          <w:sz w:val="24"/>
        </w:rPr>
        <w:t>周老师89991090</w:t>
      </w:r>
      <w:r>
        <w:rPr>
          <w:color w:val="auto"/>
          <w:sz w:val="24"/>
        </w:rPr>
        <w:t>。EMAIL：</w:t>
      </w:r>
      <w:r>
        <w:rPr>
          <w:color w:val="auto"/>
        </w:rPr>
        <w:fldChar w:fldCharType="begin"/>
      </w:r>
      <w:r>
        <w:rPr>
          <w:color w:val="auto"/>
        </w:rPr>
        <w:instrText xml:space="preserve"> HYPERLINK "mailto:sfbsbk@zju.edu.cn" </w:instrText>
      </w:r>
      <w:r>
        <w:rPr>
          <w:color w:val="auto"/>
        </w:rPr>
        <w:fldChar w:fldCharType="separate"/>
      </w:r>
      <w:r>
        <w:rPr>
          <w:rStyle w:val="26"/>
          <w:rFonts w:hint="eastAsia"/>
          <w:color w:val="auto"/>
          <w:sz w:val="24"/>
        </w:rPr>
        <w:t>5518003</w:t>
      </w:r>
      <w:r>
        <w:rPr>
          <w:rStyle w:val="26"/>
          <w:color w:val="auto"/>
          <w:sz w:val="24"/>
        </w:rPr>
        <w:t>@zju.edu.cn</w:t>
      </w:r>
      <w:r>
        <w:rPr>
          <w:rStyle w:val="26"/>
          <w:color w:val="auto"/>
          <w:sz w:val="24"/>
        </w:rPr>
        <w:fldChar w:fldCharType="end"/>
      </w:r>
      <w:r>
        <w:rPr>
          <w:rFonts w:hint="eastAsia"/>
          <w:color w:val="auto"/>
          <w:sz w:val="24"/>
        </w:rPr>
        <w:t>。</w:t>
      </w:r>
    </w:p>
    <w:p w14:paraId="7922A598">
      <w:pPr>
        <w:pStyle w:val="19"/>
        <w:numPr>
          <w:ilvl w:val="0"/>
          <w:numId w:val="1"/>
        </w:numPr>
        <w:rPr>
          <w:color w:val="auto"/>
        </w:rPr>
      </w:pPr>
      <w:bookmarkStart w:id="1" w:name="_Toc9951"/>
      <w:r>
        <w:rPr>
          <w:color w:val="auto"/>
        </w:rPr>
        <w:t>采购内容</w:t>
      </w:r>
      <w:r>
        <w:rPr>
          <w:rFonts w:hint="eastAsia"/>
          <w:color w:val="auto"/>
        </w:rPr>
        <w:t>及</w:t>
      </w:r>
      <w:r>
        <w:rPr>
          <w:color w:val="auto"/>
        </w:rPr>
        <w:t>需求</w:t>
      </w:r>
      <w:bookmarkEnd w:id="1"/>
    </w:p>
    <w:p w14:paraId="5EE0B97A">
      <w:pPr>
        <w:numPr>
          <w:ilvl w:val="0"/>
          <w:numId w:val="0"/>
        </w:numPr>
        <w:rPr>
          <w:color w:val="auto"/>
        </w:rPr>
      </w:pPr>
    </w:p>
    <w:p w14:paraId="09922CEE">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项目概况</w:t>
      </w:r>
    </w:p>
    <w:p w14:paraId="0EDFD8DE">
      <w:pPr>
        <w:spacing w:line="360" w:lineRule="auto"/>
        <w:ind w:firstLine="424" w:firstLineChars="202"/>
        <w:rPr>
          <w:rFonts w:hint="eastAsia"/>
          <w:color w:val="auto"/>
        </w:rPr>
      </w:pPr>
    </w:p>
    <w:p w14:paraId="123057A1">
      <w:pPr>
        <w:snapToGrid w:val="0"/>
        <w:spacing w:line="360" w:lineRule="auto"/>
        <w:ind w:firstLine="420"/>
        <w:contextualSpacing/>
        <w:rPr>
          <w:rFonts w:hint="eastAsia" w:asciiTheme="majorEastAsia" w:hAnsiTheme="majorEastAsia" w:eastAsiaTheme="majorEastAsia"/>
          <w:bCs/>
          <w:color w:val="auto"/>
          <w:szCs w:val="21"/>
        </w:rPr>
      </w:pPr>
      <w:r>
        <w:rPr>
          <w:rFonts w:hint="eastAsia" w:asciiTheme="majorEastAsia" w:hAnsiTheme="majorEastAsia" w:eastAsiaTheme="majorEastAsia"/>
          <w:bCs/>
          <w:color w:val="auto"/>
          <w:szCs w:val="21"/>
        </w:rPr>
        <w:t>科研物资管理平台覆盖医院多机构、项目小组成员、财务科、医工科、科研物资供应商等</w:t>
      </w:r>
      <w:r>
        <w:rPr>
          <w:rFonts w:hint="eastAsia" w:asciiTheme="majorEastAsia" w:hAnsiTheme="majorEastAsia" w:eastAsiaTheme="majorEastAsia"/>
          <w:bCs/>
          <w:color w:val="auto"/>
          <w:szCs w:val="21"/>
          <w:lang w:eastAsia="zh-CN"/>
        </w:rPr>
        <w:t>。</w:t>
      </w:r>
      <w:r>
        <w:rPr>
          <w:rFonts w:hint="eastAsia" w:asciiTheme="majorEastAsia" w:hAnsiTheme="majorEastAsia" w:eastAsiaTheme="majorEastAsia"/>
          <w:bCs/>
          <w:color w:val="auto"/>
          <w:szCs w:val="21"/>
        </w:rPr>
        <w:t xml:space="preserve">平台打通科研物资采购、验收、报销、入账全流程，消除人工衔接断点，全程对科研物资各个环节实时动态追踪，实现业务流、资金流、单据流全程可追溯，显著提升科研经费使用效率与合规性。为医院规范化科研物资使用、完善科研项目绩效评价体系，加强对经费使用监督及审计工作，同时提高科研小组科研物资使用、报销效率。    </w:t>
      </w:r>
    </w:p>
    <w:p w14:paraId="11B7337A">
      <w:pPr>
        <w:snapToGrid w:val="0"/>
        <w:spacing w:line="360" w:lineRule="auto"/>
        <w:ind w:firstLine="420"/>
        <w:contextualSpacing/>
        <w:rPr>
          <w:rFonts w:hint="default" w:asciiTheme="majorEastAsia" w:hAnsiTheme="majorEastAsia" w:eastAsiaTheme="majorEastAsia"/>
          <w:bCs/>
          <w:color w:val="auto"/>
          <w:szCs w:val="21"/>
          <w:lang w:val="en-US" w:eastAsia="zh-CN"/>
        </w:rPr>
      </w:pPr>
      <w:r>
        <w:rPr>
          <w:rFonts w:hint="eastAsia" w:asciiTheme="majorEastAsia" w:hAnsiTheme="majorEastAsia" w:eastAsiaTheme="majorEastAsia"/>
          <w:bCs/>
          <w:color w:val="auto"/>
          <w:szCs w:val="21"/>
        </w:rPr>
        <w:t>为确保系统持续稳定运行，维持科研物资采购订单跟发票报销的准确性与效率，保障医院科研项目经费使用工作符合政策要求与院内制度标准，现采购科研物资管理平台运维服务，以通过专业化的运维来确保系统稳定可用、规避运行风险，支撑管理工作的长期合规高效开展。</w:t>
      </w:r>
    </w:p>
    <w:p w14:paraId="6E65E0CE">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2213"/>
        <w:gridCol w:w="5201"/>
      </w:tblGrid>
      <w:tr w14:paraId="5C2B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0" w:type="pct"/>
            <w:vAlign w:val="center"/>
          </w:tcPr>
          <w:p w14:paraId="22F97B83">
            <w:pPr>
              <w:spacing w:line="440" w:lineRule="exact"/>
              <w:jc w:val="center"/>
              <w:rPr>
                <w:rFonts w:ascii="宋体" w:hAnsi="宋体" w:cs="宋体"/>
                <w:b/>
                <w:bCs/>
                <w:color w:val="auto"/>
                <w:szCs w:val="21"/>
              </w:rPr>
            </w:pPr>
            <w:r>
              <w:rPr>
                <w:rFonts w:hint="eastAsia" w:ascii="宋体" w:hAnsi="宋体" w:cs="宋体"/>
                <w:b/>
                <w:bCs/>
                <w:color w:val="auto"/>
                <w:szCs w:val="21"/>
              </w:rPr>
              <w:t>序号</w:t>
            </w:r>
          </w:p>
        </w:tc>
        <w:tc>
          <w:tcPr>
            <w:tcW w:w="1298" w:type="pct"/>
            <w:vAlign w:val="center"/>
          </w:tcPr>
          <w:p w14:paraId="5CEA8A91">
            <w:pPr>
              <w:spacing w:line="440" w:lineRule="exact"/>
              <w:jc w:val="center"/>
              <w:rPr>
                <w:rFonts w:ascii="宋体" w:hAnsi="宋体" w:cs="宋体"/>
                <w:b/>
                <w:bCs/>
                <w:color w:val="auto"/>
                <w:szCs w:val="21"/>
              </w:rPr>
            </w:pPr>
            <w:r>
              <w:rPr>
                <w:rFonts w:hint="eastAsia" w:ascii="宋体" w:hAnsi="宋体" w:cs="宋体"/>
                <w:b/>
                <w:bCs/>
                <w:color w:val="auto"/>
                <w:szCs w:val="21"/>
              </w:rPr>
              <w:t>内容</w:t>
            </w:r>
          </w:p>
        </w:tc>
        <w:tc>
          <w:tcPr>
            <w:tcW w:w="3050" w:type="pct"/>
            <w:vAlign w:val="center"/>
          </w:tcPr>
          <w:p w14:paraId="1751531B">
            <w:pPr>
              <w:spacing w:line="440" w:lineRule="exact"/>
              <w:jc w:val="center"/>
              <w:rPr>
                <w:rFonts w:ascii="宋体" w:hAnsi="宋体" w:cs="宋体"/>
                <w:b/>
                <w:bCs/>
                <w:color w:val="auto"/>
                <w:szCs w:val="21"/>
              </w:rPr>
            </w:pPr>
            <w:r>
              <w:rPr>
                <w:rFonts w:hint="eastAsia" w:ascii="宋体" w:hAnsi="宋体" w:cs="宋体"/>
                <w:b/>
                <w:bCs/>
                <w:color w:val="auto"/>
                <w:szCs w:val="21"/>
              </w:rPr>
              <w:t>说明</w:t>
            </w:r>
          </w:p>
        </w:tc>
      </w:tr>
      <w:tr w14:paraId="687B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50" w:type="pct"/>
            <w:vAlign w:val="center"/>
          </w:tcPr>
          <w:p w14:paraId="1A0A47F5">
            <w:pPr>
              <w:spacing w:line="440" w:lineRule="exact"/>
              <w:jc w:val="center"/>
              <w:rPr>
                <w:rFonts w:ascii="宋体" w:hAnsi="宋体" w:cs="宋体"/>
                <w:color w:val="auto"/>
                <w:szCs w:val="21"/>
              </w:rPr>
            </w:pPr>
            <w:r>
              <w:rPr>
                <w:rFonts w:hint="eastAsia" w:ascii="宋体" w:hAnsi="宋体" w:cs="宋体"/>
                <w:color w:val="auto"/>
                <w:kern w:val="0"/>
                <w:szCs w:val="21"/>
              </w:rPr>
              <w:t>1</w:t>
            </w:r>
          </w:p>
        </w:tc>
        <w:tc>
          <w:tcPr>
            <w:tcW w:w="2213" w:type="dxa"/>
            <w:vAlign w:val="center"/>
          </w:tcPr>
          <w:p w14:paraId="2BDAC6E3">
            <w:pPr>
              <w:widowControl/>
              <w:spacing w:line="440" w:lineRule="exact"/>
              <w:jc w:val="left"/>
              <w:rPr>
                <w:rFonts w:hint="default" w:ascii="宋体" w:hAnsi="宋体" w:eastAsia="宋体" w:cs="宋体"/>
                <w:color w:val="auto"/>
                <w:szCs w:val="21"/>
                <w:lang w:val="en-US" w:eastAsia="zh-CN"/>
              </w:rPr>
            </w:pPr>
            <w:r>
              <w:rPr>
                <w:rFonts w:hint="eastAsia" w:asciiTheme="minorEastAsia" w:hAnsiTheme="minorEastAsia" w:eastAsiaTheme="minorEastAsia" w:cstheme="minorEastAsia"/>
                <w:color w:val="auto"/>
                <w:szCs w:val="21"/>
                <w:lang w:val="en-US" w:eastAsia="zh-CN"/>
              </w:rPr>
              <w:t>科研物资管理平台</w:t>
            </w:r>
            <w:r>
              <w:rPr>
                <w:rFonts w:hint="eastAsia" w:asciiTheme="minorEastAsia" w:hAnsiTheme="minorEastAsia" w:eastAsiaTheme="minorEastAsia" w:cstheme="minorEastAsia"/>
                <w:color w:val="auto"/>
                <w:szCs w:val="21"/>
              </w:rPr>
              <w:t>运维服务</w:t>
            </w:r>
          </w:p>
        </w:tc>
        <w:tc>
          <w:tcPr>
            <w:tcW w:w="5200" w:type="dxa"/>
            <w:vAlign w:val="center"/>
          </w:tcPr>
          <w:p w14:paraId="7E737DB5">
            <w:pPr>
              <w:numPr>
                <w:ilvl w:val="255"/>
                <w:numId w:val="0"/>
              </w:numPr>
              <w:spacing w:line="440" w:lineRule="exact"/>
              <w:ind w:left="0" w:leftChars="0" w:firstLine="0" w:firstLineChars="0"/>
              <w:rPr>
                <w:rFonts w:hint="default" w:ascii="宋体" w:hAnsi="宋体" w:eastAsia="宋体" w:cs="宋体"/>
                <w:color w:val="auto"/>
                <w:szCs w:val="21"/>
                <w:lang w:val="en-US" w:eastAsia="zh-CN"/>
              </w:rPr>
            </w:pPr>
            <w:r>
              <w:rPr>
                <w:rFonts w:hint="eastAsia" w:asciiTheme="minorEastAsia" w:hAnsiTheme="minorEastAsia" w:eastAsiaTheme="minorEastAsia" w:cstheme="minorEastAsia"/>
                <w:bCs/>
                <w:iCs/>
                <w:color w:val="auto"/>
                <w:szCs w:val="21"/>
              </w:rPr>
              <w:t>合同签订后，提供科研物资管理平台1年运维服务。</w:t>
            </w:r>
          </w:p>
        </w:tc>
      </w:tr>
    </w:tbl>
    <w:p w14:paraId="6FBD19A6">
      <w:pPr>
        <w:rPr>
          <w:color w:val="auto"/>
        </w:rPr>
      </w:pPr>
    </w:p>
    <w:p w14:paraId="67D4DA30">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技术要求</w:t>
      </w:r>
    </w:p>
    <w:p w14:paraId="735850C4">
      <w:pPr>
        <w:pStyle w:val="32"/>
        <w:numPr>
          <w:ilvl w:val="0"/>
          <w:numId w:val="3"/>
        </w:numPr>
        <w:spacing w:line="440" w:lineRule="exact"/>
        <w:ind w:firstLineChars="0"/>
        <w:outlineLvl w:val="1"/>
        <w:rPr>
          <w:rFonts w:ascii="宋体" w:hAnsi="宋体" w:cs="宋体"/>
          <w:b/>
          <w:color w:val="auto"/>
          <w:szCs w:val="21"/>
        </w:rPr>
      </w:pPr>
      <w:r>
        <w:rPr>
          <w:rFonts w:hint="eastAsia" w:ascii="宋体" w:hAnsi="宋体" w:cs="宋体"/>
          <w:b/>
          <w:color w:val="auto"/>
          <w:szCs w:val="21"/>
        </w:rPr>
        <w:t>总体要求</w:t>
      </w:r>
    </w:p>
    <w:p w14:paraId="016905FE">
      <w:pPr>
        <w:bidi w:val="0"/>
        <w:rPr>
          <w:color w:val="auto"/>
        </w:rPr>
      </w:pPr>
      <w:r>
        <w:rPr>
          <w:rFonts w:hint="eastAsia"/>
          <w:color w:val="auto"/>
        </w:rPr>
        <w:t>对医院已有的科研物资管理平台提供运维技术支持。合同签订后，提供1年运维服务。</w:t>
      </w:r>
    </w:p>
    <w:p w14:paraId="3FD9C207">
      <w:pPr>
        <w:pStyle w:val="32"/>
        <w:numPr>
          <w:ilvl w:val="0"/>
          <w:numId w:val="3"/>
        </w:numPr>
        <w:spacing w:line="440" w:lineRule="exact"/>
        <w:ind w:firstLineChars="0"/>
        <w:outlineLvl w:val="1"/>
        <w:rPr>
          <w:rFonts w:ascii="宋体" w:hAnsi="宋体" w:cs="宋体"/>
          <w:b/>
          <w:color w:val="auto"/>
          <w:szCs w:val="21"/>
        </w:rPr>
      </w:pPr>
      <w:r>
        <w:rPr>
          <w:rFonts w:hint="eastAsia" w:ascii="宋体" w:hAnsi="宋体" w:cs="宋体"/>
          <w:b/>
          <w:color w:val="auto"/>
          <w:szCs w:val="21"/>
          <w:lang w:val="en-US" w:eastAsia="zh-CN"/>
        </w:rPr>
        <w:t>维保服务要求</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651"/>
        <w:gridCol w:w="2474"/>
        <w:gridCol w:w="3586"/>
      </w:tblGrid>
      <w:tr w14:paraId="1E53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2" w:type="dxa"/>
            <w:shd w:val="clear" w:color="auto" w:fill="D8D8D8" w:themeFill="background1" w:themeFillShade="D9"/>
            <w:vAlign w:val="center"/>
          </w:tcPr>
          <w:p w14:paraId="1F75CDB6">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序号</w:t>
            </w:r>
          </w:p>
        </w:tc>
        <w:tc>
          <w:tcPr>
            <w:tcW w:w="1651" w:type="dxa"/>
            <w:shd w:val="clear" w:color="auto" w:fill="D8D8D8" w:themeFill="background1" w:themeFillShade="D9"/>
            <w:vAlign w:val="center"/>
          </w:tcPr>
          <w:p w14:paraId="05618C99">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运维类别</w:t>
            </w:r>
          </w:p>
        </w:tc>
        <w:tc>
          <w:tcPr>
            <w:tcW w:w="2474" w:type="dxa"/>
            <w:shd w:val="clear" w:color="auto" w:fill="D8D8D8" w:themeFill="background1" w:themeFillShade="D9"/>
            <w:vAlign w:val="center"/>
          </w:tcPr>
          <w:p w14:paraId="0A5B7605">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运维服务内容</w:t>
            </w:r>
          </w:p>
        </w:tc>
        <w:tc>
          <w:tcPr>
            <w:tcW w:w="3586" w:type="dxa"/>
            <w:shd w:val="clear" w:color="auto" w:fill="D8D8D8" w:themeFill="background1" w:themeFillShade="D9"/>
            <w:vAlign w:val="center"/>
          </w:tcPr>
          <w:p w14:paraId="71CB4646">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服务说明</w:t>
            </w:r>
          </w:p>
        </w:tc>
      </w:tr>
      <w:tr w14:paraId="5468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501F1E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w:t>
            </w:r>
          </w:p>
        </w:tc>
        <w:tc>
          <w:tcPr>
            <w:tcW w:w="1651" w:type="dxa"/>
            <w:vAlign w:val="center"/>
          </w:tcPr>
          <w:p w14:paraId="06AA3C22">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系统运行保障</w:t>
            </w:r>
          </w:p>
        </w:tc>
        <w:tc>
          <w:tcPr>
            <w:tcW w:w="2474" w:type="dxa"/>
            <w:vAlign w:val="center"/>
          </w:tcPr>
          <w:p w14:paraId="4BD1989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系统运行状态监控与巡检</w:t>
            </w:r>
          </w:p>
        </w:tc>
        <w:tc>
          <w:tcPr>
            <w:tcW w:w="3586" w:type="dxa"/>
            <w:vAlign w:val="center"/>
          </w:tcPr>
          <w:p w14:paraId="42D7306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对系统服务、核心功能运行状态进行日常检查</w:t>
            </w:r>
          </w:p>
        </w:tc>
      </w:tr>
      <w:tr w14:paraId="0C98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499F4C5">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2</w:t>
            </w:r>
          </w:p>
        </w:tc>
        <w:tc>
          <w:tcPr>
            <w:tcW w:w="1651" w:type="dxa"/>
            <w:vAlign w:val="center"/>
          </w:tcPr>
          <w:p w14:paraId="614FF877">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故障处理</w:t>
            </w:r>
          </w:p>
        </w:tc>
        <w:tc>
          <w:tcPr>
            <w:tcW w:w="2474" w:type="dxa"/>
            <w:vAlign w:val="center"/>
          </w:tcPr>
          <w:p w14:paraId="53FBD15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系统异常、故障分析与处理</w:t>
            </w:r>
          </w:p>
        </w:tc>
        <w:tc>
          <w:tcPr>
            <w:tcW w:w="3586" w:type="dxa"/>
            <w:vAlign w:val="center"/>
          </w:tcPr>
          <w:p w14:paraId="7E9A9D7D">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包含系统无法使用、功能异常等问题</w:t>
            </w:r>
          </w:p>
        </w:tc>
      </w:tr>
      <w:tr w14:paraId="13AB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D4B1AE1">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3</w:t>
            </w:r>
          </w:p>
        </w:tc>
        <w:tc>
          <w:tcPr>
            <w:tcW w:w="1651" w:type="dxa"/>
            <w:vAlign w:val="center"/>
          </w:tcPr>
          <w:p w14:paraId="255313B0">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稳定性保障</w:t>
            </w:r>
          </w:p>
        </w:tc>
        <w:tc>
          <w:tcPr>
            <w:tcW w:w="2474" w:type="dxa"/>
            <w:vAlign w:val="center"/>
          </w:tcPr>
          <w:p w14:paraId="7F271AA1">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系统可用性保障</w:t>
            </w:r>
          </w:p>
        </w:tc>
        <w:tc>
          <w:tcPr>
            <w:tcW w:w="3586" w:type="dxa"/>
            <w:vAlign w:val="center"/>
          </w:tcPr>
          <w:p w14:paraId="1A358E92">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确保系统稳定运行，降低故障发生率</w:t>
            </w:r>
          </w:p>
        </w:tc>
      </w:tr>
      <w:tr w14:paraId="12BD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D1FA6DD">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4</w:t>
            </w:r>
          </w:p>
        </w:tc>
        <w:tc>
          <w:tcPr>
            <w:tcW w:w="1651" w:type="dxa"/>
            <w:vAlign w:val="center"/>
          </w:tcPr>
          <w:p w14:paraId="325125E8">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系统维护</w:t>
            </w:r>
          </w:p>
        </w:tc>
        <w:tc>
          <w:tcPr>
            <w:tcW w:w="2474" w:type="dxa"/>
            <w:vAlign w:val="center"/>
          </w:tcPr>
          <w:p w14:paraId="6E2802E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系统配置维护</w:t>
            </w:r>
          </w:p>
        </w:tc>
        <w:tc>
          <w:tcPr>
            <w:tcW w:w="3586" w:type="dxa"/>
            <w:vAlign w:val="center"/>
          </w:tcPr>
          <w:p w14:paraId="10045F0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参数、规则、流程的配置级维护</w:t>
            </w:r>
          </w:p>
        </w:tc>
      </w:tr>
      <w:tr w14:paraId="43CF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9BE8E07">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5</w:t>
            </w:r>
          </w:p>
        </w:tc>
        <w:tc>
          <w:tcPr>
            <w:tcW w:w="1651" w:type="dxa"/>
            <w:vAlign w:val="center"/>
          </w:tcPr>
          <w:p w14:paraId="3E5B68C0">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日志管理</w:t>
            </w:r>
          </w:p>
        </w:tc>
        <w:tc>
          <w:tcPr>
            <w:tcW w:w="2474" w:type="dxa"/>
            <w:vAlign w:val="center"/>
          </w:tcPr>
          <w:p w14:paraId="53CE6F2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系统日志检查与分析</w:t>
            </w:r>
          </w:p>
        </w:tc>
        <w:tc>
          <w:tcPr>
            <w:tcW w:w="3586" w:type="dxa"/>
            <w:vAlign w:val="center"/>
          </w:tcPr>
          <w:p w14:paraId="318B3077">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用于问题排查与运行分析</w:t>
            </w:r>
          </w:p>
        </w:tc>
      </w:tr>
      <w:tr w14:paraId="0385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CB3DE06">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6</w:t>
            </w:r>
          </w:p>
        </w:tc>
        <w:tc>
          <w:tcPr>
            <w:tcW w:w="1651" w:type="dxa"/>
            <w:vAlign w:val="center"/>
          </w:tcPr>
          <w:p w14:paraId="1B599A3F">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数据库维护</w:t>
            </w:r>
          </w:p>
        </w:tc>
        <w:tc>
          <w:tcPr>
            <w:tcW w:w="2474" w:type="dxa"/>
            <w:vAlign w:val="center"/>
          </w:tcPr>
          <w:p w14:paraId="577F2559">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数据库运行状态检查</w:t>
            </w:r>
          </w:p>
        </w:tc>
        <w:tc>
          <w:tcPr>
            <w:tcW w:w="3586" w:type="dxa"/>
            <w:vAlign w:val="center"/>
          </w:tcPr>
          <w:p w14:paraId="43C8A59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运行状态、容量、基础性能检查</w:t>
            </w:r>
          </w:p>
        </w:tc>
      </w:tr>
      <w:tr w14:paraId="7702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366FBF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7</w:t>
            </w:r>
          </w:p>
        </w:tc>
        <w:tc>
          <w:tcPr>
            <w:tcW w:w="1651" w:type="dxa"/>
            <w:vAlign w:val="center"/>
          </w:tcPr>
          <w:p w14:paraId="10DD3D6D">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性能支持</w:t>
            </w:r>
          </w:p>
        </w:tc>
        <w:tc>
          <w:tcPr>
            <w:tcW w:w="2474" w:type="dxa"/>
            <w:vAlign w:val="center"/>
          </w:tcPr>
          <w:p w14:paraId="128A3A6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常规性能问题排查</w:t>
            </w:r>
          </w:p>
        </w:tc>
        <w:tc>
          <w:tcPr>
            <w:tcW w:w="3586" w:type="dxa"/>
            <w:vAlign w:val="center"/>
          </w:tcPr>
          <w:p w14:paraId="5BEEE63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日常性能隐患分析与建议</w:t>
            </w:r>
          </w:p>
        </w:tc>
      </w:tr>
      <w:tr w14:paraId="2852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1BED47B">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8</w:t>
            </w:r>
          </w:p>
        </w:tc>
        <w:tc>
          <w:tcPr>
            <w:tcW w:w="1651" w:type="dxa"/>
            <w:vAlign w:val="center"/>
          </w:tcPr>
          <w:p w14:paraId="50EA373E">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安全管理</w:t>
            </w:r>
          </w:p>
        </w:tc>
        <w:tc>
          <w:tcPr>
            <w:tcW w:w="2474" w:type="dxa"/>
            <w:vAlign w:val="center"/>
          </w:tcPr>
          <w:p w14:paraId="4456271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系统安全检查</w:t>
            </w:r>
          </w:p>
        </w:tc>
        <w:tc>
          <w:tcPr>
            <w:tcW w:w="3586" w:type="dxa"/>
            <w:vAlign w:val="center"/>
          </w:tcPr>
          <w:p w14:paraId="38261723">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安全隐患排查与修复建议</w:t>
            </w:r>
          </w:p>
        </w:tc>
      </w:tr>
      <w:tr w14:paraId="2C09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DB7C54C">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9</w:t>
            </w:r>
          </w:p>
        </w:tc>
        <w:tc>
          <w:tcPr>
            <w:tcW w:w="1651" w:type="dxa"/>
            <w:vAlign w:val="center"/>
          </w:tcPr>
          <w:p w14:paraId="0E18FBA2">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权限管理</w:t>
            </w:r>
          </w:p>
        </w:tc>
        <w:tc>
          <w:tcPr>
            <w:tcW w:w="2474" w:type="dxa"/>
            <w:vAlign w:val="center"/>
          </w:tcPr>
          <w:p w14:paraId="6F7A359D">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用户、角色、权限维护</w:t>
            </w:r>
          </w:p>
        </w:tc>
        <w:tc>
          <w:tcPr>
            <w:tcW w:w="3586" w:type="dxa"/>
            <w:vAlign w:val="center"/>
          </w:tcPr>
          <w:p w14:paraId="3E67B7FA">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账号新增、权限调整</w:t>
            </w:r>
          </w:p>
        </w:tc>
      </w:tr>
      <w:tr w14:paraId="768D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0FECB3D">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10</w:t>
            </w:r>
          </w:p>
        </w:tc>
        <w:tc>
          <w:tcPr>
            <w:tcW w:w="1651" w:type="dxa"/>
            <w:vAlign w:val="center"/>
          </w:tcPr>
          <w:p w14:paraId="19C7A493">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数据保障</w:t>
            </w:r>
          </w:p>
        </w:tc>
        <w:tc>
          <w:tcPr>
            <w:tcW w:w="2474" w:type="dxa"/>
            <w:vAlign w:val="center"/>
          </w:tcPr>
          <w:p w14:paraId="1B0164D6">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数据备份与恢复支持</w:t>
            </w:r>
          </w:p>
        </w:tc>
        <w:tc>
          <w:tcPr>
            <w:tcW w:w="3586" w:type="dxa"/>
            <w:vAlign w:val="center"/>
          </w:tcPr>
          <w:p w14:paraId="1F861985">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配合数据备份检查及恢复验证</w:t>
            </w:r>
          </w:p>
        </w:tc>
      </w:tr>
      <w:tr w14:paraId="5E20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89E5968">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11</w:t>
            </w:r>
          </w:p>
        </w:tc>
        <w:tc>
          <w:tcPr>
            <w:tcW w:w="1651" w:type="dxa"/>
            <w:vAlign w:val="center"/>
          </w:tcPr>
          <w:p w14:paraId="2DD8BA95">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版本管理</w:t>
            </w:r>
          </w:p>
        </w:tc>
        <w:tc>
          <w:tcPr>
            <w:tcW w:w="2474" w:type="dxa"/>
            <w:vAlign w:val="center"/>
          </w:tcPr>
          <w:p w14:paraId="6E7AAAC3">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标准版本支持</w:t>
            </w:r>
          </w:p>
        </w:tc>
        <w:tc>
          <w:tcPr>
            <w:tcW w:w="3586" w:type="dxa"/>
            <w:vAlign w:val="center"/>
          </w:tcPr>
          <w:p w14:paraId="72F5E35D">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标准功能、补丁部署</w:t>
            </w:r>
          </w:p>
        </w:tc>
      </w:tr>
      <w:tr w14:paraId="53F2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89AF202">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12</w:t>
            </w:r>
          </w:p>
        </w:tc>
        <w:tc>
          <w:tcPr>
            <w:tcW w:w="1651" w:type="dxa"/>
            <w:vAlign w:val="center"/>
          </w:tcPr>
          <w:p w14:paraId="0B430481">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环境维护</w:t>
            </w:r>
          </w:p>
        </w:tc>
        <w:tc>
          <w:tcPr>
            <w:tcW w:w="2474" w:type="dxa"/>
            <w:vAlign w:val="center"/>
          </w:tcPr>
          <w:p w14:paraId="2510912C">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运行环境维护支持</w:t>
            </w:r>
          </w:p>
        </w:tc>
        <w:tc>
          <w:tcPr>
            <w:tcW w:w="3586" w:type="dxa"/>
            <w:vAlign w:val="center"/>
          </w:tcPr>
          <w:p w14:paraId="079E035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测试/生产环境运行支持</w:t>
            </w:r>
          </w:p>
        </w:tc>
      </w:tr>
      <w:tr w14:paraId="182F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537B9AC">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13</w:t>
            </w:r>
          </w:p>
        </w:tc>
        <w:tc>
          <w:tcPr>
            <w:tcW w:w="1651" w:type="dxa"/>
            <w:vAlign w:val="center"/>
          </w:tcPr>
          <w:p w14:paraId="15DAB34F">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技术支持</w:t>
            </w:r>
          </w:p>
        </w:tc>
        <w:tc>
          <w:tcPr>
            <w:tcW w:w="2474" w:type="dxa"/>
            <w:vAlign w:val="center"/>
          </w:tcPr>
          <w:p w14:paraId="021D9D8B">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运维问题受理</w:t>
            </w:r>
          </w:p>
        </w:tc>
        <w:tc>
          <w:tcPr>
            <w:tcW w:w="3586" w:type="dxa"/>
            <w:vAlign w:val="center"/>
          </w:tcPr>
          <w:p w14:paraId="453187AE">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工单、电话、远程支持</w:t>
            </w:r>
          </w:p>
        </w:tc>
      </w:tr>
      <w:tr w14:paraId="45A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E7301F0">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14</w:t>
            </w:r>
          </w:p>
        </w:tc>
        <w:tc>
          <w:tcPr>
            <w:tcW w:w="1651" w:type="dxa"/>
            <w:vAlign w:val="center"/>
          </w:tcPr>
          <w:p w14:paraId="7D1E379D">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使用指导</w:t>
            </w:r>
          </w:p>
        </w:tc>
        <w:tc>
          <w:tcPr>
            <w:tcW w:w="2474" w:type="dxa"/>
            <w:vAlign w:val="center"/>
          </w:tcPr>
          <w:p w14:paraId="0B4883AA">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系统操作与使用咨询</w:t>
            </w:r>
          </w:p>
        </w:tc>
        <w:tc>
          <w:tcPr>
            <w:tcW w:w="3586" w:type="dxa"/>
            <w:vAlign w:val="center"/>
          </w:tcPr>
          <w:p w14:paraId="77EFCD86">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使用问题解答、指导</w:t>
            </w:r>
          </w:p>
        </w:tc>
      </w:tr>
      <w:tr w14:paraId="2028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3D53694">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15</w:t>
            </w:r>
          </w:p>
        </w:tc>
        <w:tc>
          <w:tcPr>
            <w:tcW w:w="1651" w:type="dxa"/>
            <w:vAlign w:val="center"/>
          </w:tcPr>
          <w:p w14:paraId="259B89A9">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运维汇总</w:t>
            </w:r>
          </w:p>
        </w:tc>
        <w:tc>
          <w:tcPr>
            <w:tcW w:w="2474" w:type="dxa"/>
            <w:vAlign w:val="center"/>
          </w:tcPr>
          <w:p w14:paraId="5AFCCD38">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运维情况反馈</w:t>
            </w:r>
          </w:p>
        </w:tc>
        <w:tc>
          <w:tcPr>
            <w:tcW w:w="3586" w:type="dxa"/>
            <w:vAlign w:val="center"/>
          </w:tcPr>
          <w:p w14:paraId="2F59B95B">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定期提供运维总结与建议</w:t>
            </w:r>
          </w:p>
        </w:tc>
      </w:tr>
      <w:tr w14:paraId="4130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48E129B">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16</w:t>
            </w:r>
          </w:p>
        </w:tc>
        <w:tc>
          <w:tcPr>
            <w:tcW w:w="1651" w:type="dxa"/>
            <w:vAlign w:val="center"/>
          </w:tcPr>
          <w:p w14:paraId="696C9D65">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系统缺陷</w:t>
            </w:r>
          </w:p>
        </w:tc>
        <w:tc>
          <w:tcPr>
            <w:tcW w:w="2474" w:type="dxa"/>
            <w:vAlign w:val="center"/>
          </w:tcPr>
          <w:p w14:paraId="06DF2AC6">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系统 BUG 修复</w:t>
            </w:r>
          </w:p>
        </w:tc>
        <w:tc>
          <w:tcPr>
            <w:tcW w:w="3586" w:type="dxa"/>
            <w:vAlign w:val="center"/>
          </w:tcPr>
          <w:p w14:paraId="3A78A3CE">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发现的系统缺陷修复</w:t>
            </w:r>
          </w:p>
        </w:tc>
      </w:tr>
      <w:tr w14:paraId="025F5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B1A4C0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17</w:t>
            </w:r>
          </w:p>
        </w:tc>
        <w:tc>
          <w:tcPr>
            <w:tcW w:w="1651" w:type="dxa"/>
            <w:vAlign w:val="center"/>
          </w:tcPr>
          <w:p w14:paraId="0AE3A920">
            <w:pPr>
              <w:snapToGrid w:val="0"/>
              <w:spacing w:line="240" w:lineRule="auto"/>
              <w:jc w:val="center"/>
              <w:rPr>
                <w:rFonts w:hint="eastAsia" w:ascii="Times New Roman" w:hAnsi="Times New Roman"/>
                <w:color w:val="auto"/>
                <w:sz w:val="21"/>
                <w:szCs w:val="24"/>
              </w:rPr>
            </w:pPr>
            <w:r>
              <w:rPr>
                <w:rFonts w:hint="eastAsia" w:ascii="Times New Roman" w:hAnsi="Times New Roman"/>
                <w:color w:val="auto"/>
                <w:sz w:val="21"/>
                <w:szCs w:val="24"/>
              </w:rPr>
              <w:t>文档支持</w:t>
            </w:r>
          </w:p>
        </w:tc>
        <w:tc>
          <w:tcPr>
            <w:tcW w:w="2474" w:type="dxa"/>
            <w:vAlign w:val="center"/>
          </w:tcPr>
          <w:p w14:paraId="5ADBD869">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运维相关说明支持</w:t>
            </w:r>
          </w:p>
        </w:tc>
        <w:tc>
          <w:tcPr>
            <w:tcW w:w="3586" w:type="dxa"/>
            <w:vAlign w:val="center"/>
          </w:tcPr>
          <w:p w14:paraId="3F0A1F4B">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配合提供系统运维说明</w:t>
            </w:r>
          </w:p>
        </w:tc>
      </w:tr>
      <w:tr w14:paraId="632E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94654B9">
            <w:pPr>
              <w:snapToGrid w:val="0"/>
              <w:spacing w:line="240" w:lineRule="auto"/>
              <w:jc w:val="center"/>
              <w:rPr>
                <w:rFonts w:hint="eastAsia" w:ascii="Times New Roman" w:hAnsi="Times New Roman" w:eastAsia="宋体"/>
                <w:b w:val="0"/>
                <w:bCs w:val="0"/>
                <w:color w:val="auto"/>
                <w:sz w:val="21"/>
                <w:szCs w:val="24"/>
                <w:lang w:val="en-US" w:eastAsia="zh-CN"/>
              </w:rPr>
            </w:pPr>
            <w:r>
              <w:rPr>
                <w:rFonts w:hint="eastAsia" w:ascii="Times New Roman" w:hAnsi="Times New Roman"/>
                <w:b w:val="0"/>
                <w:bCs w:val="0"/>
                <w:color w:val="auto"/>
                <w:sz w:val="21"/>
                <w:szCs w:val="24"/>
                <w:lang w:val="en-US" w:eastAsia="zh-CN"/>
              </w:rPr>
              <w:t>18</w:t>
            </w:r>
          </w:p>
        </w:tc>
        <w:tc>
          <w:tcPr>
            <w:tcW w:w="1651" w:type="dxa"/>
            <w:vAlign w:val="center"/>
          </w:tcPr>
          <w:p w14:paraId="49A06178">
            <w:pPr>
              <w:snapToGrid w:val="0"/>
              <w:spacing w:line="240" w:lineRule="auto"/>
              <w:jc w:val="center"/>
              <w:rPr>
                <w:rFonts w:hint="eastAsia" w:ascii="Times New Roman" w:hAnsi="Times New Roman"/>
                <w:color w:val="auto"/>
                <w:sz w:val="21"/>
                <w:szCs w:val="24"/>
              </w:rPr>
            </w:pPr>
            <w:r>
              <w:rPr>
                <w:rFonts w:hint="eastAsia" w:ascii="Times New Roman" w:hAnsi="Times New Roman" w:cs="Times New Roman"/>
                <w:color w:val="auto"/>
                <w:szCs w:val="24"/>
              </w:rPr>
              <w:t>接口</w:t>
            </w:r>
            <w:r>
              <w:rPr>
                <w:rFonts w:hint="eastAsia" w:cs="Times New Roman"/>
                <w:color w:val="auto"/>
                <w:szCs w:val="24"/>
                <w:lang w:val="en-US" w:eastAsia="zh-CN"/>
              </w:rPr>
              <w:t>运维</w:t>
            </w:r>
          </w:p>
        </w:tc>
        <w:tc>
          <w:tcPr>
            <w:tcW w:w="2474" w:type="dxa"/>
            <w:vAlign w:val="center"/>
          </w:tcPr>
          <w:p w14:paraId="19BBD4A1">
            <w:pPr>
              <w:snapToGrid w:val="0"/>
              <w:spacing w:line="240" w:lineRule="auto"/>
              <w:jc w:val="left"/>
              <w:rPr>
                <w:rFonts w:hint="eastAsia" w:ascii="Times New Roman" w:hAnsi="Times New Roman"/>
                <w:color w:val="auto"/>
                <w:sz w:val="21"/>
                <w:szCs w:val="24"/>
              </w:rPr>
            </w:pPr>
            <w:r>
              <w:rPr>
                <w:rFonts w:hint="eastAsia" w:ascii="Times New Roman" w:hAnsi="Times New Roman" w:cs="Times New Roman"/>
                <w:color w:val="auto"/>
                <w:szCs w:val="24"/>
              </w:rPr>
              <w:t>对系统接口进行检测</w:t>
            </w:r>
          </w:p>
        </w:tc>
        <w:tc>
          <w:tcPr>
            <w:tcW w:w="3586" w:type="dxa"/>
            <w:vAlign w:val="center"/>
          </w:tcPr>
          <w:p w14:paraId="646B196F">
            <w:pPr>
              <w:snapToGrid w:val="0"/>
              <w:spacing w:line="240" w:lineRule="auto"/>
              <w:jc w:val="left"/>
              <w:rPr>
                <w:rFonts w:hint="eastAsia" w:ascii="Times New Roman" w:hAnsi="Times New Roman"/>
                <w:color w:val="auto"/>
                <w:sz w:val="21"/>
                <w:szCs w:val="24"/>
              </w:rPr>
            </w:pPr>
            <w:r>
              <w:rPr>
                <w:rFonts w:hint="eastAsia" w:ascii="Times New Roman" w:hAnsi="Times New Roman" w:cs="Times New Roman"/>
                <w:color w:val="auto"/>
                <w:szCs w:val="24"/>
              </w:rPr>
              <w:t>提出优化系统性能方案</w:t>
            </w:r>
          </w:p>
        </w:tc>
      </w:tr>
    </w:tbl>
    <w:p w14:paraId="5C90BB08">
      <w:pPr>
        <w:pStyle w:val="32"/>
        <w:numPr>
          <w:ilvl w:val="0"/>
          <w:numId w:val="3"/>
        </w:numPr>
        <w:spacing w:after="160" w:line="440" w:lineRule="exact"/>
        <w:ind w:firstLineChars="0"/>
        <w:outlineLvl w:val="1"/>
        <w:rPr>
          <w:rFonts w:hint="eastAsia" w:ascii="宋体" w:hAnsi="宋体" w:cs="宋体"/>
          <w:b/>
          <w:color w:val="auto"/>
          <w:szCs w:val="21"/>
        </w:rPr>
      </w:pPr>
      <w:r>
        <w:rPr>
          <w:rFonts w:hint="eastAsia" w:ascii="宋体" w:hAnsi="宋体" w:cs="宋体"/>
          <w:b/>
          <w:color w:val="auto"/>
          <w:szCs w:val="21"/>
          <w:lang w:val="en-US" w:eastAsia="zh-CN"/>
        </w:rPr>
        <w:t>优化需求</w:t>
      </w:r>
      <w:r>
        <w:rPr>
          <w:rFonts w:hint="eastAsia" w:ascii="宋体" w:hAnsi="宋体" w:cs="宋体"/>
          <w:b/>
          <w:color w:val="auto"/>
          <w:szCs w:val="21"/>
        </w:rPr>
        <w:t>要求</w:t>
      </w:r>
    </w:p>
    <w:p w14:paraId="20C95E31">
      <w:pPr>
        <w:rPr>
          <w:color w:val="auto"/>
        </w:rPr>
      </w:pP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651"/>
        <w:gridCol w:w="2474"/>
        <w:gridCol w:w="3586"/>
      </w:tblGrid>
      <w:tr w14:paraId="4AD5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1" w:type="dxa"/>
            <w:shd w:val="clear" w:color="auto" w:fill="D8D8D8" w:themeFill="background1" w:themeFillShade="D9"/>
            <w:vAlign w:val="center"/>
          </w:tcPr>
          <w:p w14:paraId="3E819725">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rPr>
              <w:t>序号</w:t>
            </w:r>
          </w:p>
        </w:tc>
        <w:tc>
          <w:tcPr>
            <w:tcW w:w="1651" w:type="dxa"/>
            <w:shd w:val="clear" w:color="auto" w:fill="D8D8D8" w:themeFill="background1" w:themeFillShade="D9"/>
            <w:vAlign w:val="center"/>
          </w:tcPr>
          <w:p w14:paraId="2A546362">
            <w:pPr>
              <w:snapToGrid w:val="0"/>
              <w:spacing w:line="240" w:lineRule="auto"/>
              <w:ind w:left="0" w:leftChars="0" w:right="0" w:rightChars="0" w:firstLine="0" w:firstLineChars="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需求类型</w:t>
            </w:r>
          </w:p>
        </w:tc>
        <w:tc>
          <w:tcPr>
            <w:tcW w:w="2474" w:type="dxa"/>
            <w:shd w:val="clear" w:color="auto" w:fill="D8D8D8" w:themeFill="background1" w:themeFillShade="D9"/>
            <w:vAlign w:val="center"/>
          </w:tcPr>
          <w:p w14:paraId="18644494">
            <w:pPr>
              <w:snapToGrid w:val="0"/>
              <w:spacing w:line="240" w:lineRule="auto"/>
              <w:ind w:left="0" w:leftChars="0" w:right="0" w:rightChars="0" w:firstLine="0" w:firstLineChars="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需求功能</w:t>
            </w:r>
          </w:p>
        </w:tc>
        <w:tc>
          <w:tcPr>
            <w:tcW w:w="3586" w:type="dxa"/>
            <w:shd w:val="clear" w:color="auto" w:fill="D8D8D8" w:themeFill="background1" w:themeFillShade="D9"/>
            <w:vAlign w:val="center"/>
          </w:tcPr>
          <w:p w14:paraId="5F7A2625">
            <w:pPr>
              <w:snapToGrid w:val="0"/>
              <w:spacing w:line="240" w:lineRule="auto"/>
              <w:ind w:left="0" w:leftChars="0" w:right="0" w:rightChars="0" w:firstLine="0" w:firstLineChars="0"/>
              <w:jc w:val="center"/>
              <w:rPr>
                <w:rFonts w:hint="eastAsia" w:ascii="宋体" w:hAnsi="宋体" w:cs="宋体"/>
                <w:b/>
                <w:bCs/>
                <w:color w:val="auto"/>
                <w:szCs w:val="21"/>
              </w:rPr>
            </w:pPr>
            <w:r>
              <w:rPr>
                <w:rFonts w:hint="eastAsia" w:ascii="宋体" w:hAnsi="宋体" w:cs="宋体"/>
                <w:b/>
                <w:bCs/>
                <w:color w:val="auto"/>
                <w:szCs w:val="21"/>
                <w:lang w:val="en-US" w:eastAsia="zh-CN"/>
              </w:rPr>
              <w:t>需求</w:t>
            </w:r>
            <w:r>
              <w:rPr>
                <w:rFonts w:hint="eastAsia" w:ascii="宋体" w:hAnsi="宋体" w:cs="宋体"/>
                <w:b/>
                <w:bCs/>
                <w:color w:val="auto"/>
                <w:szCs w:val="21"/>
              </w:rPr>
              <w:t>说明</w:t>
            </w:r>
          </w:p>
        </w:tc>
      </w:tr>
      <w:tr w14:paraId="08FF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31DB7527">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1</w:t>
            </w:r>
          </w:p>
        </w:tc>
        <w:tc>
          <w:tcPr>
            <w:tcW w:w="1651" w:type="dxa"/>
            <w:vAlign w:val="center"/>
          </w:tcPr>
          <w:p w14:paraId="04AEAFC3">
            <w:pPr>
              <w:snapToGrid w:val="0"/>
              <w:spacing w:line="240" w:lineRule="auto"/>
              <w:jc w:val="center"/>
              <w:rPr>
                <w:rFonts w:hint="default" w:ascii="Times New Roman" w:hAnsi="Times New Roman" w:eastAsia="宋体"/>
                <w:color w:val="auto"/>
                <w:sz w:val="21"/>
                <w:szCs w:val="24"/>
                <w:lang w:val="en-US" w:eastAsia="zh-CN"/>
              </w:rPr>
            </w:pPr>
            <w:r>
              <w:rPr>
                <w:rFonts w:hint="eastAsia"/>
                <w:color w:val="auto"/>
                <w:sz w:val="21"/>
                <w:szCs w:val="24"/>
                <w:lang w:val="en-US" w:eastAsia="zh-CN"/>
              </w:rPr>
              <w:t>效率提升</w:t>
            </w:r>
          </w:p>
        </w:tc>
        <w:tc>
          <w:tcPr>
            <w:tcW w:w="2474" w:type="dxa"/>
            <w:vAlign w:val="center"/>
          </w:tcPr>
          <w:p w14:paraId="4896B87E">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验收单搜索条件新增采购单来源筛选功能。</w:t>
            </w:r>
          </w:p>
        </w:tc>
        <w:tc>
          <w:tcPr>
            <w:tcW w:w="3586" w:type="dxa"/>
            <w:vAlign w:val="center"/>
          </w:tcPr>
          <w:p w14:paraId="77BE094F">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在验收单页面现有搜索条件区域，新增采购单来源筛选项，支持通过采购单号精准检索对应验收单据，输入采购单号后可快速匹配出由该采购单生成的全部验收单数据，实现单据上下游关联查询。</w:t>
            </w:r>
          </w:p>
        </w:tc>
      </w:tr>
      <w:tr w14:paraId="0369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4CACACA8">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2</w:t>
            </w:r>
          </w:p>
        </w:tc>
        <w:tc>
          <w:tcPr>
            <w:tcW w:w="1651" w:type="dxa"/>
            <w:vAlign w:val="center"/>
          </w:tcPr>
          <w:p w14:paraId="0AAA7CF8">
            <w:pPr>
              <w:snapToGrid w:val="0"/>
              <w:spacing w:line="240" w:lineRule="auto"/>
              <w:jc w:val="center"/>
              <w:rPr>
                <w:rFonts w:hint="eastAsia" w:ascii="Times New Roman" w:hAnsi="Times New Roman"/>
                <w:color w:val="auto"/>
                <w:sz w:val="21"/>
                <w:szCs w:val="24"/>
              </w:rPr>
            </w:pPr>
            <w:r>
              <w:rPr>
                <w:rFonts w:hint="eastAsia"/>
                <w:color w:val="auto"/>
                <w:sz w:val="21"/>
                <w:szCs w:val="24"/>
                <w:lang w:val="en-US" w:eastAsia="zh-CN"/>
              </w:rPr>
              <w:t>效率提升</w:t>
            </w:r>
          </w:p>
        </w:tc>
        <w:tc>
          <w:tcPr>
            <w:tcW w:w="2474" w:type="dxa"/>
            <w:vAlign w:val="center"/>
          </w:tcPr>
          <w:p w14:paraId="0314E4DD">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线下验收页面的验收人输入框，新增字母检索功能。</w:t>
            </w:r>
          </w:p>
        </w:tc>
        <w:tc>
          <w:tcPr>
            <w:tcW w:w="3586" w:type="dxa"/>
            <w:vAlign w:val="center"/>
          </w:tcPr>
          <w:p w14:paraId="36928483">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在线下验收页面的验收人选择输入框中，增加首字母快速检索能力。输入人员姓名拼音首字母，快速定位人员，优化人员选择操作效率。</w:t>
            </w:r>
          </w:p>
        </w:tc>
      </w:tr>
      <w:tr w14:paraId="325B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4B85DF3F">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3</w:t>
            </w:r>
          </w:p>
        </w:tc>
        <w:tc>
          <w:tcPr>
            <w:tcW w:w="1651" w:type="dxa"/>
            <w:vAlign w:val="center"/>
          </w:tcPr>
          <w:p w14:paraId="4CCE8AC1">
            <w:pPr>
              <w:snapToGrid w:val="0"/>
              <w:spacing w:line="240" w:lineRule="auto"/>
              <w:jc w:val="center"/>
              <w:rPr>
                <w:rFonts w:hint="default" w:ascii="Times New Roman" w:hAnsi="Times New Roman" w:eastAsia="宋体"/>
                <w:color w:val="auto"/>
                <w:sz w:val="21"/>
                <w:szCs w:val="24"/>
                <w:lang w:val="en-US" w:eastAsia="zh-CN"/>
              </w:rPr>
            </w:pPr>
            <w:r>
              <w:rPr>
                <w:rFonts w:hint="eastAsia"/>
                <w:color w:val="auto"/>
                <w:sz w:val="21"/>
                <w:szCs w:val="24"/>
                <w:lang w:val="en-US" w:eastAsia="zh-CN"/>
              </w:rPr>
              <w:t>优化需求</w:t>
            </w:r>
          </w:p>
        </w:tc>
        <w:tc>
          <w:tcPr>
            <w:tcW w:w="2474" w:type="dxa"/>
            <w:vAlign w:val="center"/>
          </w:tcPr>
          <w:p w14:paraId="6AEFA32C">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线下验收单据禁止重复补录采购单功能。</w:t>
            </w:r>
          </w:p>
        </w:tc>
        <w:tc>
          <w:tcPr>
            <w:tcW w:w="3586" w:type="dxa"/>
            <w:vAlign w:val="center"/>
          </w:tcPr>
          <w:p w14:paraId="058184B1">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针对线下验收单据，增加控制逻辑：同一张线下验收单据不支持重复新增、补充采购单信息，避免一单多条采购单关联造成数据错乱。</w:t>
            </w:r>
          </w:p>
        </w:tc>
      </w:tr>
      <w:tr w14:paraId="3755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0DE1DEBD">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4</w:t>
            </w:r>
          </w:p>
        </w:tc>
        <w:tc>
          <w:tcPr>
            <w:tcW w:w="1651" w:type="dxa"/>
            <w:vAlign w:val="center"/>
          </w:tcPr>
          <w:p w14:paraId="5D34F409">
            <w:pPr>
              <w:snapToGrid w:val="0"/>
              <w:spacing w:line="240" w:lineRule="auto"/>
              <w:jc w:val="center"/>
              <w:rPr>
                <w:rFonts w:hint="eastAsia" w:ascii="Times New Roman" w:hAnsi="Times New Roman"/>
                <w:color w:val="auto"/>
                <w:sz w:val="21"/>
                <w:szCs w:val="24"/>
              </w:rPr>
            </w:pPr>
            <w:r>
              <w:rPr>
                <w:rFonts w:hint="eastAsia"/>
                <w:color w:val="auto"/>
                <w:sz w:val="21"/>
                <w:szCs w:val="24"/>
                <w:lang w:val="en-US" w:eastAsia="zh-CN"/>
              </w:rPr>
              <w:t>优化需求</w:t>
            </w:r>
          </w:p>
        </w:tc>
        <w:tc>
          <w:tcPr>
            <w:tcW w:w="2474" w:type="dxa"/>
            <w:vAlign w:val="center"/>
          </w:tcPr>
          <w:p w14:paraId="213C8A92">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已审核通过的验收单据，科研小组不可直接作废释放经费；单据需审核后方可执行取消操作，操作全程保留操作痕迹功能。</w:t>
            </w:r>
          </w:p>
        </w:tc>
        <w:tc>
          <w:tcPr>
            <w:tcW w:w="3586" w:type="dxa"/>
            <w:vAlign w:val="center"/>
          </w:tcPr>
          <w:p w14:paraId="5BA56744">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rPr>
              <w:t>针对审核完成、状态为审核通过的验收单据，限制科研小组直接执行取消操作；如需取消单据，必须</w:t>
            </w:r>
            <w:r>
              <w:rPr>
                <w:rFonts w:hint="eastAsia"/>
                <w:color w:val="auto"/>
                <w:sz w:val="21"/>
                <w:szCs w:val="24"/>
                <w:lang w:val="en-US" w:eastAsia="zh-CN"/>
              </w:rPr>
              <w:t>审核</w:t>
            </w:r>
            <w:r>
              <w:rPr>
                <w:rFonts w:hint="eastAsia" w:ascii="Times New Roman" w:hAnsi="Times New Roman"/>
                <w:color w:val="auto"/>
                <w:sz w:val="21"/>
                <w:szCs w:val="24"/>
              </w:rPr>
              <w:t>后才可发起取消</w:t>
            </w:r>
            <w:r>
              <w:rPr>
                <w:rFonts w:hint="eastAsia"/>
                <w:color w:val="auto"/>
                <w:sz w:val="21"/>
                <w:szCs w:val="24"/>
                <w:lang w:val="en-US" w:eastAsia="zh-CN"/>
              </w:rPr>
              <w:t>并释放经费</w:t>
            </w:r>
            <w:r>
              <w:rPr>
                <w:rFonts w:hint="eastAsia" w:ascii="Times New Roman" w:hAnsi="Times New Roman"/>
                <w:color w:val="auto"/>
                <w:sz w:val="21"/>
                <w:szCs w:val="24"/>
              </w:rPr>
              <w:t>操作，自动记录留存痕迹。</w:t>
            </w:r>
          </w:p>
        </w:tc>
      </w:tr>
      <w:tr w14:paraId="368A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dxa"/>
            <w:vAlign w:val="center"/>
          </w:tcPr>
          <w:p w14:paraId="6E1BFE69">
            <w:pPr>
              <w:snapToGrid w:val="0"/>
              <w:spacing w:line="240" w:lineRule="auto"/>
              <w:jc w:val="center"/>
              <w:rPr>
                <w:rFonts w:hint="eastAsia" w:ascii="Times New Roman" w:hAnsi="Times New Roman"/>
                <w:b w:val="0"/>
                <w:bCs w:val="0"/>
                <w:color w:val="auto"/>
                <w:sz w:val="21"/>
                <w:szCs w:val="24"/>
              </w:rPr>
            </w:pPr>
            <w:r>
              <w:rPr>
                <w:rFonts w:hint="eastAsia" w:ascii="Times New Roman" w:hAnsi="Times New Roman"/>
                <w:b w:val="0"/>
                <w:bCs w:val="0"/>
                <w:color w:val="auto"/>
                <w:sz w:val="21"/>
                <w:szCs w:val="24"/>
              </w:rPr>
              <w:t>5</w:t>
            </w:r>
          </w:p>
        </w:tc>
        <w:tc>
          <w:tcPr>
            <w:tcW w:w="1651" w:type="dxa"/>
            <w:vAlign w:val="center"/>
          </w:tcPr>
          <w:p w14:paraId="7A6C8EB6">
            <w:pPr>
              <w:snapToGrid w:val="0"/>
              <w:spacing w:line="240" w:lineRule="auto"/>
              <w:jc w:val="center"/>
              <w:rPr>
                <w:rFonts w:hint="eastAsia" w:ascii="Times New Roman" w:hAnsi="Times New Roman"/>
                <w:color w:val="auto"/>
                <w:sz w:val="21"/>
                <w:szCs w:val="24"/>
              </w:rPr>
            </w:pPr>
            <w:r>
              <w:rPr>
                <w:rFonts w:hint="eastAsia"/>
                <w:color w:val="auto"/>
                <w:sz w:val="21"/>
                <w:szCs w:val="24"/>
                <w:lang w:val="en-US" w:eastAsia="zh-CN"/>
              </w:rPr>
              <w:t>优化需求</w:t>
            </w:r>
          </w:p>
        </w:tc>
        <w:tc>
          <w:tcPr>
            <w:tcW w:w="2474" w:type="dxa"/>
            <w:vAlign w:val="center"/>
          </w:tcPr>
          <w:p w14:paraId="3DC920CA">
            <w:pPr>
              <w:snapToGrid w:val="0"/>
              <w:spacing w:line="240" w:lineRule="auto"/>
              <w:jc w:val="left"/>
              <w:rPr>
                <w:rFonts w:hint="eastAsia"/>
                <w:color w:val="auto"/>
                <w:sz w:val="21"/>
                <w:szCs w:val="24"/>
                <w:lang w:val="en-US" w:eastAsia="zh-CN"/>
              </w:rPr>
            </w:pPr>
            <w:r>
              <w:rPr>
                <w:rFonts w:hint="eastAsia"/>
                <w:color w:val="auto"/>
                <w:sz w:val="21"/>
                <w:szCs w:val="24"/>
                <w:lang w:val="en-US" w:eastAsia="zh-CN"/>
              </w:rPr>
              <w:t>增加出入库明细、出入库汇总报表功能，支持关联相关预算项目等字段方便实时查询。</w:t>
            </w:r>
          </w:p>
        </w:tc>
        <w:tc>
          <w:tcPr>
            <w:tcW w:w="3586" w:type="dxa"/>
            <w:vAlign w:val="center"/>
          </w:tcPr>
          <w:p w14:paraId="64B5DCB9">
            <w:pPr>
              <w:snapToGrid w:val="0"/>
              <w:spacing w:line="240" w:lineRule="auto"/>
              <w:jc w:val="left"/>
              <w:rPr>
                <w:rFonts w:hint="eastAsia" w:ascii="Times New Roman" w:hAnsi="Times New Roman"/>
                <w:color w:val="auto"/>
                <w:sz w:val="21"/>
                <w:szCs w:val="24"/>
              </w:rPr>
            </w:pPr>
            <w:r>
              <w:rPr>
                <w:rFonts w:hint="eastAsia" w:ascii="Times New Roman" w:hAnsi="Times New Roman"/>
                <w:color w:val="auto"/>
                <w:sz w:val="21"/>
                <w:szCs w:val="24"/>
                <w:lang w:val="en-US" w:eastAsia="zh-CN"/>
              </w:rPr>
              <w:t>系统新增</w:t>
            </w:r>
            <w:r>
              <w:rPr>
                <w:rFonts w:hint="eastAsia"/>
                <w:color w:val="auto"/>
                <w:sz w:val="21"/>
                <w:szCs w:val="24"/>
                <w:lang w:val="en-US" w:eastAsia="zh-CN"/>
              </w:rPr>
              <w:t>出</w:t>
            </w:r>
            <w:r>
              <w:rPr>
                <w:rFonts w:hint="eastAsia" w:ascii="Times New Roman" w:hAnsi="Times New Roman"/>
                <w:color w:val="auto"/>
                <w:sz w:val="21"/>
                <w:szCs w:val="24"/>
                <w:lang w:val="en-US" w:eastAsia="zh-CN"/>
              </w:rPr>
              <w:t>入库明细报表，</w:t>
            </w:r>
            <w:r>
              <w:rPr>
                <w:rFonts w:hint="eastAsia"/>
                <w:color w:val="auto"/>
                <w:sz w:val="21"/>
                <w:szCs w:val="24"/>
                <w:lang w:val="en-US" w:eastAsia="zh-CN"/>
              </w:rPr>
              <w:t>出入库汇总报表，</w:t>
            </w:r>
            <w:r>
              <w:rPr>
                <w:rFonts w:hint="eastAsia" w:ascii="Times New Roman" w:hAnsi="Times New Roman"/>
                <w:color w:val="auto"/>
                <w:sz w:val="21"/>
                <w:szCs w:val="24"/>
                <w:lang w:val="en-US" w:eastAsia="zh-CN"/>
              </w:rPr>
              <w:t>报表数据关联展示预算项目等相关核心字段，支持数据实时查询、筛选与查看，完整展示单据与对应预算项目的关联关系。</w:t>
            </w:r>
          </w:p>
        </w:tc>
      </w:tr>
    </w:tbl>
    <w:p w14:paraId="7DBE4D46">
      <w:pPr>
        <w:pStyle w:val="32"/>
        <w:numPr>
          <w:ilvl w:val="0"/>
          <w:numId w:val="3"/>
        </w:numPr>
        <w:spacing w:after="160" w:line="440" w:lineRule="exact"/>
        <w:ind w:firstLineChars="0"/>
        <w:outlineLvl w:val="1"/>
        <w:rPr>
          <w:rFonts w:hint="eastAsia" w:ascii="宋体" w:hAnsi="宋体" w:cs="宋体"/>
          <w:b/>
          <w:color w:val="auto"/>
          <w:szCs w:val="21"/>
        </w:rPr>
      </w:pPr>
      <w:r>
        <w:rPr>
          <w:rFonts w:hint="eastAsia" w:ascii="宋体" w:hAnsi="宋体" w:cs="宋体"/>
          <w:b/>
          <w:color w:val="auto"/>
          <w:szCs w:val="21"/>
        </w:rPr>
        <w:t>服务响应与时效</w:t>
      </w:r>
    </w:p>
    <w:p w14:paraId="08A77B22">
      <w:pPr>
        <w:spacing w:line="440" w:lineRule="exact"/>
        <w:jc w:val="left"/>
        <w:rPr>
          <w:rFonts w:hint="eastAsia" w:ascii="宋体" w:hAnsi="宋体" w:cs="宋体"/>
          <w:b/>
          <w:bCs/>
          <w:color w:val="auto"/>
          <w:szCs w:val="21"/>
        </w:rPr>
      </w:pPr>
      <w:r>
        <w:rPr>
          <w:rFonts w:hint="eastAsia" w:ascii="宋体" w:hAnsi="宋体" w:cs="宋体"/>
          <w:b/>
          <w:bCs/>
          <w:color w:val="auto"/>
          <w:szCs w:val="21"/>
        </w:rPr>
        <w:t>1.问题分级与响应时间：</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8"/>
        <w:gridCol w:w="3231"/>
        <w:gridCol w:w="1459"/>
        <w:gridCol w:w="2494"/>
      </w:tblGrid>
      <w:tr w14:paraId="1E38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38" w:type="dxa"/>
            <w:shd w:val="clear" w:color="auto" w:fill="F1F1F1" w:themeFill="background1" w:themeFillShade="F2"/>
            <w:vAlign w:val="center"/>
          </w:tcPr>
          <w:p w14:paraId="1C2B6ED7">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问题等级</w:t>
            </w:r>
          </w:p>
        </w:tc>
        <w:tc>
          <w:tcPr>
            <w:tcW w:w="3231" w:type="dxa"/>
            <w:shd w:val="clear" w:color="auto" w:fill="F1F1F1" w:themeFill="background1" w:themeFillShade="F2"/>
            <w:vAlign w:val="center"/>
          </w:tcPr>
          <w:p w14:paraId="4947FD61">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描述</w:t>
            </w:r>
          </w:p>
        </w:tc>
        <w:tc>
          <w:tcPr>
            <w:tcW w:w="1459" w:type="dxa"/>
            <w:shd w:val="clear" w:color="auto" w:fill="F1F1F1" w:themeFill="background1" w:themeFillShade="F2"/>
            <w:vAlign w:val="center"/>
          </w:tcPr>
          <w:p w14:paraId="69D052D2">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响应时间</w:t>
            </w:r>
          </w:p>
        </w:tc>
        <w:tc>
          <w:tcPr>
            <w:tcW w:w="2494" w:type="dxa"/>
            <w:shd w:val="clear" w:color="auto" w:fill="F1F1F1" w:themeFill="background1" w:themeFillShade="F2"/>
            <w:vAlign w:val="center"/>
          </w:tcPr>
          <w:p w14:paraId="7806214C">
            <w:pPr>
              <w:widowControl/>
              <w:snapToGrid w:val="0"/>
              <w:ind w:left="0" w:leftChars="0" w:right="0" w:rightChars="0" w:firstLine="0" w:firstLineChars="0"/>
              <w:jc w:val="center"/>
              <w:rPr>
                <w:rFonts w:hint="eastAsia" w:ascii="宋体" w:hAnsi="宋体" w:cs="宋体"/>
                <w:b/>
                <w:bCs/>
                <w:color w:val="auto"/>
                <w:kern w:val="0"/>
                <w:sz w:val="22"/>
              </w:rPr>
            </w:pPr>
            <w:r>
              <w:rPr>
                <w:rFonts w:ascii="宋体" w:hAnsi="宋体" w:cs="宋体"/>
                <w:b/>
                <w:bCs/>
                <w:color w:val="auto"/>
                <w:kern w:val="0"/>
                <w:sz w:val="22"/>
              </w:rPr>
              <w:t>解决时限</w:t>
            </w:r>
          </w:p>
        </w:tc>
      </w:tr>
      <w:tr w14:paraId="5431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8" w:type="dxa"/>
            <w:vAlign w:val="center"/>
          </w:tcPr>
          <w:p w14:paraId="6FFE8A50">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一级（紧急）</w:t>
            </w:r>
          </w:p>
        </w:tc>
        <w:tc>
          <w:tcPr>
            <w:tcW w:w="3231" w:type="dxa"/>
            <w:vAlign w:val="center"/>
          </w:tcPr>
          <w:p w14:paraId="130D0E1C">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系统核心功能不可用，影响业务运行</w:t>
            </w:r>
          </w:p>
        </w:tc>
        <w:tc>
          <w:tcPr>
            <w:tcW w:w="1459" w:type="dxa"/>
            <w:vAlign w:val="center"/>
          </w:tcPr>
          <w:p w14:paraId="76E30323">
            <w:pPr>
              <w:widowControl/>
              <w:snapToGrid w:val="0"/>
              <w:ind w:left="0" w:leftChars="0" w:right="0" w:rightChars="0" w:firstLine="0" w:firstLineChars="0"/>
              <w:jc w:val="left"/>
              <w:rPr>
                <w:rFonts w:hint="default" w:ascii="Times New Roman" w:hAnsi="Times New Roman" w:eastAsia="宋体" w:cs="Times New Roman"/>
                <w:color w:val="auto"/>
                <w:kern w:val="2"/>
                <w:szCs w:val="24"/>
                <w:lang w:val="en-US" w:eastAsia="zh-CN"/>
              </w:rPr>
            </w:pPr>
            <w:r>
              <w:rPr>
                <w:rFonts w:hint="eastAsia" w:ascii="Times New Roman" w:hAnsi="Times New Roman" w:cs="Times New Roman"/>
                <w:color w:val="auto"/>
                <w:kern w:val="2"/>
                <w:szCs w:val="24"/>
                <w:lang w:val="en-US" w:eastAsia="zh-CN"/>
              </w:rPr>
              <w:t>15分钟内</w:t>
            </w:r>
          </w:p>
        </w:tc>
        <w:tc>
          <w:tcPr>
            <w:tcW w:w="2494" w:type="dxa"/>
            <w:vAlign w:val="center"/>
          </w:tcPr>
          <w:p w14:paraId="7DFC540A">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lang w:val="en-US" w:eastAsia="zh-CN"/>
              </w:rPr>
              <w:t>12</w:t>
            </w:r>
            <w:r>
              <w:rPr>
                <w:rFonts w:hint="eastAsia" w:ascii="Times New Roman" w:hAnsi="Times New Roman" w:cs="Times New Roman"/>
                <w:color w:val="auto"/>
                <w:kern w:val="2"/>
                <w:szCs w:val="24"/>
              </w:rPr>
              <w:t>小时内完成修复</w:t>
            </w:r>
          </w:p>
        </w:tc>
      </w:tr>
      <w:tr w14:paraId="5550C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8" w:type="dxa"/>
            <w:vAlign w:val="center"/>
          </w:tcPr>
          <w:p w14:paraId="78DCE9EF">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二级（严重）</w:t>
            </w:r>
          </w:p>
        </w:tc>
        <w:tc>
          <w:tcPr>
            <w:tcW w:w="3231" w:type="dxa"/>
            <w:vAlign w:val="center"/>
          </w:tcPr>
          <w:p w14:paraId="4E075FC6">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部分功能异常，但不影响主要业务功能</w:t>
            </w:r>
          </w:p>
        </w:tc>
        <w:tc>
          <w:tcPr>
            <w:tcW w:w="1459" w:type="dxa"/>
            <w:vAlign w:val="center"/>
          </w:tcPr>
          <w:p w14:paraId="0BF202C7">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4小时内</w:t>
            </w:r>
          </w:p>
        </w:tc>
        <w:tc>
          <w:tcPr>
            <w:tcW w:w="2494" w:type="dxa"/>
            <w:vAlign w:val="center"/>
          </w:tcPr>
          <w:p w14:paraId="5E614995">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48小时内完成修复</w:t>
            </w:r>
          </w:p>
        </w:tc>
      </w:tr>
      <w:tr w14:paraId="0019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38" w:type="dxa"/>
            <w:vAlign w:val="center"/>
          </w:tcPr>
          <w:p w14:paraId="17473F3B">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三级（一般）</w:t>
            </w:r>
          </w:p>
        </w:tc>
        <w:tc>
          <w:tcPr>
            <w:tcW w:w="3231" w:type="dxa"/>
            <w:vAlign w:val="center"/>
          </w:tcPr>
          <w:p w14:paraId="23516D03">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非关键功能或用户体验相关问题</w:t>
            </w:r>
          </w:p>
        </w:tc>
        <w:tc>
          <w:tcPr>
            <w:tcW w:w="1459" w:type="dxa"/>
            <w:vAlign w:val="center"/>
          </w:tcPr>
          <w:p w14:paraId="05CFD6DF">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1个工作日内</w:t>
            </w:r>
          </w:p>
        </w:tc>
        <w:tc>
          <w:tcPr>
            <w:tcW w:w="2494" w:type="dxa"/>
            <w:vAlign w:val="center"/>
          </w:tcPr>
          <w:p w14:paraId="1172E721">
            <w:pPr>
              <w:widowControl/>
              <w:snapToGrid w:val="0"/>
              <w:ind w:left="0" w:leftChars="0" w:right="0" w:rightChars="0" w:firstLine="0" w:firstLineChars="0"/>
              <w:jc w:val="left"/>
              <w:rPr>
                <w:rFonts w:hint="eastAsia" w:ascii="Times New Roman" w:hAnsi="Times New Roman" w:cs="Times New Roman"/>
                <w:color w:val="auto"/>
                <w:kern w:val="2"/>
                <w:szCs w:val="24"/>
              </w:rPr>
            </w:pPr>
            <w:r>
              <w:rPr>
                <w:rFonts w:hint="eastAsia" w:ascii="Times New Roman" w:hAnsi="Times New Roman" w:cs="Times New Roman"/>
                <w:color w:val="auto"/>
                <w:kern w:val="2"/>
                <w:szCs w:val="24"/>
              </w:rPr>
              <w:t>下一次版本更新中修复</w:t>
            </w:r>
          </w:p>
        </w:tc>
      </w:tr>
    </w:tbl>
    <w:p w14:paraId="731DB07D">
      <w:pPr>
        <w:spacing w:line="440" w:lineRule="exact"/>
        <w:jc w:val="left"/>
        <w:rPr>
          <w:rFonts w:hint="eastAsia" w:ascii="宋体" w:hAnsi="宋体" w:cs="宋体"/>
          <w:b/>
          <w:bCs/>
          <w:color w:val="auto"/>
          <w:szCs w:val="21"/>
        </w:rPr>
      </w:pPr>
      <w:r>
        <w:rPr>
          <w:rFonts w:hint="eastAsia" w:ascii="宋体" w:hAnsi="宋体" w:cs="宋体"/>
          <w:b/>
          <w:bCs/>
          <w:color w:val="auto"/>
          <w:szCs w:val="21"/>
        </w:rPr>
        <w:t>2.</w:t>
      </w:r>
      <w:r>
        <w:rPr>
          <w:rFonts w:hint="eastAsia" w:ascii="宋体" w:hAnsi="宋体" w:cs="宋体"/>
          <w:b/>
          <w:bCs/>
          <w:color w:val="auto"/>
          <w:szCs w:val="21"/>
          <w:lang w:val="en-US" w:eastAsia="zh-CN"/>
        </w:rPr>
        <w:t>运维</w:t>
      </w:r>
      <w:r>
        <w:rPr>
          <w:rFonts w:hint="eastAsia" w:ascii="宋体" w:hAnsi="宋体" w:cs="宋体"/>
          <w:b/>
          <w:bCs/>
          <w:color w:val="auto"/>
          <w:szCs w:val="21"/>
        </w:rPr>
        <w:t>时效：</w:t>
      </w:r>
    </w:p>
    <w:p w14:paraId="35E6998E">
      <w:pPr>
        <w:spacing w:line="440" w:lineRule="exact"/>
        <w:jc w:val="center"/>
        <w:rPr>
          <w:color w:val="auto"/>
        </w:rPr>
      </w:pPr>
      <w:r>
        <w:rPr>
          <w:rFonts w:hint="eastAsia" w:ascii="宋体" w:hAnsi="宋体"/>
          <w:color w:val="auto"/>
          <w:szCs w:val="21"/>
        </w:rPr>
        <w:t>每次功能维护需提前5个工</w:t>
      </w:r>
      <w:bookmarkStart w:id="17" w:name="_GoBack"/>
      <w:bookmarkEnd w:id="17"/>
      <w:r>
        <w:rPr>
          <w:rFonts w:hint="eastAsia" w:ascii="宋体" w:hAnsi="宋体"/>
          <w:color w:val="auto"/>
          <w:szCs w:val="21"/>
        </w:rPr>
        <w:t>作日通知甲方并与其确认具体内容和时间安排。</w:t>
      </w:r>
    </w:p>
    <w:p w14:paraId="69268A3A">
      <w:pPr>
        <w:pStyle w:val="32"/>
        <w:numPr>
          <w:ilvl w:val="0"/>
          <w:numId w:val="0"/>
        </w:numPr>
        <w:spacing w:line="440" w:lineRule="exact"/>
        <w:ind w:leftChars="0"/>
        <w:outlineLvl w:val="1"/>
        <w:rPr>
          <w:rFonts w:ascii="宋体" w:hAnsi="宋体" w:cs="宋体"/>
          <w:b/>
          <w:color w:val="auto"/>
          <w:szCs w:val="21"/>
        </w:rPr>
      </w:pPr>
    </w:p>
    <w:p w14:paraId="34401B11">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项目实施与验收</w:t>
      </w:r>
    </w:p>
    <w:p w14:paraId="652E725A">
      <w:pPr>
        <w:pStyle w:val="32"/>
        <w:numPr>
          <w:ilvl w:val="0"/>
          <w:numId w:val="4"/>
        </w:numPr>
        <w:spacing w:line="360" w:lineRule="auto"/>
        <w:ind w:firstLineChars="0"/>
        <w:outlineLvl w:val="1"/>
        <w:rPr>
          <w:rFonts w:ascii="宋体" w:hAnsi="宋体" w:cs="宋体"/>
          <w:b/>
          <w:color w:val="auto"/>
          <w:szCs w:val="21"/>
          <w:highlight w:val="none"/>
        </w:rPr>
      </w:pPr>
      <w:bookmarkStart w:id="2" w:name="_Toc74682240"/>
      <w:bookmarkStart w:id="3" w:name="_Toc449000764"/>
      <w:r>
        <w:rPr>
          <w:rFonts w:ascii="宋体" w:hAnsi="宋体" w:cs="宋体"/>
          <w:b/>
          <w:color w:val="auto"/>
          <w:szCs w:val="21"/>
          <w:highlight w:val="none"/>
        </w:rPr>
        <w:t>项目实施要求</w:t>
      </w:r>
      <w:bookmarkEnd w:id="2"/>
      <w:bookmarkEnd w:id="3"/>
    </w:p>
    <w:p w14:paraId="2F4B487A">
      <w:pPr>
        <w:numPr>
          <w:ilvl w:val="0"/>
          <w:numId w:val="5"/>
        </w:numPr>
        <w:spacing w:line="360" w:lineRule="auto"/>
        <w:rPr>
          <w:color w:val="auto"/>
          <w:highlight w:val="none"/>
        </w:rPr>
      </w:pPr>
      <w:r>
        <w:rPr>
          <w:color w:val="auto"/>
          <w:highlight w:val="none"/>
        </w:rPr>
        <w:t>投标</w:t>
      </w:r>
      <w:r>
        <w:rPr>
          <w:rFonts w:hint="eastAsia"/>
          <w:color w:val="auto"/>
          <w:highlight w:val="none"/>
        </w:rPr>
        <w:t>人</w:t>
      </w:r>
      <w:r>
        <w:rPr>
          <w:color w:val="auto"/>
          <w:highlight w:val="none"/>
        </w:rPr>
        <w:t>需要根据项目建设内容和进度需</w:t>
      </w:r>
      <w:r>
        <w:rPr>
          <w:color w:val="auto"/>
          <w:highlight w:val="none"/>
          <w:u w:val="none"/>
        </w:rPr>
        <w:t>要，</w:t>
      </w:r>
      <w:r>
        <w:rPr>
          <w:rFonts w:hint="eastAsia"/>
          <w:color w:val="auto"/>
          <w:highlight w:val="none"/>
          <w:u w:val="none"/>
          <w:lang w:val="en-US" w:eastAsia="zh-CN"/>
        </w:rPr>
        <w:t>安排</w:t>
      </w:r>
      <w:r>
        <w:rPr>
          <w:color w:val="auto"/>
          <w:highlight w:val="none"/>
          <w:u w:val="none"/>
        </w:rPr>
        <w:t>具</w:t>
      </w:r>
      <w:r>
        <w:rPr>
          <w:color w:val="auto"/>
          <w:highlight w:val="none"/>
        </w:rPr>
        <w:t>有一定资质能力水平的成员组成项目小组对系统进行实施及服务。</w:t>
      </w:r>
    </w:p>
    <w:p w14:paraId="04FBA990">
      <w:pPr>
        <w:numPr>
          <w:ilvl w:val="0"/>
          <w:numId w:val="5"/>
        </w:numPr>
        <w:spacing w:line="360" w:lineRule="auto"/>
        <w:rPr>
          <w:color w:val="auto"/>
          <w:highlight w:val="none"/>
        </w:rPr>
      </w:pPr>
      <w:r>
        <w:rPr>
          <w:rFonts w:hint="eastAsia"/>
          <w:color w:val="auto"/>
          <w:highlight w:val="none"/>
          <w:lang w:val="en-US" w:eastAsia="zh-CN"/>
        </w:rPr>
        <w:t>项目建设性内容</w:t>
      </w:r>
      <w:r>
        <w:rPr>
          <w:color w:val="auto"/>
          <w:highlight w:val="none"/>
        </w:rPr>
        <w:t>投标人应确保能在合同签订后</w:t>
      </w:r>
      <w:r>
        <w:rPr>
          <w:rFonts w:hint="eastAsia"/>
          <w:color w:val="auto"/>
          <w:highlight w:val="none"/>
          <w:u w:val="single"/>
          <w:lang w:val="en-US" w:eastAsia="zh-CN"/>
        </w:rPr>
        <w:t>3</w:t>
      </w:r>
      <w:r>
        <w:rPr>
          <w:color w:val="auto"/>
          <w:highlight w:val="none"/>
          <w:u w:val="single"/>
        </w:rPr>
        <w:t>个月</w:t>
      </w:r>
      <w:r>
        <w:rPr>
          <w:color w:val="auto"/>
          <w:highlight w:val="none"/>
        </w:rPr>
        <w:t>内系统上线</w:t>
      </w:r>
      <w:r>
        <w:rPr>
          <w:rFonts w:hint="eastAsia"/>
          <w:color w:val="auto"/>
          <w:highlight w:val="none"/>
        </w:rPr>
        <w:t>应用</w:t>
      </w:r>
      <w:r>
        <w:rPr>
          <w:rFonts w:hint="eastAsia"/>
          <w:color w:val="auto"/>
          <w:highlight w:val="none"/>
          <w:lang w:eastAsia="zh-CN"/>
        </w:rPr>
        <w:t>，</w:t>
      </w:r>
      <w:r>
        <w:rPr>
          <w:rFonts w:hint="eastAsia"/>
          <w:color w:val="auto"/>
          <w:highlight w:val="none"/>
        </w:rPr>
        <w:t>实施</w:t>
      </w:r>
      <w:r>
        <w:rPr>
          <w:color w:val="auto"/>
          <w:highlight w:val="none"/>
        </w:rPr>
        <w:t>期间可</w:t>
      </w:r>
      <w:r>
        <w:rPr>
          <w:rFonts w:hint="eastAsia"/>
          <w:color w:val="auto"/>
          <w:highlight w:val="none"/>
        </w:rPr>
        <w:t>根据</w:t>
      </w:r>
      <w:r>
        <w:rPr>
          <w:color w:val="auto"/>
          <w:highlight w:val="none"/>
        </w:rPr>
        <w:t>用户的需要及政策的变化而对系统进行相应的</w:t>
      </w:r>
      <w:r>
        <w:rPr>
          <w:rFonts w:hint="eastAsia"/>
          <w:color w:val="auto"/>
          <w:highlight w:val="none"/>
        </w:rPr>
        <w:t>实施方案调整和软件</w:t>
      </w:r>
      <w:r>
        <w:rPr>
          <w:color w:val="auto"/>
          <w:highlight w:val="none"/>
        </w:rPr>
        <w:t>客户化修改。</w:t>
      </w:r>
    </w:p>
    <w:p w14:paraId="7B197BAC">
      <w:pPr>
        <w:pStyle w:val="32"/>
        <w:numPr>
          <w:ilvl w:val="0"/>
          <w:numId w:val="4"/>
        </w:numPr>
        <w:spacing w:line="360" w:lineRule="auto"/>
        <w:ind w:firstLineChars="0"/>
        <w:outlineLvl w:val="1"/>
        <w:rPr>
          <w:rFonts w:ascii="宋体" w:hAnsi="宋体" w:cs="宋体"/>
          <w:b/>
          <w:color w:val="auto"/>
          <w:szCs w:val="21"/>
          <w:highlight w:val="none"/>
        </w:rPr>
      </w:pPr>
      <w:bookmarkStart w:id="4" w:name="_Toc449000765"/>
      <w:bookmarkStart w:id="5" w:name="_Toc74682242"/>
      <w:bookmarkStart w:id="6" w:name="_Toc12410"/>
      <w:bookmarkStart w:id="7" w:name="_Toc5054"/>
      <w:bookmarkStart w:id="8" w:name="_Toc24571258"/>
      <w:bookmarkStart w:id="9" w:name="_Toc74682241"/>
      <w:bookmarkStart w:id="10" w:name="_Toc38032939"/>
      <w:r>
        <w:rPr>
          <w:rFonts w:ascii="宋体" w:hAnsi="宋体" w:cs="宋体"/>
          <w:b/>
          <w:color w:val="auto"/>
          <w:szCs w:val="21"/>
          <w:highlight w:val="none"/>
        </w:rPr>
        <w:t>培训要求</w:t>
      </w:r>
      <w:bookmarkEnd w:id="4"/>
      <w:bookmarkEnd w:id="5"/>
    </w:p>
    <w:p w14:paraId="4C926AD7">
      <w:pPr>
        <w:numPr>
          <w:ilvl w:val="0"/>
          <w:numId w:val="6"/>
        </w:numPr>
        <w:spacing w:line="360" w:lineRule="auto"/>
        <w:rPr>
          <w:color w:val="auto"/>
          <w:highlight w:val="none"/>
        </w:rPr>
      </w:pPr>
      <w:r>
        <w:rPr>
          <w:color w:val="auto"/>
          <w:highlight w:val="none"/>
        </w:rPr>
        <w:t>投标人须在采购人指定的地点提供操作及维护培训，投标人须在投标文件中提供详细的培训计划，包括培训内容、培训时间等。</w:t>
      </w:r>
    </w:p>
    <w:p w14:paraId="29417440">
      <w:pPr>
        <w:numPr>
          <w:ilvl w:val="0"/>
          <w:numId w:val="6"/>
        </w:numPr>
        <w:spacing w:line="360" w:lineRule="auto"/>
        <w:rPr>
          <w:color w:val="auto"/>
          <w:highlight w:val="none"/>
        </w:rPr>
      </w:pPr>
      <w:r>
        <w:rPr>
          <w:color w:val="auto"/>
          <w:highlight w:val="none"/>
        </w:rPr>
        <w:t>投标人提供的负责培训的人员应具有3年以上的相关应用系统</w:t>
      </w:r>
      <w:r>
        <w:rPr>
          <w:rFonts w:hint="eastAsia"/>
          <w:color w:val="auto"/>
          <w:highlight w:val="none"/>
        </w:rPr>
        <w:t>实施或产品负责</w:t>
      </w:r>
      <w:r>
        <w:rPr>
          <w:color w:val="auto"/>
          <w:highlight w:val="none"/>
        </w:rPr>
        <w:t>经验。</w:t>
      </w:r>
    </w:p>
    <w:p w14:paraId="73EB2CFF">
      <w:pPr>
        <w:numPr>
          <w:ilvl w:val="0"/>
          <w:numId w:val="6"/>
        </w:numPr>
        <w:spacing w:line="360" w:lineRule="auto"/>
        <w:rPr>
          <w:rFonts w:hAnsi="宋体" w:cs="宋体"/>
          <w:color w:val="auto"/>
          <w:sz w:val="21"/>
          <w:szCs w:val="21"/>
          <w:highlight w:val="none"/>
        </w:rPr>
      </w:pPr>
      <w:r>
        <w:rPr>
          <w:color w:val="auto"/>
          <w:highlight w:val="none"/>
        </w:rPr>
        <w:t>技术培训费用应包含在投标总价中。</w:t>
      </w:r>
    </w:p>
    <w:p w14:paraId="7A5DD7F3">
      <w:pPr>
        <w:pStyle w:val="32"/>
        <w:numPr>
          <w:ilvl w:val="0"/>
          <w:numId w:val="4"/>
        </w:numPr>
        <w:spacing w:line="360" w:lineRule="auto"/>
        <w:ind w:firstLineChars="0"/>
        <w:outlineLvl w:val="1"/>
        <w:rPr>
          <w:rFonts w:ascii="宋体" w:hAnsi="宋体" w:cs="宋体"/>
          <w:b/>
          <w:color w:val="auto"/>
          <w:szCs w:val="21"/>
          <w:highlight w:val="none"/>
        </w:rPr>
      </w:pPr>
      <w:r>
        <w:rPr>
          <w:rFonts w:ascii="宋体" w:hAnsi="宋体" w:cs="宋体"/>
          <w:b/>
          <w:color w:val="auto"/>
          <w:szCs w:val="21"/>
          <w:highlight w:val="none"/>
        </w:rPr>
        <w:t>验收要求</w:t>
      </w:r>
      <w:bookmarkEnd w:id="6"/>
      <w:bookmarkEnd w:id="7"/>
      <w:bookmarkEnd w:id="8"/>
      <w:bookmarkEnd w:id="9"/>
      <w:bookmarkEnd w:id="10"/>
    </w:p>
    <w:p w14:paraId="02B0C594">
      <w:pPr>
        <w:numPr>
          <w:ilvl w:val="0"/>
          <w:numId w:val="7"/>
        </w:numPr>
        <w:spacing w:line="360" w:lineRule="auto"/>
        <w:rPr>
          <w:color w:val="auto"/>
          <w:highlight w:val="none"/>
          <w:u w:val="none"/>
        </w:rPr>
      </w:pPr>
      <w:r>
        <w:rPr>
          <w:rFonts w:hint="eastAsia"/>
          <w:color w:val="auto"/>
          <w:highlight w:val="none"/>
        </w:rPr>
        <w:t>项目</w:t>
      </w:r>
      <w:r>
        <w:rPr>
          <w:rFonts w:hint="eastAsia"/>
          <w:color w:val="auto"/>
          <w:highlight w:val="none"/>
          <w:u w:val="none"/>
          <w:lang w:val="en-US" w:eastAsia="zh-CN"/>
        </w:rPr>
        <w:t>完成功能建设性内容且维保到期后，</w:t>
      </w:r>
      <w:r>
        <w:rPr>
          <w:color w:val="auto"/>
          <w:highlight w:val="none"/>
          <w:u w:val="none"/>
        </w:rPr>
        <w:t>中标人</w:t>
      </w:r>
      <w:r>
        <w:rPr>
          <w:rFonts w:hint="eastAsia"/>
          <w:color w:val="auto"/>
          <w:highlight w:val="none"/>
          <w:u w:val="none"/>
        </w:rPr>
        <w:t>可</w:t>
      </w:r>
      <w:r>
        <w:rPr>
          <w:color w:val="auto"/>
          <w:highlight w:val="none"/>
          <w:u w:val="none"/>
        </w:rPr>
        <w:t>提出</w:t>
      </w:r>
      <w:r>
        <w:rPr>
          <w:rFonts w:hint="eastAsia"/>
          <w:color w:val="auto"/>
          <w:highlight w:val="none"/>
          <w:u w:val="none"/>
        </w:rPr>
        <w:t>验收</w:t>
      </w:r>
      <w:r>
        <w:rPr>
          <w:color w:val="auto"/>
          <w:highlight w:val="none"/>
          <w:u w:val="none"/>
        </w:rPr>
        <w:t>申请</w:t>
      </w:r>
      <w:r>
        <w:rPr>
          <w:rFonts w:hint="eastAsia"/>
          <w:color w:val="auto"/>
          <w:highlight w:val="none"/>
          <w:u w:val="none"/>
        </w:rPr>
        <w:t>，由</w:t>
      </w:r>
      <w:r>
        <w:rPr>
          <w:color w:val="auto"/>
          <w:highlight w:val="none"/>
          <w:u w:val="none"/>
        </w:rPr>
        <w:t>招标人组织验收。</w:t>
      </w:r>
    </w:p>
    <w:p w14:paraId="363C04EB">
      <w:pPr>
        <w:numPr>
          <w:ilvl w:val="0"/>
          <w:numId w:val="7"/>
        </w:numPr>
        <w:spacing w:line="360" w:lineRule="auto"/>
        <w:rPr>
          <w:color w:val="auto"/>
          <w:highlight w:val="none"/>
        </w:rPr>
      </w:pPr>
      <w:r>
        <w:rPr>
          <w:color w:val="auto"/>
          <w:highlight w:val="none"/>
        </w:rPr>
        <w:t>验收</w:t>
      </w:r>
      <w:r>
        <w:rPr>
          <w:rFonts w:hint="eastAsia"/>
          <w:color w:val="auto"/>
          <w:highlight w:val="none"/>
        </w:rPr>
        <w:t>时，需提供相关材料，包括需求分析、安装维护、系统接口、操作说明、数据库说明、培训记录、测试报告等相关文档，验收费用由投标人承担</w:t>
      </w:r>
      <w:r>
        <w:rPr>
          <w:color w:val="auto"/>
          <w:highlight w:val="none"/>
        </w:rPr>
        <w:t>。</w:t>
      </w:r>
    </w:p>
    <w:p w14:paraId="3C4AFA76">
      <w:pPr>
        <w:pStyle w:val="2"/>
        <w:numPr>
          <w:ilvl w:val="0"/>
          <w:numId w:val="2"/>
        </w:numPr>
        <w:tabs>
          <w:tab w:val="left" w:pos="720"/>
          <w:tab w:val="left" w:pos="1980"/>
        </w:tabs>
        <w:spacing w:before="0" w:after="0" w:line="440" w:lineRule="exact"/>
        <w:outlineLvl w:val="0"/>
        <w:rPr>
          <w:rFonts w:hAnsi="宋体" w:cs="宋体"/>
          <w:color w:val="auto"/>
          <w:sz w:val="21"/>
          <w:szCs w:val="21"/>
          <w:highlight w:val="none"/>
        </w:rPr>
      </w:pPr>
      <w:r>
        <w:rPr>
          <w:rFonts w:hint="eastAsia" w:hAnsi="宋体" w:cs="宋体"/>
          <w:color w:val="auto"/>
          <w:sz w:val="21"/>
          <w:szCs w:val="21"/>
          <w:highlight w:val="none"/>
        </w:rPr>
        <w:t>售后服务</w:t>
      </w:r>
    </w:p>
    <w:p w14:paraId="6F92ACD6">
      <w:pPr>
        <w:numPr>
          <w:ilvl w:val="0"/>
          <w:numId w:val="8"/>
        </w:numPr>
        <w:spacing w:line="360" w:lineRule="auto"/>
        <w:rPr>
          <w:rFonts w:hint="eastAsia" w:ascii="宋体" w:hAnsi="宋体" w:cs="宋体"/>
          <w:bCs/>
          <w:color w:val="auto"/>
          <w:szCs w:val="21"/>
          <w:highlight w:val="none"/>
        </w:rPr>
      </w:pPr>
      <w:r>
        <w:rPr>
          <w:rFonts w:hint="eastAsia"/>
          <w:color w:val="auto"/>
          <w:highlight w:val="none"/>
        </w:rPr>
        <w:t>项目</w:t>
      </w:r>
      <w:r>
        <w:rPr>
          <w:rFonts w:hint="eastAsia"/>
          <w:color w:val="auto"/>
          <w:highlight w:val="none"/>
          <w:lang w:val="en-US" w:eastAsia="zh-CN"/>
        </w:rPr>
        <w:t>验收</w:t>
      </w:r>
      <w:r>
        <w:rPr>
          <w:rFonts w:hint="eastAsia"/>
          <w:color w:val="auto"/>
          <w:highlight w:val="none"/>
        </w:rPr>
        <w:t>通过后</w:t>
      </w:r>
      <w:r>
        <w:rPr>
          <w:rFonts w:hint="eastAsia"/>
          <w:color w:val="auto"/>
          <w:highlight w:val="none"/>
          <w:lang w:eastAsia="zh-CN"/>
        </w:rPr>
        <w:t>，</w:t>
      </w:r>
      <w:r>
        <w:rPr>
          <w:rFonts w:hint="eastAsia"/>
          <w:color w:val="auto"/>
          <w:highlight w:val="none"/>
          <w:lang w:val="en-US" w:eastAsia="zh-CN"/>
        </w:rPr>
        <w:t>升级改造部分提供一</w:t>
      </w:r>
      <w:r>
        <w:rPr>
          <w:rFonts w:hint="eastAsia" w:ascii="宋体" w:hAnsi="宋体" w:cs="宋体"/>
          <w:bCs/>
          <w:color w:val="auto"/>
          <w:szCs w:val="21"/>
          <w:highlight w:val="none"/>
        </w:rPr>
        <w:t>年质保</w:t>
      </w:r>
      <w:r>
        <w:rPr>
          <w:rFonts w:hint="eastAsia" w:ascii="宋体" w:hAnsi="宋体" w:cs="宋体"/>
          <w:bCs/>
          <w:color w:val="auto"/>
          <w:szCs w:val="21"/>
          <w:highlight w:val="none"/>
          <w:lang w:eastAsia="zh-CN"/>
        </w:rPr>
        <w:t>，</w:t>
      </w:r>
      <w:r>
        <w:rPr>
          <w:rFonts w:hint="eastAsia"/>
          <w:color w:val="auto"/>
        </w:rPr>
        <w:t>质保期内</w:t>
      </w:r>
      <w:r>
        <w:rPr>
          <w:rFonts w:hint="eastAsia"/>
          <w:color w:val="auto"/>
          <w:lang w:val="en-US" w:eastAsia="zh-CN"/>
        </w:rPr>
        <w:t>对于用户提出的改善体验、可靠性、安全性的需求，提供免费开发升级服务</w:t>
      </w:r>
      <w:r>
        <w:rPr>
          <w:rFonts w:hint="eastAsia"/>
          <w:color w:val="auto"/>
        </w:rPr>
        <w:t>。</w:t>
      </w:r>
    </w:p>
    <w:p w14:paraId="3CFA8789">
      <w:pPr>
        <w:numPr>
          <w:ilvl w:val="0"/>
          <w:numId w:val="8"/>
        </w:num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项目软件系统维</w:t>
      </w:r>
      <w:r>
        <w:rPr>
          <w:rFonts w:hint="eastAsia" w:ascii="宋体" w:hAnsi="宋体" w:cs="宋体"/>
          <w:bCs/>
          <w:color w:val="auto"/>
          <w:szCs w:val="21"/>
          <w:highlight w:val="none"/>
        </w:rPr>
        <w:t>保</w:t>
      </w:r>
      <w:r>
        <w:rPr>
          <w:rFonts w:hint="eastAsia" w:ascii="宋体" w:hAnsi="宋体" w:cs="宋体"/>
          <w:bCs/>
          <w:color w:val="auto"/>
          <w:szCs w:val="21"/>
          <w:highlight w:val="none"/>
          <w:lang w:val="en-US" w:eastAsia="zh-CN"/>
        </w:rPr>
        <w:t>服务</w:t>
      </w:r>
      <w:r>
        <w:rPr>
          <w:rFonts w:hint="eastAsia" w:ascii="宋体" w:hAnsi="宋体" w:cs="宋体"/>
          <w:bCs/>
          <w:color w:val="auto"/>
          <w:szCs w:val="21"/>
          <w:highlight w:val="none"/>
        </w:rPr>
        <w:t>期</w:t>
      </w:r>
      <w:r>
        <w:rPr>
          <w:rFonts w:hint="eastAsia" w:ascii="宋体" w:hAnsi="宋体" w:cs="宋体"/>
          <w:bCs/>
          <w:color w:val="auto"/>
          <w:szCs w:val="21"/>
          <w:highlight w:val="none"/>
          <w:lang w:val="en-US" w:eastAsia="zh-CN"/>
        </w:rPr>
        <w:t>间</w:t>
      </w:r>
      <w:r>
        <w:rPr>
          <w:rFonts w:hint="eastAsia" w:ascii="宋体" w:hAnsi="宋体" w:cs="宋体"/>
          <w:bCs/>
          <w:color w:val="auto"/>
          <w:szCs w:val="21"/>
          <w:highlight w:val="none"/>
        </w:rPr>
        <w:t>，提供1人专职负责</w:t>
      </w:r>
      <w:r>
        <w:rPr>
          <w:rFonts w:hint="eastAsia" w:ascii="宋体" w:hAnsi="宋体" w:cs="宋体"/>
          <w:bCs/>
          <w:color w:val="auto"/>
          <w:szCs w:val="21"/>
          <w:highlight w:val="none"/>
          <w:lang w:val="en-US" w:eastAsia="zh-CN"/>
        </w:rPr>
        <w:t>信息系统</w:t>
      </w:r>
      <w:r>
        <w:rPr>
          <w:rFonts w:hint="eastAsia" w:ascii="宋体" w:hAnsi="宋体" w:cs="宋体"/>
          <w:bCs/>
          <w:color w:val="auto"/>
          <w:szCs w:val="21"/>
          <w:highlight w:val="none"/>
        </w:rPr>
        <w:t>运行保障，含所有投标内容软硬件的维护。</w:t>
      </w:r>
    </w:p>
    <w:p w14:paraId="558E17BC">
      <w:pPr>
        <w:numPr>
          <w:ilvl w:val="0"/>
          <w:numId w:val="8"/>
        </w:numPr>
        <w:spacing w:line="360" w:lineRule="auto"/>
        <w:rPr>
          <w:rFonts w:hint="eastAsia"/>
          <w:color w:val="auto"/>
        </w:rPr>
      </w:pPr>
      <w:r>
        <w:rPr>
          <w:rFonts w:hint="eastAsia"/>
          <w:color w:val="auto"/>
        </w:rPr>
        <w:t>因系统本身缺陷造成各种故障应由卖方免费技术服务和维修，包括质保期外发生的情况。</w:t>
      </w:r>
    </w:p>
    <w:p w14:paraId="55CBBCED">
      <w:pPr>
        <w:numPr>
          <w:ilvl w:val="0"/>
          <w:numId w:val="8"/>
        </w:numPr>
        <w:spacing w:line="360" w:lineRule="auto"/>
        <w:rPr>
          <w:rFonts w:hint="eastAsia"/>
          <w:color w:val="auto"/>
        </w:rPr>
      </w:pPr>
      <w:r>
        <w:rPr>
          <w:rFonts w:hint="eastAsia"/>
          <w:color w:val="auto"/>
        </w:rPr>
        <w:t>无力承担售后服务或响应不及时的情况下，医院可向投标方索取软件源代码，投标方应无偿提供。</w:t>
      </w:r>
    </w:p>
    <w:p w14:paraId="4DAA4B9B">
      <w:pPr>
        <w:numPr>
          <w:ilvl w:val="0"/>
          <w:numId w:val="8"/>
        </w:numPr>
        <w:spacing w:line="360" w:lineRule="auto"/>
        <w:rPr>
          <w:color w:val="auto"/>
        </w:rPr>
      </w:pPr>
      <w:r>
        <w:rPr>
          <w:rFonts w:hint="eastAsia"/>
          <w:color w:val="auto"/>
        </w:rPr>
        <w:t>投标人须保证所提供产品符合国家有关规定。投标人须保证所提供产品具有合法的版权或使用权，本项目采购的产品，如在本项目范围内使用过程中出现版权或使用权纠纷，应由中标人负责，采购人不承担责任。</w:t>
      </w:r>
    </w:p>
    <w:p w14:paraId="2181C2CD">
      <w:pPr>
        <w:numPr>
          <w:ilvl w:val="0"/>
          <w:numId w:val="8"/>
        </w:numPr>
        <w:spacing w:line="360" w:lineRule="auto"/>
        <w:rPr>
          <w:rFonts w:hint="eastAsia"/>
          <w:color w:val="auto"/>
        </w:rPr>
      </w:pPr>
      <w:r>
        <w:rPr>
          <w:rFonts w:hint="eastAsia"/>
          <w:color w:val="auto"/>
        </w:rPr>
        <w:t>投标人必须保证解决项目所涉及的技术问题，如因技术原因无法满足采购人需求，由此产生的风险由投标人承担。</w:t>
      </w:r>
    </w:p>
    <w:p w14:paraId="38D36996">
      <w:pPr>
        <w:numPr>
          <w:ilvl w:val="0"/>
          <w:numId w:val="8"/>
        </w:numPr>
        <w:spacing w:line="360" w:lineRule="auto"/>
        <w:rPr>
          <w:rFonts w:hint="eastAsia"/>
          <w:color w:val="auto"/>
        </w:rPr>
      </w:pPr>
      <w:r>
        <w:rPr>
          <w:rFonts w:hint="eastAsia"/>
          <w:color w:val="auto"/>
          <w:lang w:val="en-US" w:eastAsia="zh-CN"/>
        </w:rPr>
        <w:t>在项日维保期间内，若承接方在服务过程中发生以下行为，经院方确认后，每次根据标准进行扣罚：</w:t>
      </w:r>
    </w:p>
    <w:p w14:paraId="4A103AF7">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遇到乘大或紧急事件要求承接方派驻应急人员现场解决，但承接方无正当理由不履行的，每发生一次从项目合同金额中扣除3000元，视作一次不良行为。</w:t>
      </w:r>
    </w:p>
    <w:p w14:paraId="6115F604">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未经我院信息中心审核同意，自行运维实施或调整数据库、网络、服务器等操作，导致引发严重信息系统故障或不良事件，每发生一次从本项目合同金额中扣除3000元，视作一次不良行为。</w:t>
      </w:r>
    </w:p>
    <w:p w14:paraId="5F78D830">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因承接方自身软件或系统架构缺陷原因，导致引发医院核心信息系统宕机事件，每发生一次即视作一次不良行为，并从本合同项目金额中扣罚:接到通知后宕机修复时间如在60分钟（含）以内扣罚1000元，如在60分钟以上则每增加 60分钟（含）以内追加扣罚2000元。</w:t>
      </w:r>
    </w:p>
    <w:p w14:paraId="731EEADA">
      <w:pPr>
        <w:numPr>
          <w:ilvl w:val="0"/>
          <w:numId w:val="9"/>
        </w:numPr>
        <w:spacing w:line="360" w:lineRule="auto"/>
        <w:ind w:left="425" w:leftChars="0" w:hanging="425" w:firstLineChars="0"/>
        <w:rPr>
          <w:rFonts w:hint="eastAsia"/>
          <w:color w:val="auto"/>
          <w:lang w:val="en-US" w:eastAsia="zh-CN"/>
        </w:rPr>
      </w:pPr>
      <w:r>
        <w:rPr>
          <w:rFonts w:hint="eastAsia"/>
          <w:color w:val="auto"/>
          <w:lang w:val="en-US" w:eastAsia="zh-CN"/>
        </w:rPr>
        <w:t>要求保质保量的完成相关维保需求，其中要求系统错误类需求14天完成率达到90%以上，影响业务类需求30天完成率达到90%以上，系统优化类需求90天完成率达到90%以上。按每月度考核一次完成率，如需求完成不符合要求，每发生一次，视作一次不良行为。</w:t>
      </w:r>
    </w:p>
    <w:p w14:paraId="09E71133">
      <w:pPr>
        <w:pStyle w:val="7"/>
        <w:rPr>
          <w:color w:val="auto"/>
        </w:rPr>
      </w:pPr>
    </w:p>
    <w:p w14:paraId="181F6451">
      <w:pPr>
        <w:numPr>
          <w:ilvl w:val="0"/>
          <w:numId w:val="2"/>
        </w:numPr>
        <w:bidi w:val="0"/>
        <w:rPr>
          <w:rFonts w:hint="eastAsia" w:ascii="Times New Roman" w:hAnsi="Times New Roman" w:eastAsia="宋体" w:cs="Times New Roman"/>
          <w:color w:val="auto"/>
          <w:sz w:val="24"/>
          <w:szCs w:val="24"/>
          <w:lang w:eastAsia="ja-JP"/>
        </w:rPr>
      </w:pPr>
      <w:r>
        <w:rPr>
          <w:rFonts w:hint="eastAsia" w:ascii="Times New Roman" w:hAnsi="Times New Roman" w:eastAsia="宋体" w:cs="Times New Roman"/>
          <w:color w:val="auto"/>
          <w:sz w:val="24"/>
          <w:szCs w:val="24"/>
          <w:lang w:eastAsia="ja-JP"/>
        </w:rPr>
        <w:t>付款方式</w:t>
      </w:r>
    </w:p>
    <w:p w14:paraId="798545A6">
      <w:pPr>
        <w:numPr>
          <w:ilvl w:val="0"/>
          <w:numId w:val="0"/>
        </w:numPr>
        <w:spacing w:line="360" w:lineRule="auto"/>
        <w:ind w:leftChars="0" w:firstLine="420" w:firstLineChars="0"/>
        <w:rPr>
          <w:rFonts w:hint="eastAsia" w:ascii="宋体" w:hAnsi="宋体" w:eastAsia="宋体" w:cs="宋体"/>
          <w:color w:val="auto"/>
          <w:lang w:val="en-US" w:eastAsia="zh-CN"/>
        </w:rPr>
      </w:pPr>
      <w:r>
        <w:rPr>
          <w:rFonts w:hint="eastAsia" w:ascii="宋体" w:hAnsi="宋体" w:eastAsia="宋体" w:cs="宋体"/>
          <w:color w:val="auto"/>
          <w:lang w:val="en-US" w:eastAsia="zh-CN"/>
        </w:rPr>
        <w:t>甲方在合同生效且项目具备实施条件后，支付合同金额的20%，终验合格且经甲方书面认可后，支付合同金额的80%。</w:t>
      </w:r>
    </w:p>
    <w:p w14:paraId="30E120D5">
      <w:pPr>
        <w:pStyle w:val="7"/>
        <w:rPr>
          <w:color w:val="auto"/>
          <w:lang w:eastAsia="ja-JP"/>
        </w:rPr>
      </w:pPr>
    </w:p>
    <w:p w14:paraId="51451507">
      <w:pPr>
        <w:widowControl/>
        <w:jc w:val="left"/>
        <w:rPr>
          <w:rFonts w:asciiTheme="minorHAnsi" w:hAnsiTheme="minorHAnsi" w:eastAsiaTheme="minorEastAsia" w:cstheme="minorBidi"/>
          <w:b/>
          <w:bCs/>
          <w:color w:val="auto"/>
          <w:kern w:val="44"/>
          <w:sz w:val="44"/>
          <w:szCs w:val="44"/>
        </w:rPr>
      </w:pPr>
      <w:r>
        <w:rPr>
          <w:color w:val="auto"/>
        </w:rPr>
        <w:br w:type="page"/>
      </w:r>
    </w:p>
    <w:p w14:paraId="422E8432">
      <w:pPr>
        <w:pStyle w:val="19"/>
        <w:numPr>
          <w:ilvl w:val="0"/>
          <w:numId w:val="10"/>
        </w:numPr>
        <w:rPr>
          <w:rFonts w:hint="eastAsia" w:eastAsia="宋体"/>
          <w:color w:val="auto"/>
        </w:rPr>
      </w:pPr>
      <w:bookmarkStart w:id="11" w:name="_Toc30692"/>
      <w:r>
        <w:rPr>
          <w:rFonts w:hint="eastAsia" w:eastAsia="宋体"/>
          <w:color w:val="auto"/>
        </w:rPr>
        <w:t>评审办法</w:t>
      </w:r>
      <w:bookmarkEnd w:id="11"/>
    </w:p>
    <w:tbl>
      <w:tblPr>
        <w:tblStyle w:val="21"/>
        <w:tblW w:w="499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6"/>
        <w:gridCol w:w="6121"/>
        <w:gridCol w:w="861"/>
        <w:gridCol w:w="861"/>
      </w:tblGrid>
      <w:tr w14:paraId="35315D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77" w:type="dxa"/>
            <w:noWrap w:val="0"/>
            <w:vAlign w:val="center"/>
          </w:tcPr>
          <w:p w14:paraId="7C97EBC6">
            <w:pPr>
              <w:spacing w:line="276" w:lineRule="auto"/>
              <w:jc w:val="center"/>
              <w:rPr>
                <w:b/>
                <w:bCs/>
                <w:color w:val="auto"/>
              </w:rPr>
            </w:pPr>
            <w:r>
              <w:rPr>
                <w:b/>
                <w:bCs/>
                <w:color w:val="auto"/>
                <w:sz w:val="24"/>
              </w:rPr>
              <w:t>序号</w:t>
            </w:r>
          </w:p>
        </w:tc>
        <w:tc>
          <w:tcPr>
            <w:tcW w:w="6120" w:type="dxa"/>
            <w:shd w:val="clear" w:color="auto" w:fill="auto"/>
            <w:noWrap w:val="0"/>
            <w:vAlign w:val="center"/>
          </w:tcPr>
          <w:p w14:paraId="771D9478">
            <w:pPr>
              <w:spacing w:line="276" w:lineRule="auto"/>
              <w:ind w:right="-313" w:rightChars="-149"/>
              <w:jc w:val="center"/>
              <w:rPr>
                <w:rFonts w:ascii="Times New Roman" w:hAnsi="Times New Roman" w:eastAsia="宋体" w:cs="Times New Roman"/>
                <w:b/>
                <w:bCs/>
                <w:color w:val="auto"/>
                <w:kern w:val="2"/>
                <w:sz w:val="21"/>
                <w:szCs w:val="24"/>
                <w:lang w:val="en-US" w:eastAsia="zh-CN" w:bidi="ar-SA"/>
              </w:rPr>
            </w:pPr>
            <w:r>
              <w:rPr>
                <w:b/>
                <w:bCs/>
                <w:color w:val="auto"/>
                <w:sz w:val="24"/>
              </w:rPr>
              <w:t>评审细则</w:t>
            </w:r>
          </w:p>
        </w:tc>
        <w:tc>
          <w:tcPr>
            <w:tcW w:w="861" w:type="dxa"/>
            <w:noWrap w:val="0"/>
            <w:vAlign w:val="center"/>
          </w:tcPr>
          <w:p w14:paraId="6F60D8E6">
            <w:pPr>
              <w:spacing w:line="276" w:lineRule="auto"/>
              <w:jc w:val="center"/>
              <w:rPr>
                <w:b/>
                <w:bCs/>
                <w:color w:val="auto"/>
              </w:rPr>
            </w:pPr>
            <w:r>
              <w:rPr>
                <w:b/>
                <w:bCs/>
                <w:color w:val="auto"/>
                <w:sz w:val="24"/>
              </w:rPr>
              <w:t>说明</w:t>
            </w:r>
          </w:p>
        </w:tc>
        <w:tc>
          <w:tcPr>
            <w:tcW w:w="861" w:type="dxa"/>
            <w:noWrap w:val="0"/>
            <w:vAlign w:val="center"/>
          </w:tcPr>
          <w:p w14:paraId="5AC5590F">
            <w:pPr>
              <w:spacing w:line="276" w:lineRule="auto"/>
              <w:jc w:val="center"/>
              <w:rPr>
                <w:b/>
                <w:bCs/>
                <w:color w:val="auto"/>
              </w:rPr>
            </w:pPr>
            <w:r>
              <w:rPr>
                <w:b/>
                <w:bCs/>
                <w:color w:val="auto"/>
                <w:sz w:val="24"/>
              </w:rPr>
              <w:t>分值</w:t>
            </w:r>
          </w:p>
        </w:tc>
      </w:tr>
      <w:tr w14:paraId="5FA562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6B6C909">
            <w:pPr>
              <w:spacing w:line="276" w:lineRule="auto"/>
              <w:jc w:val="center"/>
              <w:rPr>
                <w:color w:val="auto"/>
              </w:rPr>
            </w:pPr>
            <w:r>
              <w:rPr>
                <w:color w:val="auto"/>
                <w:sz w:val="24"/>
              </w:rPr>
              <w:t>1</w:t>
            </w:r>
          </w:p>
        </w:tc>
        <w:tc>
          <w:tcPr>
            <w:tcW w:w="3591" w:type="pct"/>
            <w:noWrap w:val="0"/>
            <w:vAlign w:val="center"/>
          </w:tcPr>
          <w:p w14:paraId="5360AEBA">
            <w:pPr>
              <w:widowControl/>
              <w:jc w:val="left"/>
              <w:rPr>
                <w:color w:val="auto"/>
              </w:rPr>
            </w:pPr>
            <w:r>
              <w:rPr>
                <w:rFonts w:hint="eastAsia" w:cs="Times New Roman"/>
                <w:color w:val="auto"/>
                <w:sz w:val="24"/>
                <w:lang w:val="en-US" w:eastAsia="zh-CN"/>
              </w:rPr>
              <w:t>产品功能、性能响应情况</w:t>
            </w:r>
            <w:r>
              <w:rPr>
                <w:rFonts w:hint="eastAsia" w:ascii="Times New Roman" w:hAnsi="Times New Roman" w:eastAsia="宋体" w:cs="Times New Roman"/>
                <w:color w:val="auto"/>
                <w:sz w:val="24"/>
                <w:lang w:val="en-US" w:eastAsia="zh-CN"/>
              </w:rPr>
              <w:t>：</w:t>
            </w:r>
            <w:r>
              <w:rPr>
                <w:rFonts w:hint="eastAsia" w:ascii="宋体" w:hAnsi="宋体" w:cs="宋体"/>
                <w:b/>
                <w:color w:val="auto"/>
                <w:kern w:val="44"/>
                <w:sz w:val="24"/>
              </w:rPr>
              <w:t>“</w:t>
            </w:r>
            <w:r>
              <w:rPr>
                <w:rFonts w:hint="eastAsia" w:ascii="宋体" w:hAnsi="宋体" w:cs="宋体"/>
                <w:b/>
                <w:color w:val="auto"/>
                <w:kern w:val="44"/>
                <w:sz w:val="24"/>
                <w:lang w:val="en-US" w:eastAsia="zh-CN"/>
              </w:rPr>
              <w:t>技术规格</w:t>
            </w:r>
            <w:r>
              <w:rPr>
                <w:rFonts w:hint="eastAsia" w:ascii="宋体" w:hAnsi="宋体" w:cs="宋体"/>
                <w:b/>
                <w:color w:val="auto"/>
                <w:kern w:val="44"/>
                <w:sz w:val="24"/>
              </w:rPr>
              <w:t>”中的</w:t>
            </w:r>
            <w:r>
              <w:rPr>
                <w:rFonts w:hint="eastAsia" w:ascii="宋体" w:hAnsi="宋体" w:cs="仿宋"/>
                <w:color w:val="auto"/>
                <w:sz w:val="24"/>
              </w:rPr>
              <w:t>产品技术参数全部满足招标文件要求的得3</w:t>
            </w:r>
            <w:r>
              <w:rPr>
                <w:rFonts w:hint="eastAsia" w:ascii="宋体" w:hAnsi="宋体" w:cs="仿宋"/>
                <w:color w:val="auto"/>
                <w:sz w:val="24"/>
                <w:lang w:val="en-US" w:eastAsia="zh-CN"/>
              </w:rPr>
              <w:t>2</w:t>
            </w:r>
            <w:r>
              <w:rPr>
                <w:rFonts w:hint="eastAsia" w:ascii="宋体" w:hAnsi="宋体" w:cs="仿宋"/>
                <w:color w:val="auto"/>
                <w:sz w:val="24"/>
              </w:rPr>
              <w:t>分；打</w:t>
            </w:r>
            <w:r>
              <w:rPr>
                <w:rFonts w:hint="eastAsia" w:ascii="宋体" w:hAnsi="宋体"/>
                <w:color w:val="auto"/>
                <w:spacing w:val="-4"/>
                <w:kern w:val="0"/>
                <w:sz w:val="24"/>
                <w:szCs w:val="20"/>
              </w:rPr>
              <w:t>★</w:t>
            </w:r>
            <w:r>
              <w:rPr>
                <w:rFonts w:hint="eastAsia" w:ascii="宋体" w:hAnsi="宋体" w:cs="仿宋"/>
                <w:color w:val="auto"/>
                <w:sz w:val="24"/>
              </w:rPr>
              <w:t>号指标为重要指标，有一项负偏离扣</w:t>
            </w:r>
            <w:r>
              <w:rPr>
                <w:rFonts w:hint="eastAsia" w:ascii="宋体" w:hAnsi="宋体" w:cs="仿宋"/>
                <w:color w:val="auto"/>
                <w:sz w:val="24"/>
                <w:lang w:val="en-US" w:eastAsia="zh-CN"/>
              </w:rPr>
              <w:t>3</w:t>
            </w:r>
            <w:r>
              <w:rPr>
                <w:rFonts w:hint="eastAsia" w:ascii="宋体" w:hAnsi="宋体" w:cs="仿宋"/>
                <w:color w:val="auto"/>
                <w:sz w:val="24"/>
              </w:rPr>
              <w:t>分；其他参数，有一项负偏离扣1分，扣完为止。</w:t>
            </w:r>
          </w:p>
        </w:tc>
        <w:tc>
          <w:tcPr>
            <w:tcW w:w="505" w:type="pct"/>
            <w:noWrap w:val="0"/>
            <w:vAlign w:val="center"/>
          </w:tcPr>
          <w:p w14:paraId="6CB1D959">
            <w:pPr>
              <w:spacing w:line="276" w:lineRule="auto"/>
              <w:jc w:val="center"/>
              <w:rPr>
                <w:color w:val="auto"/>
              </w:rPr>
            </w:pPr>
            <w:r>
              <w:rPr>
                <w:color w:val="auto"/>
                <w:sz w:val="24"/>
              </w:rPr>
              <w:t>客观分</w:t>
            </w:r>
          </w:p>
        </w:tc>
        <w:tc>
          <w:tcPr>
            <w:tcW w:w="505" w:type="pct"/>
            <w:noWrap w:val="0"/>
            <w:vAlign w:val="center"/>
          </w:tcPr>
          <w:p w14:paraId="1933F11D">
            <w:pPr>
              <w:spacing w:line="276" w:lineRule="auto"/>
              <w:jc w:val="center"/>
              <w:rPr>
                <w:rFonts w:hint="eastAsia"/>
                <w:color w:val="auto"/>
                <w:lang w:val="en-US" w:eastAsia="zh-CN"/>
              </w:rPr>
            </w:pPr>
            <w:r>
              <w:rPr>
                <w:rFonts w:hint="eastAsia"/>
                <w:color w:val="auto"/>
                <w:sz w:val="24"/>
                <w:lang w:val="en-US" w:eastAsia="zh-CN"/>
              </w:rPr>
              <w:t>32</w:t>
            </w:r>
            <w:r>
              <w:rPr>
                <w:color w:val="auto"/>
                <w:sz w:val="24"/>
              </w:rPr>
              <w:t>分</w:t>
            </w:r>
          </w:p>
        </w:tc>
      </w:tr>
      <w:tr w14:paraId="51CA36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78C24636">
            <w:pPr>
              <w:spacing w:line="276" w:lineRule="auto"/>
              <w:jc w:val="center"/>
              <w:rPr>
                <w:color w:val="auto"/>
              </w:rPr>
            </w:pPr>
            <w:r>
              <w:rPr>
                <w:color w:val="auto"/>
                <w:sz w:val="24"/>
              </w:rPr>
              <w:t>2</w:t>
            </w:r>
          </w:p>
        </w:tc>
        <w:tc>
          <w:tcPr>
            <w:tcW w:w="3591" w:type="pct"/>
            <w:noWrap w:val="0"/>
            <w:vAlign w:val="center"/>
          </w:tcPr>
          <w:p w14:paraId="734E6EF8">
            <w:pPr>
              <w:widowControl/>
              <w:jc w:val="left"/>
              <w:rPr>
                <w:color w:val="auto"/>
              </w:rPr>
            </w:pPr>
            <w:r>
              <w:rPr>
                <w:rFonts w:hint="eastAsia"/>
                <w:color w:val="auto"/>
                <w:sz w:val="24"/>
                <w:lang w:val="en-US" w:eastAsia="zh-CN"/>
              </w:rPr>
              <w:t>实施与运维方案</w:t>
            </w:r>
            <w:r>
              <w:rPr>
                <w:rFonts w:hint="eastAsia" w:ascii="Times New Roman" w:hAnsi="Times New Roman" w:eastAsia="宋体" w:cs="Times New Roman"/>
                <w:color w:val="auto"/>
                <w:sz w:val="24"/>
                <w:lang w:val="en-US" w:eastAsia="zh-CN"/>
              </w:rPr>
              <w:t>科学性：方案需包含：系统架构设计合理性；运维支持流程（如故障响应机制、数据备份策略）；方案完整性及可操作性。按0-</w:t>
            </w:r>
            <w:r>
              <w:rPr>
                <w:rFonts w:hint="eastAsia" w:cs="Times New Roman"/>
                <w:color w:val="auto"/>
                <w:sz w:val="24"/>
                <w:lang w:val="en-US" w:eastAsia="zh-CN"/>
              </w:rPr>
              <w:t>10</w:t>
            </w:r>
            <w:r>
              <w:rPr>
                <w:rFonts w:hint="eastAsia" w:ascii="Times New Roman" w:hAnsi="Times New Roman" w:eastAsia="宋体" w:cs="Times New Roman"/>
                <w:color w:val="auto"/>
                <w:sz w:val="24"/>
                <w:lang w:val="en-US" w:eastAsia="zh-CN"/>
              </w:rPr>
              <w:t>分综合评分。</w:t>
            </w:r>
          </w:p>
        </w:tc>
        <w:tc>
          <w:tcPr>
            <w:tcW w:w="505" w:type="pct"/>
            <w:noWrap w:val="0"/>
            <w:vAlign w:val="center"/>
          </w:tcPr>
          <w:p w14:paraId="798D36E3">
            <w:pPr>
              <w:spacing w:line="276" w:lineRule="auto"/>
              <w:jc w:val="center"/>
              <w:rPr>
                <w:color w:val="auto"/>
              </w:rPr>
            </w:pPr>
            <w:r>
              <w:rPr>
                <w:color w:val="auto"/>
                <w:sz w:val="24"/>
              </w:rPr>
              <w:t>主观分</w:t>
            </w:r>
          </w:p>
        </w:tc>
        <w:tc>
          <w:tcPr>
            <w:tcW w:w="505" w:type="pct"/>
            <w:noWrap w:val="0"/>
            <w:vAlign w:val="center"/>
          </w:tcPr>
          <w:p w14:paraId="7FDA49AF">
            <w:pPr>
              <w:spacing w:line="276" w:lineRule="auto"/>
              <w:jc w:val="center"/>
              <w:rPr>
                <w:rFonts w:hint="eastAsia"/>
                <w:color w:val="auto"/>
                <w:lang w:val="en-US" w:eastAsia="zh-CN"/>
              </w:rPr>
            </w:pPr>
            <w:r>
              <w:rPr>
                <w:rFonts w:hint="eastAsia"/>
                <w:color w:val="auto"/>
                <w:sz w:val="24"/>
                <w:lang w:val="en-US" w:eastAsia="zh-CN"/>
              </w:rPr>
              <w:t>10</w:t>
            </w:r>
            <w:r>
              <w:rPr>
                <w:color w:val="auto"/>
                <w:sz w:val="24"/>
              </w:rPr>
              <w:t>分</w:t>
            </w:r>
          </w:p>
        </w:tc>
      </w:tr>
      <w:tr w14:paraId="57C2FA0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74B8A2A">
            <w:pPr>
              <w:spacing w:line="276" w:lineRule="auto"/>
              <w:jc w:val="center"/>
              <w:rPr>
                <w:color w:val="auto"/>
              </w:rPr>
            </w:pPr>
            <w:r>
              <w:rPr>
                <w:color w:val="auto"/>
                <w:sz w:val="24"/>
              </w:rPr>
              <w:t>3</w:t>
            </w:r>
          </w:p>
        </w:tc>
        <w:tc>
          <w:tcPr>
            <w:tcW w:w="3591" w:type="pct"/>
            <w:noWrap w:val="0"/>
            <w:vAlign w:val="center"/>
          </w:tcPr>
          <w:p w14:paraId="6F74B45F">
            <w:pPr>
              <w:widowControl/>
              <w:jc w:val="left"/>
              <w:rPr>
                <w:color w:val="auto"/>
              </w:rPr>
            </w:pPr>
            <w:r>
              <w:rPr>
                <w:rFonts w:hint="eastAsia" w:ascii="Times New Roman" w:hAnsi="Times New Roman" w:eastAsia="宋体" w:cs="Times New Roman"/>
                <w:color w:val="auto"/>
                <w:sz w:val="24"/>
                <w:lang w:val="en-US" w:eastAsia="zh-CN"/>
              </w:rPr>
              <w:t>实施保障能力：</w:t>
            </w:r>
            <w:r>
              <w:rPr>
                <w:rFonts w:hint="eastAsia" w:ascii="宋体" w:hAnsi="宋体" w:cs="宋体"/>
                <w:color w:val="auto"/>
                <w:kern w:val="0"/>
                <w:sz w:val="24"/>
              </w:rPr>
              <w:t>根据投标人提供的项目实施方案，包括①供货方案、②安装、调试、验收方案、③</w:t>
            </w:r>
            <w:r>
              <w:rPr>
                <w:rFonts w:hint="eastAsia" w:ascii="宋体" w:hAnsi="宋体" w:cs="宋体"/>
                <w:iCs/>
                <w:color w:val="auto"/>
                <w:sz w:val="24"/>
              </w:rPr>
              <w:t>投标产品操作系统支持的版本升级方案</w:t>
            </w:r>
            <w:r>
              <w:rPr>
                <w:rFonts w:hint="eastAsia" w:ascii="宋体" w:hAnsi="宋体" w:cs="宋体"/>
                <w:color w:val="auto"/>
                <w:kern w:val="0"/>
                <w:sz w:val="24"/>
                <w:lang w:eastAsia="zh-CN"/>
              </w:rPr>
              <w:t>、</w:t>
            </w:r>
            <w:r>
              <w:rPr>
                <w:rFonts w:hint="eastAsia" w:ascii="宋体" w:hAnsi="宋体" w:cs="宋体"/>
                <w:color w:val="auto"/>
                <w:kern w:val="0"/>
                <w:sz w:val="24"/>
                <w:lang w:val="en-US" w:eastAsia="zh-CN"/>
              </w:rPr>
              <w:t>④</w:t>
            </w:r>
            <w:r>
              <w:rPr>
                <w:rFonts w:hint="eastAsia" w:ascii="宋体" w:hAnsi="宋体" w:cs="宋体"/>
                <w:color w:val="auto"/>
                <w:kern w:val="0"/>
                <w:sz w:val="24"/>
              </w:rPr>
              <w:t>质量保证措施、</w:t>
            </w:r>
            <w:r>
              <w:rPr>
                <w:rFonts w:hint="eastAsia" w:ascii="宋体" w:hAnsi="宋体" w:cs="宋体"/>
                <w:color w:val="auto"/>
                <w:kern w:val="0"/>
                <w:sz w:val="24"/>
                <w:lang w:val="en-US" w:eastAsia="zh-CN"/>
              </w:rPr>
              <w:t>⑤</w:t>
            </w:r>
            <w:r>
              <w:rPr>
                <w:rFonts w:hint="eastAsia" w:ascii="宋体" w:hAnsi="宋体" w:cs="宋体"/>
                <w:color w:val="auto"/>
                <w:kern w:val="0"/>
                <w:sz w:val="24"/>
              </w:rPr>
              <w:t>技术服务措施等</w:t>
            </w:r>
            <w:r>
              <w:rPr>
                <w:rFonts w:hint="eastAsia" w:ascii="宋体" w:hAnsi="宋体" w:cs="宋体"/>
                <w:color w:val="auto"/>
                <w:kern w:val="0"/>
                <w:sz w:val="24"/>
                <w:lang w:eastAsia="zh-CN"/>
              </w:rPr>
              <w:t>，</w:t>
            </w:r>
            <w:r>
              <w:rPr>
                <w:rFonts w:hint="eastAsia" w:ascii="宋体" w:hAnsi="宋体" w:cs="宋体"/>
                <w:color w:val="auto"/>
                <w:kern w:val="0"/>
                <w:sz w:val="24"/>
              </w:rPr>
              <w:t>由专家进行综合评价。每小项2分</w:t>
            </w:r>
            <w:r>
              <w:rPr>
                <w:rFonts w:hint="eastAsia" w:ascii="宋体" w:hAnsi="宋体" w:cs="宋体"/>
                <w:color w:val="auto"/>
                <w:kern w:val="0"/>
                <w:sz w:val="24"/>
                <w:lang w:eastAsia="zh-CN"/>
              </w:rPr>
              <w:t>。</w:t>
            </w:r>
          </w:p>
        </w:tc>
        <w:tc>
          <w:tcPr>
            <w:tcW w:w="505" w:type="pct"/>
            <w:noWrap w:val="0"/>
            <w:vAlign w:val="center"/>
          </w:tcPr>
          <w:p w14:paraId="2A6F7484">
            <w:pPr>
              <w:spacing w:line="276" w:lineRule="auto"/>
              <w:jc w:val="center"/>
              <w:rPr>
                <w:color w:val="auto"/>
              </w:rPr>
            </w:pPr>
            <w:r>
              <w:rPr>
                <w:color w:val="auto"/>
                <w:sz w:val="24"/>
              </w:rPr>
              <w:t>主观分</w:t>
            </w:r>
          </w:p>
        </w:tc>
        <w:tc>
          <w:tcPr>
            <w:tcW w:w="505" w:type="pct"/>
            <w:noWrap w:val="0"/>
            <w:vAlign w:val="center"/>
          </w:tcPr>
          <w:p w14:paraId="31804476">
            <w:pPr>
              <w:spacing w:line="276" w:lineRule="auto"/>
              <w:jc w:val="center"/>
              <w:rPr>
                <w:rFonts w:hint="eastAsia"/>
                <w:color w:val="auto"/>
                <w:lang w:val="en-US" w:eastAsia="zh-CN"/>
              </w:rPr>
            </w:pPr>
            <w:r>
              <w:rPr>
                <w:rFonts w:hint="eastAsia"/>
                <w:color w:val="auto"/>
                <w:sz w:val="24"/>
                <w:lang w:val="en-US" w:eastAsia="zh-CN"/>
              </w:rPr>
              <w:t>10</w:t>
            </w:r>
            <w:r>
              <w:rPr>
                <w:color w:val="auto"/>
                <w:sz w:val="24"/>
              </w:rPr>
              <w:t>分</w:t>
            </w:r>
          </w:p>
        </w:tc>
      </w:tr>
      <w:tr w14:paraId="4E441E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1DA54356">
            <w:pPr>
              <w:spacing w:line="276" w:lineRule="auto"/>
              <w:jc w:val="center"/>
              <w:rPr>
                <w:color w:val="auto"/>
              </w:rPr>
            </w:pPr>
            <w:r>
              <w:rPr>
                <w:color w:val="auto"/>
                <w:sz w:val="24"/>
              </w:rPr>
              <w:t>4</w:t>
            </w:r>
          </w:p>
        </w:tc>
        <w:tc>
          <w:tcPr>
            <w:tcW w:w="3591" w:type="pct"/>
            <w:noWrap w:val="0"/>
            <w:vAlign w:val="center"/>
          </w:tcPr>
          <w:p w14:paraId="630E71A9">
            <w:pPr>
              <w:widowControl/>
              <w:jc w:val="left"/>
              <w:rPr>
                <w:rFonts w:hint="eastAsia"/>
                <w:color w:val="auto"/>
                <w:lang w:val="en-US" w:eastAsia="zh-CN"/>
              </w:rPr>
            </w:pPr>
            <w:r>
              <w:rPr>
                <w:rFonts w:hint="eastAsia" w:ascii="Times New Roman" w:hAnsi="Times New Roman" w:eastAsia="宋体" w:cs="Times New Roman"/>
                <w:color w:val="auto"/>
                <w:sz w:val="24"/>
                <w:lang w:val="en-US" w:eastAsia="zh-CN"/>
              </w:rPr>
              <w:t>售后服务方案：包括安装验收、技术培训、服务响应时间、故障解决方案</w:t>
            </w:r>
            <w:r>
              <w:rPr>
                <w:rFonts w:hint="eastAsia" w:cs="Times New Roman"/>
                <w:color w:val="auto"/>
                <w:sz w:val="24"/>
                <w:lang w:val="en-US" w:eastAsia="zh-CN"/>
              </w:rPr>
              <w:t>的</w:t>
            </w:r>
            <w:r>
              <w:rPr>
                <w:rFonts w:hint="eastAsia" w:ascii="Times New Roman" w:hAnsi="Times New Roman" w:eastAsia="宋体" w:cs="Times New Roman"/>
                <w:color w:val="auto"/>
                <w:sz w:val="24"/>
                <w:lang w:val="en-US" w:eastAsia="zh-CN"/>
              </w:rPr>
              <w:t>完善性及时性</w:t>
            </w:r>
            <w:r>
              <w:rPr>
                <w:rFonts w:hint="eastAsia" w:cs="Times New Roman"/>
                <w:color w:val="auto"/>
                <w:sz w:val="24"/>
                <w:lang w:val="en-US" w:eastAsia="zh-CN"/>
              </w:rPr>
              <w:t>，</w:t>
            </w:r>
            <w:r>
              <w:rPr>
                <w:rFonts w:hint="eastAsia" w:ascii="宋体" w:hAnsi="宋体" w:cs="仿宋"/>
                <w:snapToGrid w:val="0"/>
                <w:color w:val="auto"/>
                <w:kern w:val="28"/>
                <w:sz w:val="24"/>
              </w:rPr>
              <w:t>质保期满后配件、附件、备品备件的准备和保障措施，根据措施方案综合评审</w:t>
            </w:r>
            <w:r>
              <w:rPr>
                <w:rFonts w:hint="eastAsia" w:ascii="宋体" w:hAnsi="宋体" w:cs="仿宋"/>
                <w:snapToGrid w:val="0"/>
                <w:color w:val="auto"/>
                <w:kern w:val="28"/>
                <w:sz w:val="24"/>
                <w:lang w:eastAsia="zh-CN"/>
              </w:rPr>
              <w:t>，</w:t>
            </w:r>
            <w:r>
              <w:rPr>
                <w:rFonts w:hint="eastAsia" w:ascii="Times New Roman" w:hAnsi="Times New Roman" w:eastAsia="宋体" w:cs="Times New Roman"/>
                <w:color w:val="auto"/>
                <w:sz w:val="24"/>
                <w:lang w:val="en-US" w:eastAsia="zh-CN"/>
              </w:rPr>
              <w:t>0-</w:t>
            </w:r>
            <w:r>
              <w:rPr>
                <w:rFonts w:hint="eastAsia" w:cs="Times New Roman"/>
                <w:color w:val="auto"/>
                <w:sz w:val="24"/>
                <w:lang w:val="en-US" w:eastAsia="zh-CN"/>
              </w:rPr>
              <w:t>8</w:t>
            </w:r>
            <w:r>
              <w:rPr>
                <w:rFonts w:hint="eastAsia" w:ascii="Times New Roman" w:hAnsi="Times New Roman" w:eastAsia="宋体" w:cs="Times New Roman"/>
                <w:color w:val="auto"/>
                <w:sz w:val="24"/>
                <w:lang w:val="en-US" w:eastAsia="zh-CN"/>
              </w:rPr>
              <w:t>分。</w:t>
            </w:r>
          </w:p>
        </w:tc>
        <w:tc>
          <w:tcPr>
            <w:tcW w:w="505" w:type="pct"/>
            <w:noWrap w:val="0"/>
            <w:vAlign w:val="center"/>
          </w:tcPr>
          <w:p w14:paraId="15EE0B6A">
            <w:pPr>
              <w:spacing w:line="276" w:lineRule="auto"/>
              <w:jc w:val="center"/>
              <w:rPr>
                <w:color w:val="auto"/>
              </w:rPr>
            </w:pPr>
            <w:r>
              <w:rPr>
                <w:rFonts w:hint="eastAsia"/>
                <w:color w:val="auto"/>
                <w:sz w:val="24"/>
                <w:lang w:val="en-US" w:eastAsia="zh-CN"/>
              </w:rPr>
              <w:t>主</w:t>
            </w:r>
            <w:r>
              <w:rPr>
                <w:color w:val="auto"/>
                <w:sz w:val="24"/>
              </w:rPr>
              <w:t>观分</w:t>
            </w:r>
          </w:p>
        </w:tc>
        <w:tc>
          <w:tcPr>
            <w:tcW w:w="505" w:type="pct"/>
            <w:noWrap w:val="0"/>
            <w:vAlign w:val="center"/>
          </w:tcPr>
          <w:p w14:paraId="5A46B3E6">
            <w:pPr>
              <w:spacing w:line="276" w:lineRule="auto"/>
              <w:jc w:val="center"/>
              <w:rPr>
                <w:rFonts w:hint="eastAsia"/>
                <w:color w:val="auto"/>
                <w:lang w:val="en-US" w:eastAsia="zh-CN"/>
              </w:rPr>
            </w:pPr>
            <w:r>
              <w:rPr>
                <w:rFonts w:hint="eastAsia"/>
                <w:color w:val="auto"/>
                <w:sz w:val="24"/>
                <w:lang w:val="en-US" w:eastAsia="zh-CN"/>
              </w:rPr>
              <w:t>8</w:t>
            </w:r>
            <w:r>
              <w:rPr>
                <w:color w:val="auto"/>
                <w:sz w:val="24"/>
              </w:rPr>
              <w:t>分</w:t>
            </w:r>
          </w:p>
        </w:tc>
      </w:tr>
      <w:tr w14:paraId="4A4583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2A6DC548">
            <w:pPr>
              <w:spacing w:line="276" w:lineRule="auto"/>
              <w:jc w:val="center"/>
              <w:rPr>
                <w:color w:val="auto"/>
              </w:rPr>
            </w:pPr>
            <w:r>
              <w:rPr>
                <w:color w:val="auto"/>
                <w:sz w:val="24"/>
              </w:rPr>
              <w:t>5</w:t>
            </w:r>
          </w:p>
        </w:tc>
        <w:tc>
          <w:tcPr>
            <w:tcW w:w="3591" w:type="pct"/>
            <w:noWrap w:val="0"/>
            <w:vAlign w:val="center"/>
          </w:tcPr>
          <w:p w14:paraId="07083651">
            <w:pPr>
              <w:widowControl/>
              <w:jc w:val="left"/>
              <w:rPr>
                <w:rFonts w:hint="default"/>
                <w:color w:val="auto"/>
                <w:lang w:val="en-US" w:eastAsia="zh-CN"/>
              </w:rPr>
            </w:pPr>
            <w:r>
              <w:rPr>
                <w:rFonts w:hint="eastAsia" w:cs="Times New Roman"/>
                <w:color w:val="auto"/>
                <w:sz w:val="24"/>
                <w:lang w:val="en-US" w:eastAsia="zh-CN"/>
              </w:rPr>
              <w:t>证</w:t>
            </w:r>
            <w:r>
              <w:rPr>
                <w:rFonts w:hint="eastAsia" w:ascii="宋体" w:hAnsi="宋体" w:cs="仿宋"/>
                <w:snapToGrid w:val="0"/>
                <w:color w:val="auto"/>
                <w:kern w:val="28"/>
                <w:sz w:val="24"/>
                <w:lang w:val="en-US" w:eastAsia="zh-CN"/>
              </w:rPr>
              <w:t>书：</w:t>
            </w:r>
            <w:r>
              <w:rPr>
                <w:rFonts w:hint="eastAsia" w:ascii="宋体" w:hAnsi="宋体" w:cs="仿宋"/>
                <w:snapToGrid w:val="0"/>
                <w:color w:val="auto"/>
                <w:kern w:val="28"/>
                <w:sz w:val="24"/>
              </w:rPr>
              <w:t>投标人或投标产品制造商具有有效的ISO9001质量管理体系认证、</w:t>
            </w:r>
            <w:r>
              <w:rPr>
                <w:rFonts w:hint="eastAsia" w:ascii="宋体" w:hAnsi="宋体" w:cs="仿宋"/>
                <w:snapToGrid w:val="0"/>
                <w:color w:val="auto"/>
                <w:kern w:val="28"/>
                <w:sz w:val="24"/>
                <w:lang w:val="en-US" w:eastAsia="zh-CN"/>
              </w:rPr>
              <w:t>ISO27001信息安全管理体系认证、ISO/IEC 20000信息技术服务管理体系</w:t>
            </w:r>
            <w:r>
              <w:rPr>
                <w:rFonts w:hint="eastAsia" w:ascii="宋体" w:hAnsi="宋体" w:cs="仿宋"/>
                <w:snapToGrid w:val="0"/>
                <w:color w:val="auto"/>
                <w:kern w:val="28"/>
                <w:sz w:val="24"/>
              </w:rPr>
              <w:t>，ISO 22301业务连续性管理体系</w:t>
            </w:r>
            <w:r>
              <w:rPr>
                <w:rFonts w:hint="eastAsia" w:ascii="宋体" w:hAnsi="宋体" w:cs="仿宋"/>
                <w:snapToGrid w:val="0"/>
                <w:color w:val="auto"/>
                <w:kern w:val="28"/>
                <w:sz w:val="24"/>
                <w:lang w:eastAsia="zh-CN"/>
              </w:rPr>
              <w:t>，</w:t>
            </w:r>
            <w:r>
              <w:rPr>
                <w:rFonts w:hint="eastAsia" w:ascii="宋体" w:hAnsi="宋体" w:cs="仿宋"/>
                <w:snapToGrid w:val="0"/>
                <w:color w:val="auto"/>
                <w:kern w:val="28"/>
                <w:sz w:val="24"/>
                <w:lang w:val="en-US" w:eastAsia="zh-CN"/>
              </w:rPr>
              <w:t>或项目相关软著，</w:t>
            </w:r>
            <w:r>
              <w:rPr>
                <w:rFonts w:hint="eastAsia" w:ascii="宋体" w:hAnsi="宋体" w:cs="仿宋"/>
                <w:snapToGrid w:val="0"/>
                <w:color w:val="auto"/>
                <w:kern w:val="28"/>
                <w:sz w:val="24"/>
              </w:rPr>
              <w:t>每提供一份证书复印件得1分，最多</w:t>
            </w:r>
            <w:r>
              <w:rPr>
                <w:rFonts w:hint="eastAsia" w:ascii="宋体" w:hAnsi="宋体" w:cs="仿宋"/>
                <w:snapToGrid w:val="0"/>
                <w:color w:val="auto"/>
                <w:kern w:val="28"/>
                <w:sz w:val="24"/>
                <w:lang w:val="en-US" w:eastAsia="zh-CN"/>
              </w:rPr>
              <w:t>4</w:t>
            </w:r>
            <w:r>
              <w:rPr>
                <w:rFonts w:hint="eastAsia" w:ascii="宋体" w:hAnsi="宋体" w:cs="仿宋"/>
                <w:snapToGrid w:val="0"/>
                <w:color w:val="auto"/>
                <w:kern w:val="28"/>
                <w:sz w:val="24"/>
              </w:rPr>
              <w:t>分</w:t>
            </w:r>
            <w:r>
              <w:rPr>
                <w:rFonts w:hint="eastAsia" w:ascii="宋体" w:hAnsi="宋体" w:cs="仿宋"/>
                <w:snapToGrid w:val="0"/>
                <w:color w:val="auto"/>
                <w:kern w:val="28"/>
                <w:sz w:val="24"/>
                <w:lang w:eastAsia="zh-CN"/>
              </w:rPr>
              <w:t>。</w:t>
            </w:r>
          </w:p>
        </w:tc>
        <w:tc>
          <w:tcPr>
            <w:tcW w:w="505" w:type="pct"/>
            <w:noWrap w:val="0"/>
            <w:vAlign w:val="center"/>
          </w:tcPr>
          <w:p w14:paraId="1765F71C">
            <w:pPr>
              <w:spacing w:line="276" w:lineRule="auto"/>
              <w:jc w:val="center"/>
              <w:rPr>
                <w:color w:val="auto"/>
              </w:rPr>
            </w:pPr>
            <w:r>
              <w:rPr>
                <w:rFonts w:hint="eastAsia"/>
                <w:color w:val="auto"/>
                <w:sz w:val="24"/>
                <w:lang w:val="en-US" w:eastAsia="zh-CN"/>
              </w:rPr>
              <w:t>客</w:t>
            </w:r>
            <w:r>
              <w:rPr>
                <w:color w:val="auto"/>
                <w:sz w:val="24"/>
              </w:rPr>
              <w:t>观分</w:t>
            </w:r>
          </w:p>
        </w:tc>
        <w:tc>
          <w:tcPr>
            <w:tcW w:w="505" w:type="pct"/>
            <w:noWrap w:val="0"/>
            <w:vAlign w:val="center"/>
          </w:tcPr>
          <w:p w14:paraId="60AED5C9">
            <w:pPr>
              <w:spacing w:line="276" w:lineRule="auto"/>
              <w:jc w:val="center"/>
              <w:rPr>
                <w:rFonts w:hint="eastAsia"/>
                <w:color w:val="auto"/>
                <w:lang w:val="en-US" w:eastAsia="zh-CN"/>
              </w:rPr>
            </w:pPr>
            <w:r>
              <w:rPr>
                <w:rFonts w:hint="eastAsia"/>
                <w:color w:val="auto"/>
                <w:sz w:val="24"/>
                <w:lang w:val="en-US" w:eastAsia="zh-CN"/>
              </w:rPr>
              <w:t>4</w:t>
            </w:r>
            <w:r>
              <w:rPr>
                <w:color w:val="auto"/>
                <w:sz w:val="24"/>
              </w:rPr>
              <w:t>分</w:t>
            </w:r>
          </w:p>
        </w:tc>
      </w:tr>
      <w:tr w14:paraId="2D26A1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15D7E2E0">
            <w:pPr>
              <w:spacing w:line="276" w:lineRule="auto"/>
              <w:jc w:val="center"/>
              <w:rPr>
                <w:color w:val="auto"/>
              </w:rPr>
            </w:pPr>
            <w:r>
              <w:rPr>
                <w:color w:val="auto"/>
                <w:sz w:val="24"/>
              </w:rPr>
              <w:t>6</w:t>
            </w:r>
          </w:p>
        </w:tc>
        <w:tc>
          <w:tcPr>
            <w:tcW w:w="3591" w:type="pct"/>
            <w:noWrap w:val="0"/>
            <w:vAlign w:val="center"/>
          </w:tcPr>
          <w:p w14:paraId="67698FC3">
            <w:pPr>
              <w:spacing w:line="276" w:lineRule="auto"/>
              <w:rPr>
                <w:color w:val="auto"/>
              </w:rPr>
            </w:pPr>
            <w:r>
              <w:rPr>
                <w:rFonts w:hint="eastAsia" w:ascii="Times New Roman" w:hAnsi="Times New Roman" w:eastAsia="宋体" w:cs="Times New Roman"/>
                <w:color w:val="auto"/>
                <w:sz w:val="24"/>
                <w:lang w:val="en-US" w:eastAsia="zh-CN"/>
              </w:rPr>
              <w:t>业绩：</w:t>
            </w:r>
            <w:r>
              <w:rPr>
                <w:rFonts w:hint="eastAsia" w:cs="Times New Roman"/>
                <w:color w:val="auto"/>
                <w:sz w:val="24"/>
                <w:lang w:val="en-US" w:eastAsia="zh-CN"/>
              </w:rPr>
              <w:t>2023年1月1日至今</w:t>
            </w:r>
            <w:r>
              <w:rPr>
                <w:rFonts w:hint="eastAsia" w:ascii="Times New Roman" w:hAnsi="Times New Roman" w:eastAsia="宋体" w:cs="Times New Roman"/>
                <w:color w:val="auto"/>
                <w:sz w:val="24"/>
                <w:lang w:val="en-US" w:eastAsia="zh-CN"/>
              </w:rPr>
              <w:t>（以合同签订时间为准）同类项目业绩：</w:t>
            </w:r>
            <w:r>
              <w:rPr>
                <w:rFonts w:hint="default" w:ascii="Times New Roman" w:hAnsi="Times New Roman" w:eastAsia="宋体" w:cs="Times New Roman"/>
                <w:color w:val="auto"/>
                <w:sz w:val="24"/>
                <w:lang w:val="en-US" w:eastAsia="zh-CN"/>
              </w:rPr>
              <w:t>每提供1份有效合同（</w:t>
            </w:r>
            <w:r>
              <w:rPr>
                <w:rFonts w:hint="eastAsia" w:ascii="Times New Roman" w:hAnsi="Times New Roman" w:eastAsia="宋体" w:cs="Times New Roman"/>
                <w:color w:val="auto"/>
                <w:sz w:val="24"/>
                <w:lang w:val="en-US" w:eastAsia="zh-CN"/>
              </w:rPr>
              <w:t>盖公章</w:t>
            </w:r>
            <w:r>
              <w:rPr>
                <w:rFonts w:hint="default" w:ascii="Times New Roman" w:hAnsi="Times New Roman" w:eastAsia="宋体" w:cs="Times New Roman"/>
                <w:color w:val="auto"/>
                <w:sz w:val="24"/>
                <w:lang w:val="en-US" w:eastAsia="zh-CN"/>
              </w:rPr>
              <w:t>）得</w:t>
            </w:r>
            <w:r>
              <w:rPr>
                <w:rFonts w:hint="eastAsia" w:cs="Times New Roman"/>
                <w:color w:val="auto"/>
                <w:sz w:val="24"/>
                <w:lang w:val="en-US" w:eastAsia="zh-CN"/>
              </w:rPr>
              <w:t>1</w:t>
            </w:r>
            <w:r>
              <w:rPr>
                <w:rFonts w:hint="default" w:ascii="Times New Roman" w:hAnsi="Times New Roman" w:eastAsia="宋体" w:cs="Times New Roman"/>
                <w:color w:val="auto"/>
                <w:sz w:val="24"/>
                <w:lang w:val="en-US" w:eastAsia="zh-CN"/>
              </w:rPr>
              <w:t>分，最高</w:t>
            </w:r>
            <w:r>
              <w:rPr>
                <w:rFonts w:hint="eastAsia" w:cs="Times New Roman"/>
                <w:color w:val="auto"/>
                <w:sz w:val="24"/>
                <w:lang w:val="en-US" w:eastAsia="zh-CN"/>
              </w:rPr>
              <w:t>3</w:t>
            </w:r>
            <w:r>
              <w:rPr>
                <w:rFonts w:hint="default" w:ascii="Times New Roman" w:hAnsi="Times New Roman" w:eastAsia="宋体" w:cs="Times New Roman"/>
                <w:color w:val="auto"/>
                <w:sz w:val="24"/>
                <w:lang w:val="en-US" w:eastAsia="zh-CN"/>
              </w:rPr>
              <w:t>分。</w:t>
            </w:r>
          </w:p>
        </w:tc>
        <w:tc>
          <w:tcPr>
            <w:tcW w:w="505" w:type="pct"/>
            <w:noWrap w:val="0"/>
            <w:vAlign w:val="center"/>
          </w:tcPr>
          <w:p w14:paraId="675F8DA4">
            <w:pPr>
              <w:spacing w:line="276" w:lineRule="auto"/>
              <w:jc w:val="center"/>
              <w:rPr>
                <w:color w:val="auto"/>
              </w:rPr>
            </w:pPr>
            <w:r>
              <w:rPr>
                <w:color w:val="auto"/>
                <w:sz w:val="24"/>
              </w:rPr>
              <w:t>客观分</w:t>
            </w:r>
          </w:p>
        </w:tc>
        <w:tc>
          <w:tcPr>
            <w:tcW w:w="505" w:type="pct"/>
            <w:noWrap w:val="0"/>
            <w:vAlign w:val="center"/>
          </w:tcPr>
          <w:p w14:paraId="2049AC09">
            <w:pPr>
              <w:spacing w:line="276" w:lineRule="auto"/>
              <w:jc w:val="center"/>
              <w:rPr>
                <w:rFonts w:hint="eastAsia"/>
                <w:color w:val="auto"/>
                <w:lang w:val="en-US" w:eastAsia="zh-CN"/>
              </w:rPr>
            </w:pPr>
            <w:r>
              <w:rPr>
                <w:rFonts w:hint="eastAsia"/>
                <w:color w:val="auto"/>
                <w:sz w:val="24"/>
                <w:lang w:val="en-US" w:eastAsia="zh-CN"/>
              </w:rPr>
              <w:t>3</w:t>
            </w:r>
            <w:r>
              <w:rPr>
                <w:color w:val="auto"/>
                <w:sz w:val="24"/>
              </w:rPr>
              <w:t>分</w:t>
            </w:r>
          </w:p>
        </w:tc>
      </w:tr>
      <w:tr w14:paraId="33519D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7" w:type="pct"/>
            <w:noWrap w:val="0"/>
            <w:vAlign w:val="center"/>
          </w:tcPr>
          <w:p w14:paraId="48138181">
            <w:pPr>
              <w:spacing w:line="276" w:lineRule="auto"/>
              <w:jc w:val="center"/>
              <w:rPr>
                <w:color w:val="auto"/>
              </w:rPr>
            </w:pPr>
            <w:r>
              <w:rPr>
                <w:color w:val="auto"/>
                <w:sz w:val="24"/>
              </w:rPr>
              <w:t>7</w:t>
            </w:r>
          </w:p>
        </w:tc>
        <w:tc>
          <w:tcPr>
            <w:tcW w:w="3591" w:type="pct"/>
            <w:noWrap w:val="0"/>
            <w:vAlign w:val="center"/>
          </w:tcPr>
          <w:p w14:paraId="55EAA1FC">
            <w:pPr>
              <w:spacing w:line="276" w:lineRule="auto"/>
              <w:rPr>
                <w:color w:val="auto"/>
              </w:rPr>
            </w:pPr>
            <w:r>
              <w:rPr>
                <w:rFonts w:hint="eastAsia"/>
                <w:color w:val="auto"/>
                <w:sz w:val="24"/>
                <w:lang w:val="en-US" w:eastAsia="zh-CN"/>
              </w:rPr>
              <w:t>质保期：</w:t>
            </w:r>
            <w:r>
              <w:rPr>
                <w:rFonts w:hint="eastAsia" w:ascii="宋体" w:hAnsi="宋体" w:cs="仿宋_GB2312"/>
                <w:color w:val="auto"/>
                <w:kern w:val="0"/>
                <w:sz w:val="24"/>
                <w:lang w:bidi="ar"/>
              </w:rPr>
              <w:t>质保期在满足招标文件要求的基础上每延长一年得1分，最多得</w:t>
            </w:r>
            <w:r>
              <w:rPr>
                <w:rFonts w:hint="eastAsia" w:ascii="宋体" w:hAnsi="宋体" w:cs="仿宋_GB2312"/>
                <w:color w:val="auto"/>
                <w:kern w:val="0"/>
                <w:sz w:val="24"/>
                <w:lang w:val="en-US" w:eastAsia="zh-CN" w:bidi="ar"/>
              </w:rPr>
              <w:t>3</w:t>
            </w:r>
            <w:r>
              <w:rPr>
                <w:rFonts w:hint="eastAsia" w:ascii="宋体" w:hAnsi="宋体" w:cs="仿宋_GB2312"/>
                <w:color w:val="auto"/>
                <w:kern w:val="0"/>
                <w:sz w:val="24"/>
                <w:lang w:bidi="ar"/>
              </w:rPr>
              <w:t>分，延长时间不足一年的不计入得分。</w:t>
            </w:r>
          </w:p>
        </w:tc>
        <w:tc>
          <w:tcPr>
            <w:tcW w:w="505" w:type="pct"/>
            <w:noWrap w:val="0"/>
            <w:vAlign w:val="center"/>
          </w:tcPr>
          <w:p w14:paraId="1D6BB0AD">
            <w:pPr>
              <w:spacing w:line="276" w:lineRule="auto"/>
              <w:jc w:val="center"/>
              <w:rPr>
                <w:color w:val="auto"/>
              </w:rPr>
            </w:pPr>
            <w:r>
              <w:rPr>
                <w:rFonts w:hint="eastAsia"/>
                <w:color w:val="auto"/>
                <w:sz w:val="24"/>
                <w:lang w:val="en-US" w:eastAsia="zh-CN"/>
              </w:rPr>
              <w:t>客</w:t>
            </w:r>
            <w:r>
              <w:rPr>
                <w:color w:val="auto"/>
                <w:sz w:val="24"/>
              </w:rPr>
              <w:t>观分</w:t>
            </w:r>
          </w:p>
        </w:tc>
        <w:tc>
          <w:tcPr>
            <w:tcW w:w="505" w:type="pct"/>
            <w:noWrap w:val="0"/>
            <w:vAlign w:val="center"/>
          </w:tcPr>
          <w:p w14:paraId="09643813">
            <w:pPr>
              <w:spacing w:line="276" w:lineRule="auto"/>
              <w:jc w:val="center"/>
              <w:rPr>
                <w:rFonts w:hint="eastAsia"/>
                <w:color w:val="auto"/>
                <w:lang w:val="en-US" w:eastAsia="zh-CN"/>
              </w:rPr>
            </w:pPr>
            <w:r>
              <w:rPr>
                <w:rFonts w:hint="eastAsia"/>
                <w:color w:val="auto"/>
                <w:sz w:val="24"/>
                <w:lang w:val="en-US" w:eastAsia="zh-CN"/>
              </w:rPr>
              <w:t>3</w:t>
            </w:r>
            <w:r>
              <w:rPr>
                <w:color w:val="auto"/>
                <w:sz w:val="24"/>
              </w:rPr>
              <w:t>分</w:t>
            </w:r>
          </w:p>
        </w:tc>
      </w:tr>
      <w:tr w14:paraId="1B594B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397" w:type="pct"/>
            <w:noWrap w:val="0"/>
            <w:vAlign w:val="center"/>
          </w:tcPr>
          <w:p w14:paraId="2D1602EB">
            <w:pPr>
              <w:spacing w:line="276" w:lineRule="auto"/>
              <w:jc w:val="center"/>
              <w:rPr>
                <w:color w:val="auto"/>
              </w:rPr>
            </w:pPr>
            <w:r>
              <w:rPr>
                <w:color w:val="auto"/>
                <w:sz w:val="24"/>
              </w:rPr>
              <w:t>8</w:t>
            </w:r>
          </w:p>
        </w:tc>
        <w:tc>
          <w:tcPr>
            <w:tcW w:w="3591" w:type="pct"/>
            <w:noWrap w:val="0"/>
            <w:vAlign w:val="center"/>
          </w:tcPr>
          <w:p w14:paraId="740F12D3">
            <w:pPr>
              <w:spacing w:line="276" w:lineRule="auto"/>
              <w:rPr>
                <w:color w:val="auto"/>
              </w:rPr>
            </w:pPr>
            <w:r>
              <w:rPr>
                <w:rFonts w:hint="eastAsia"/>
                <w:color w:val="auto"/>
                <w:sz w:val="24"/>
                <w:lang w:val="en-US" w:eastAsia="zh-CN"/>
              </w:rPr>
              <w:t>价格分：</w:t>
            </w:r>
            <w:r>
              <w:rPr>
                <w:color w:val="auto"/>
                <w:sz w:val="24"/>
              </w:rPr>
              <w:t>以满足采购要求的最低有效报价为评标基准价，价格分满分30分。其他报价得分按公式计算：</w:t>
            </w:r>
            <w:r>
              <w:rPr>
                <w:rFonts w:hint="default"/>
                <w:color w:val="auto"/>
                <w:sz w:val="24"/>
              </w:rPr>
              <w:t>报价得分＝（评标基准价／有效报价）×30（结果保留两位小数，第三位四舍五入）。得分由采购人计算，评委审核。</w:t>
            </w:r>
          </w:p>
        </w:tc>
        <w:tc>
          <w:tcPr>
            <w:tcW w:w="505" w:type="pct"/>
            <w:noWrap w:val="0"/>
            <w:vAlign w:val="center"/>
          </w:tcPr>
          <w:p w14:paraId="469024F2">
            <w:pPr>
              <w:spacing w:line="276" w:lineRule="auto"/>
              <w:jc w:val="center"/>
              <w:rPr>
                <w:color w:val="auto"/>
              </w:rPr>
            </w:pPr>
            <w:r>
              <w:rPr>
                <w:color w:val="auto"/>
                <w:sz w:val="24"/>
              </w:rPr>
              <w:t>价格分</w:t>
            </w:r>
          </w:p>
        </w:tc>
        <w:tc>
          <w:tcPr>
            <w:tcW w:w="505" w:type="pct"/>
            <w:noWrap w:val="0"/>
            <w:vAlign w:val="center"/>
          </w:tcPr>
          <w:p w14:paraId="60BCEF0E">
            <w:pPr>
              <w:spacing w:line="276" w:lineRule="auto"/>
              <w:jc w:val="center"/>
              <w:rPr>
                <w:rFonts w:hint="eastAsia"/>
                <w:color w:val="auto"/>
                <w:lang w:val="en-US" w:eastAsia="zh-CN"/>
              </w:rPr>
            </w:pPr>
            <w:r>
              <w:rPr>
                <w:rFonts w:hint="eastAsia"/>
                <w:color w:val="auto"/>
                <w:sz w:val="24"/>
                <w:lang w:val="en-US" w:eastAsia="zh-CN"/>
              </w:rPr>
              <w:t>3</w:t>
            </w:r>
            <w:r>
              <w:rPr>
                <w:color w:val="auto"/>
                <w:sz w:val="24"/>
              </w:rPr>
              <w:t>0分</w:t>
            </w:r>
          </w:p>
        </w:tc>
      </w:tr>
      <w:tr w14:paraId="2A4B1B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97" w:type="pct"/>
            <w:noWrap w:val="0"/>
            <w:vAlign w:val="center"/>
          </w:tcPr>
          <w:p w14:paraId="5C450365">
            <w:pPr>
              <w:spacing w:line="276" w:lineRule="auto"/>
              <w:jc w:val="center"/>
              <w:rPr>
                <w:rFonts w:hint="eastAsia"/>
                <w:color w:val="auto"/>
                <w:lang w:eastAsia="zh-CN"/>
              </w:rPr>
            </w:pPr>
            <w:r>
              <w:rPr>
                <w:rFonts w:hint="eastAsia"/>
                <w:color w:val="auto"/>
                <w:sz w:val="24"/>
                <w:lang w:val="en-US" w:eastAsia="zh-CN"/>
              </w:rPr>
              <w:t>9</w:t>
            </w:r>
          </w:p>
        </w:tc>
        <w:tc>
          <w:tcPr>
            <w:tcW w:w="3591" w:type="pct"/>
            <w:noWrap w:val="0"/>
            <w:vAlign w:val="center"/>
          </w:tcPr>
          <w:p w14:paraId="23F825CC">
            <w:pPr>
              <w:spacing w:line="276" w:lineRule="auto"/>
              <w:rPr>
                <w:color w:val="auto"/>
              </w:rPr>
            </w:pPr>
            <w:r>
              <w:rPr>
                <w:rFonts w:hint="eastAsia"/>
                <w:color w:val="auto"/>
                <w:sz w:val="24"/>
              </w:rPr>
              <w:t>总分</w:t>
            </w:r>
          </w:p>
        </w:tc>
        <w:tc>
          <w:tcPr>
            <w:tcW w:w="505" w:type="pct"/>
            <w:noWrap w:val="0"/>
            <w:vAlign w:val="center"/>
          </w:tcPr>
          <w:p w14:paraId="7793333D">
            <w:pPr>
              <w:spacing w:line="276" w:lineRule="auto"/>
              <w:jc w:val="center"/>
              <w:rPr>
                <w:color w:val="auto"/>
              </w:rPr>
            </w:pPr>
          </w:p>
        </w:tc>
        <w:tc>
          <w:tcPr>
            <w:tcW w:w="505" w:type="pct"/>
            <w:noWrap w:val="0"/>
            <w:vAlign w:val="center"/>
          </w:tcPr>
          <w:p w14:paraId="4EC302A4">
            <w:pPr>
              <w:spacing w:line="276" w:lineRule="auto"/>
              <w:jc w:val="center"/>
              <w:rPr>
                <w:rFonts w:hint="eastAsia"/>
                <w:color w:val="auto"/>
              </w:rPr>
            </w:pPr>
            <w:r>
              <w:rPr>
                <w:rFonts w:hint="eastAsia"/>
                <w:color w:val="auto"/>
                <w:sz w:val="24"/>
              </w:rPr>
              <w:t>100分</w:t>
            </w:r>
          </w:p>
        </w:tc>
      </w:tr>
    </w:tbl>
    <w:p w14:paraId="21BEB04B">
      <w:pPr>
        <w:numPr>
          <w:ilvl w:val="0"/>
          <w:numId w:val="0"/>
        </w:numPr>
        <w:rPr>
          <w:rFonts w:hint="eastAsia"/>
          <w:color w:val="auto"/>
        </w:rPr>
      </w:pPr>
    </w:p>
    <w:p w14:paraId="6BD74E6C">
      <w:pPr>
        <w:rPr>
          <w:rFonts w:hint="eastAsia"/>
          <w:color w:val="auto"/>
        </w:rPr>
      </w:pPr>
      <w:r>
        <w:rPr>
          <w:rFonts w:hint="eastAsia"/>
          <w:color w:val="auto"/>
        </w:rPr>
        <w:br w:type="page"/>
      </w:r>
    </w:p>
    <w:p w14:paraId="581493B9">
      <w:pPr>
        <w:pStyle w:val="19"/>
        <w:numPr>
          <w:ilvl w:val="0"/>
          <w:numId w:val="10"/>
        </w:numPr>
        <w:rPr>
          <w:rFonts w:hint="eastAsia" w:eastAsia="宋体"/>
          <w:color w:val="auto"/>
        </w:rPr>
      </w:pPr>
      <w:bookmarkStart w:id="12" w:name="_Toc31724"/>
      <w:r>
        <w:rPr>
          <w:rFonts w:hint="eastAsia" w:eastAsia="宋体"/>
          <w:color w:val="auto"/>
        </w:rPr>
        <w:t>响应文件格式</w:t>
      </w:r>
      <w:bookmarkEnd w:id="12"/>
    </w:p>
    <w:p w14:paraId="737168A1">
      <w:pPr>
        <w:rPr>
          <w:b/>
          <w:bCs/>
          <w:color w:val="auto"/>
          <w:sz w:val="30"/>
          <w:szCs w:val="30"/>
        </w:rPr>
      </w:pPr>
      <w:r>
        <w:rPr>
          <w:rFonts w:hint="eastAsia"/>
          <w:b/>
          <w:bCs/>
          <w:color w:val="auto"/>
          <w:sz w:val="30"/>
          <w:szCs w:val="30"/>
        </w:rPr>
        <w:t>一、响应</w:t>
      </w:r>
      <w:r>
        <w:rPr>
          <w:b/>
          <w:bCs/>
          <w:color w:val="auto"/>
          <w:sz w:val="30"/>
          <w:szCs w:val="30"/>
        </w:rPr>
        <w:t>文件的组成</w:t>
      </w:r>
    </w:p>
    <w:p w14:paraId="7A8ED8F8">
      <w:pPr>
        <w:rPr>
          <w:rFonts w:eastAsiaTheme="minorEastAsia"/>
          <w:color w:val="auto"/>
          <w:sz w:val="24"/>
          <w:szCs w:val="22"/>
        </w:rPr>
      </w:pPr>
      <w:r>
        <w:rPr>
          <w:rFonts w:hint="eastAsia" w:eastAsiaTheme="minorEastAsia"/>
          <w:color w:val="auto"/>
          <w:sz w:val="24"/>
          <w:szCs w:val="22"/>
        </w:rPr>
        <w:t>响应文件由资格证明文件、商务技术文件、报价文件三部份组成。</w:t>
      </w:r>
    </w:p>
    <w:p w14:paraId="25FE4BD3">
      <w:pPr>
        <w:rPr>
          <w:rFonts w:eastAsiaTheme="minorEastAsia"/>
          <w:color w:val="auto"/>
          <w:sz w:val="24"/>
          <w:szCs w:val="22"/>
        </w:rPr>
      </w:pPr>
    </w:p>
    <w:p w14:paraId="104E61C3">
      <w:pPr>
        <w:rPr>
          <w:b/>
          <w:bCs/>
          <w:color w:val="auto"/>
          <w:sz w:val="30"/>
          <w:szCs w:val="30"/>
        </w:rPr>
      </w:pPr>
      <w:r>
        <w:rPr>
          <w:rFonts w:hint="eastAsia"/>
          <w:b/>
          <w:bCs/>
          <w:color w:val="auto"/>
          <w:sz w:val="30"/>
          <w:szCs w:val="30"/>
        </w:rPr>
        <w:t>二</w:t>
      </w:r>
      <w:r>
        <w:rPr>
          <w:b/>
          <w:bCs/>
          <w:color w:val="auto"/>
          <w:sz w:val="30"/>
          <w:szCs w:val="30"/>
        </w:rPr>
        <w:t>、</w:t>
      </w:r>
      <w:r>
        <w:rPr>
          <w:rFonts w:hint="eastAsia"/>
          <w:b/>
          <w:bCs/>
          <w:color w:val="auto"/>
          <w:sz w:val="30"/>
          <w:szCs w:val="30"/>
        </w:rPr>
        <w:t>响应</w:t>
      </w:r>
      <w:r>
        <w:rPr>
          <w:b/>
          <w:bCs/>
          <w:color w:val="auto"/>
          <w:sz w:val="30"/>
          <w:szCs w:val="30"/>
        </w:rPr>
        <w:t>文件内容按如下顺序制作：</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89"/>
        <w:gridCol w:w="3911"/>
        <w:gridCol w:w="2125"/>
      </w:tblGrid>
      <w:tr w14:paraId="414A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97" w:type="dxa"/>
            <w:vAlign w:val="center"/>
          </w:tcPr>
          <w:p w14:paraId="625075F0">
            <w:pPr>
              <w:rPr>
                <w:color w:val="auto"/>
              </w:rPr>
            </w:pPr>
            <w:r>
              <w:rPr>
                <w:color w:val="auto"/>
              </w:rPr>
              <w:t>序号</w:t>
            </w:r>
          </w:p>
        </w:tc>
        <w:tc>
          <w:tcPr>
            <w:tcW w:w="1789" w:type="dxa"/>
            <w:vAlign w:val="center"/>
          </w:tcPr>
          <w:p w14:paraId="5E305A15">
            <w:pPr>
              <w:rPr>
                <w:color w:val="auto"/>
              </w:rPr>
            </w:pPr>
            <w:r>
              <w:rPr>
                <w:rFonts w:hint="eastAsia"/>
                <w:color w:val="auto"/>
              </w:rPr>
              <w:t>组成</w:t>
            </w:r>
          </w:p>
        </w:tc>
        <w:tc>
          <w:tcPr>
            <w:tcW w:w="3911" w:type="dxa"/>
            <w:vAlign w:val="center"/>
          </w:tcPr>
          <w:p w14:paraId="424282A3">
            <w:pPr>
              <w:rPr>
                <w:color w:val="auto"/>
              </w:rPr>
            </w:pPr>
            <w:r>
              <w:rPr>
                <w:color w:val="auto"/>
              </w:rPr>
              <w:t>材料名称</w:t>
            </w:r>
          </w:p>
        </w:tc>
        <w:tc>
          <w:tcPr>
            <w:tcW w:w="2125" w:type="dxa"/>
            <w:vAlign w:val="center"/>
          </w:tcPr>
          <w:p w14:paraId="3E29DC5E">
            <w:pPr>
              <w:rPr>
                <w:color w:val="auto"/>
              </w:rPr>
            </w:pPr>
            <w:r>
              <w:rPr>
                <w:color w:val="auto"/>
              </w:rPr>
              <w:t>说明</w:t>
            </w:r>
          </w:p>
        </w:tc>
      </w:tr>
      <w:tr w14:paraId="1B3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CAD74A1">
            <w:pPr>
              <w:rPr>
                <w:color w:val="auto"/>
              </w:rPr>
            </w:pPr>
            <w:r>
              <w:rPr>
                <w:color w:val="auto"/>
              </w:rPr>
              <w:t>1</w:t>
            </w:r>
          </w:p>
        </w:tc>
        <w:tc>
          <w:tcPr>
            <w:tcW w:w="1789" w:type="dxa"/>
            <w:vAlign w:val="center"/>
          </w:tcPr>
          <w:p w14:paraId="7C1C7B16">
            <w:pPr>
              <w:rPr>
                <w:color w:val="auto"/>
              </w:rPr>
            </w:pPr>
            <w:r>
              <w:rPr>
                <w:rFonts w:hint="eastAsia"/>
                <w:color w:val="auto"/>
              </w:rPr>
              <w:t>封面</w:t>
            </w:r>
          </w:p>
        </w:tc>
        <w:tc>
          <w:tcPr>
            <w:tcW w:w="3911" w:type="dxa"/>
            <w:vAlign w:val="center"/>
          </w:tcPr>
          <w:p w14:paraId="69FC38E0">
            <w:pPr>
              <w:rPr>
                <w:color w:val="auto"/>
              </w:rPr>
            </w:pPr>
            <w:r>
              <w:rPr>
                <w:color w:val="auto"/>
              </w:rPr>
              <w:t>封面（附件1）</w:t>
            </w:r>
          </w:p>
        </w:tc>
        <w:tc>
          <w:tcPr>
            <w:tcW w:w="2125" w:type="dxa"/>
          </w:tcPr>
          <w:p w14:paraId="10846701">
            <w:pPr>
              <w:rPr>
                <w:color w:val="auto"/>
              </w:rPr>
            </w:pPr>
          </w:p>
        </w:tc>
      </w:tr>
      <w:tr w14:paraId="40B2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9DB4024">
            <w:pPr>
              <w:rPr>
                <w:color w:val="auto"/>
              </w:rPr>
            </w:pPr>
            <w:r>
              <w:rPr>
                <w:color w:val="auto"/>
              </w:rPr>
              <w:t>2</w:t>
            </w:r>
          </w:p>
        </w:tc>
        <w:tc>
          <w:tcPr>
            <w:tcW w:w="1789" w:type="dxa"/>
            <w:vMerge w:val="restart"/>
            <w:vAlign w:val="center"/>
          </w:tcPr>
          <w:p w14:paraId="6242252F">
            <w:pPr>
              <w:rPr>
                <w:color w:val="auto"/>
              </w:rPr>
            </w:pPr>
            <w:r>
              <w:rPr>
                <w:rFonts w:hint="eastAsia"/>
                <w:color w:val="auto"/>
              </w:rPr>
              <w:t>资格</w:t>
            </w:r>
            <w:r>
              <w:rPr>
                <w:color w:val="auto"/>
              </w:rPr>
              <w:t>证明文件</w:t>
            </w:r>
          </w:p>
        </w:tc>
        <w:tc>
          <w:tcPr>
            <w:tcW w:w="3911" w:type="dxa"/>
            <w:vAlign w:val="center"/>
          </w:tcPr>
          <w:p w14:paraId="3E90A478">
            <w:pPr>
              <w:rPr>
                <w:color w:val="auto"/>
              </w:rPr>
            </w:pPr>
            <w:r>
              <w:rPr>
                <w:color w:val="auto"/>
              </w:rPr>
              <w:t>采购公告发布之日起至公告截止日内任意时间的“信用中国”网站（www.creditchina.gov.cn）的响应供应商信用查询网页截图</w:t>
            </w:r>
          </w:p>
        </w:tc>
        <w:tc>
          <w:tcPr>
            <w:tcW w:w="2125" w:type="dxa"/>
          </w:tcPr>
          <w:p w14:paraId="55529393">
            <w:pPr>
              <w:rPr>
                <w:color w:val="auto"/>
              </w:rPr>
            </w:pPr>
          </w:p>
        </w:tc>
      </w:tr>
      <w:tr w14:paraId="64C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8874EBC">
            <w:pPr>
              <w:rPr>
                <w:color w:val="auto"/>
              </w:rPr>
            </w:pPr>
            <w:r>
              <w:rPr>
                <w:color w:val="auto"/>
              </w:rPr>
              <w:t>3</w:t>
            </w:r>
          </w:p>
        </w:tc>
        <w:tc>
          <w:tcPr>
            <w:tcW w:w="1789" w:type="dxa"/>
            <w:vMerge w:val="continue"/>
            <w:vAlign w:val="center"/>
          </w:tcPr>
          <w:p w14:paraId="249DA663">
            <w:pPr>
              <w:rPr>
                <w:color w:val="auto"/>
              </w:rPr>
            </w:pPr>
          </w:p>
        </w:tc>
        <w:tc>
          <w:tcPr>
            <w:tcW w:w="3911" w:type="dxa"/>
            <w:vAlign w:val="center"/>
          </w:tcPr>
          <w:p w14:paraId="4E9172FF">
            <w:pPr>
              <w:rPr>
                <w:color w:val="auto"/>
              </w:rPr>
            </w:pPr>
            <w:r>
              <w:rPr>
                <w:color w:val="auto"/>
              </w:rPr>
              <w:t>企业营业执照</w:t>
            </w:r>
          </w:p>
        </w:tc>
        <w:tc>
          <w:tcPr>
            <w:tcW w:w="2125" w:type="dxa"/>
          </w:tcPr>
          <w:p w14:paraId="3B89463F">
            <w:pPr>
              <w:rPr>
                <w:color w:val="auto"/>
              </w:rPr>
            </w:pPr>
          </w:p>
        </w:tc>
      </w:tr>
      <w:tr w14:paraId="2CE7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81FB769">
            <w:pPr>
              <w:rPr>
                <w:color w:val="auto"/>
              </w:rPr>
            </w:pPr>
            <w:r>
              <w:rPr>
                <w:color w:val="auto"/>
              </w:rPr>
              <w:t>4</w:t>
            </w:r>
          </w:p>
        </w:tc>
        <w:tc>
          <w:tcPr>
            <w:tcW w:w="1789" w:type="dxa"/>
            <w:vMerge w:val="continue"/>
            <w:vAlign w:val="center"/>
          </w:tcPr>
          <w:p w14:paraId="162F5821">
            <w:pPr>
              <w:rPr>
                <w:color w:val="auto"/>
              </w:rPr>
            </w:pPr>
          </w:p>
        </w:tc>
        <w:tc>
          <w:tcPr>
            <w:tcW w:w="3911" w:type="dxa"/>
            <w:vAlign w:val="center"/>
          </w:tcPr>
          <w:p w14:paraId="4AFA00B2">
            <w:pPr>
              <w:rPr>
                <w:color w:val="auto"/>
              </w:rPr>
            </w:pPr>
            <w:r>
              <w:rPr>
                <w:color w:val="auto"/>
              </w:rPr>
              <w:t>法人代表身份证复印件</w:t>
            </w:r>
          </w:p>
        </w:tc>
        <w:tc>
          <w:tcPr>
            <w:tcW w:w="2125" w:type="dxa"/>
          </w:tcPr>
          <w:p w14:paraId="2181857A">
            <w:pPr>
              <w:rPr>
                <w:color w:val="auto"/>
              </w:rPr>
            </w:pPr>
          </w:p>
        </w:tc>
      </w:tr>
      <w:tr w14:paraId="14B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F18BE43">
            <w:pPr>
              <w:rPr>
                <w:color w:val="auto"/>
              </w:rPr>
            </w:pPr>
            <w:r>
              <w:rPr>
                <w:rFonts w:hint="eastAsia"/>
                <w:color w:val="auto"/>
              </w:rPr>
              <w:t>5</w:t>
            </w:r>
          </w:p>
        </w:tc>
        <w:tc>
          <w:tcPr>
            <w:tcW w:w="1789" w:type="dxa"/>
            <w:vMerge w:val="continue"/>
            <w:vAlign w:val="center"/>
          </w:tcPr>
          <w:p w14:paraId="75152107">
            <w:pPr>
              <w:rPr>
                <w:color w:val="auto"/>
              </w:rPr>
            </w:pPr>
          </w:p>
        </w:tc>
        <w:tc>
          <w:tcPr>
            <w:tcW w:w="3911" w:type="dxa"/>
            <w:vAlign w:val="center"/>
          </w:tcPr>
          <w:p w14:paraId="10A1936D">
            <w:pPr>
              <w:rPr>
                <w:color w:val="auto"/>
              </w:rPr>
            </w:pPr>
            <w:r>
              <w:rPr>
                <w:color w:val="auto"/>
              </w:rPr>
              <w:t>销售人员身份证复印件</w:t>
            </w:r>
          </w:p>
        </w:tc>
        <w:tc>
          <w:tcPr>
            <w:tcW w:w="2125" w:type="dxa"/>
          </w:tcPr>
          <w:p w14:paraId="69AC0D95">
            <w:pPr>
              <w:rPr>
                <w:color w:val="auto"/>
              </w:rPr>
            </w:pPr>
          </w:p>
        </w:tc>
      </w:tr>
      <w:tr w14:paraId="0BE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48EAC21">
            <w:pPr>
              <w:rPr>
                <w:color w:val="auto"/>
              </w:rPr>
            </w:pPr>
            <w:r>
              <w:rPr>
                <w:rFonts w:hint="eastAsia"/>
                <w:color w:val="auto"/>
              </w:rPr>
              <w:t>6</w:t>
            </w:r>
          </w:p>
        </w:tc>
        <w:tc>
          <w:tcPr>
            <w:tcW w:w="1789" w:type="dxa"/>
            <w:vMerge w:val="restart"/>
            <w:vAlign w:val="center"/>
          </w:tcPr>
          <w:p w14:paraId="39466D97">
            <w:pPr>
              <w:rPr>
                <w:color w:val="auto"/>
              </w:rPr>
            </w:pPr>
            <w:r>
              <w:rPr>
                <w:rFonts w:hint="eastAsia" w:eastAsiaTheme="minorEastAsia"/>
                <w:color w:val="auto"/>
                <w:sz w:val="24"/>
                <w:szCs w:val="22"/>
              </w:rPr>
              <w:t>商务技术文件</w:t>
            </w:r>
          </w:p>
        </w:tc>
        <w:tc>
          <w:tcPr>
            <w:tcW w:w="3911" w:type="dxa"/>
            <w:vAlign w:val="center"/>
          </w:tcPr>
          <w:p w14:paraId="3908029A">
            <w:pPr>
              <w:rPr>
                <w:color w:val="auto"/>
              </w:rPr>
            </w:pPr>
            <w:r>
              <w:rPr>
                <w:color w:val="auto"/>
              </w:rPr>
              <w:t>声明书（附件2）</w:t>
            </w:r>
          </w:p>
        </w:tc>
        <w:tc>
          <w:tcPr>
            <w:tcW w:w="2125" w:type="dxa"/>
          </w:tcPr>
          <w:p w14:paraId="001FD3C8">
            <w:pPr>
              <w:rPr>
                <w:color w:val="auto"/>
              </w:rPr>
            </w:pPr>
          </w:p>
        </w:tc>
      </w:tr>
      <w:tr w14:paraId="527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4073F54">
            <w:pPr>
              <w:rPr>
                <w:color w:val="auto"/>
              </w:rPr>
            </w:pPr>
            <w:r>
              <w:rPr>
                <w:rFonts w:hint="eastAsia"/>
                <w:color w:val="auto"/>
              </w:rPr>
              <w:t>7</w:t>
            </w:r>
          </w:p>
        </w:tc>
        <w:tc>
          <w:tcPr>
            <w:tcW w:w="1789" w:type="dxa"/>
            <w:vMerge w:val="continue"/>
          </w:tcPr>
          <w:p w14:paraId="18AAF8CC">
            <w:pPr>
              <w:rPr>
                <w:color w:val="auto"/>
              </w:rPr>
            </w:pPr>
          </w:p>
        </w:tc>
        <w:tc>
          <w:tcPr>
            <w:tcW w:w="3911" w:type="dxa"/>
            <w:vAlign w:val="center"/>
          </w:tcPr>
          <w:p w14:paraId="3945BD51">
            <w:pPr>
              <w:rPr>
                <w:color w:val="auto"/>
              </w:rPr>
            </w:pPr>
            <w:r>
              <w:rPr>
                <w:color w:val="auto"/>
              </w:rPr>
              <w:t>法定代表人授权委托书（附件3）</w:t>
            </w:r>
          </w:p>
        </w:tc>
        <w:tc>
          <w:tcPr>
            <w:tcW w:w="2125" w:type="dxa"/>
          </w:tcPr>
          <w:p w14:paraId="452631A1">
            <w:pPr>
              <w:rPr>
                <w:color w:val="auto"/>
              </w:rPr>
            </w:pPr>
          </w:p>
        </w:tc>
      </w:tr>
      <w:tr w14:paraId="6BB2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7" w:type="dxa"/>
          </w:tcPr>
          <w:p w14:paraId="750515F1">
            <w:pPr>
              <w:rPr>
                <w:color w:val="auto"/>
              </w:rPr>
            </w:pPr>
            <w:r>
              <w:rPr>
                <w:rFonts w:hint="eastAsia"/>
                <w:color w:val="auto"/>
              </w:rPr>
              <w:t>8</w:t>
            </w:r>
          </w:p>
        </w:tc>
        <w:tc>
          <w:tcPr>
            <w:tcW w:w="1789" w:type="dxa"/>
            <w:vMerge w:val="continue"/>
          </w:tcPr>
          <w:p w14:paraId="2E826EAA">
            <w:pPr>
              <w:rPr>
                <w:color w:val="auto"/>
              </w:rPr>
            </w:pPr>
          </w:p>
        </w:tc>
        <w:tc>
          <w:tcPr>
            <w:tcW w:w="3911" w:type="dxa"/>
            <w:vAlign w:val="center"/>
          </w:tcPr>
          <w:p w14:paraId="23D96FBB">
            <w:pPr>
              <w:rPr>
                <w:color w:val="auto"/>
              </w:rPr>
            </w:pPr>
            <w:r>
              <w:rPr>
                <w:color w:val="auto"/>
              </w:rPr>
              <w:t>经营许可证或生产许可证（</w:t>
            </w:r>
            <w:r>
              <w:rPr>
                <w:rFonts w:hint="eastAsia"/>
                <w:color w:val="auto"/>
              </w:rPr>
              <w:t>若</w:t>
            </w:r>
            <w:r>
              <w:rPr>
                <w:color w:val="auto"/>
              </w:rPr>
              <w:t>需要）</w:t>
            </w:r>
          </w:p>
        </w:tc>
        <w:tc>
          <w:tcPr>
            <w:tcW w:w="2125" w:type="dxa"/>
          </w:tcPr>
          <w:p w14:paraId="12A6DA5E">
            <w:pPr>
              <w:rPr>
                <w:color w:val="auto"/>
              </w:rPr>
            </w:pPr>
          </w:p>
        </w:tc>
      </w:tr>
      <w:tr w14:paraId="32C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A50541">
            <w:pPr>
              <w:rPr>
                <w:color w:val="auto"/>
              </w:rPr>
            </w:pPr>
            <w:r>
              <w:rPr>
                <w:color w:val="auto"/>
              </w:rPr>
              <w:t>9</w:t>
            </w:r>
          </w:p>
        </w:tc>
        <w:tc>
          <w:tcPr>
            <w:tcW w:w="1789" w:type="dxa"/>
            <w:vMerge w:val="continue"/>
          </w:tcPr>
          <w:p w14:paraId="0C4272BC">
            <w:pPr>
              <w:rPr>
                <w:color w:val="auto"/>
              </w:rPr>
            </w:pPr>
          </w:p>
        </w:tc>
        <w:tc>
          <w:tcPr>
            <w:tcW w:w="3911" w:type="dxa"/>
            <w:vAlign w:val="center"/>
          </w:tcPr>
          <w:p w14:paraId="7A0CC092">
            <w:pPr>
              <w:rPr>
                <w:color w:val="auto"/>
              </w:rPr>
            </w:pPr>
            <w:r>
              <w:rPr>
                <w:color w:val="auto"/>
              </w:rPr>
              <w:t>厂家给经销商</w:t>
            </w:r>
            <w:r>
              <w:rPr>
                <w:rFonts w:hint="eastAsia"/>
                <w:color w:val="auto"/>
              </w:rPr>
              <w:t>的逐级</w:t>
            </w:r>
            <w:r>
              <w:rPr>
                <w:color w:val="auto"/>
              </w:rPr>
              <w:t>授权</w:t>
            </w:r>
            <w:r>
              <w:rPr>
                <w:rFonts w:hint="eastAsia"/>
                <w:color w:val="auto"/>
              </w:rPr>
              <w:t>书</w:t>
            </w:r>
            <w:r>
              <w:rPr>
                <w:color w:val="auto"/>
              </w:rPr>
              <w:t>（</w:t>
            </w:r>
            <w:r>
              <w:rPr>
                <w:rFonts w:hint="eastAsia"/>
                <w:color w:val="auto"/>
              </w:rPr>
              <w:t>若</w:t>
            </w:r>
            <w:r>
              <w:rPr>
                <w:color w:val="auto"/>
              </w:rPr>
              <w:t>需要）</w:t>
            </w:r>
          </w:p>
        </w:tc>
        <w:tc>
          <w:tcPr>
            <w:tcW w:w="2125" w:type="dxa"/>
          </w:tcPr>
          <w:p w14:paraId="306D54BB">
            <w:pPr>
              <w:rPr>
                <w:color w:val="auto"/>
              </w:rPr>
            </w:pPr>
          </w:p>
        </w:tc>
      </w:tr>
      <w:tr w14:paraId="50D5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EE50CF9">
            <w:pPr>
              <w:rPr>
                <w:color w:val="auto"/>
              </w:rPr>
            </w:pPr>
            <w:r>
              <w:rPr>
                <w:color w:val="auto"/>
              </w:rPr>
              <w:t>10</w:t>
            </w:r>
          </w:p>
        </w:tc>
        <w:tc>
          <w:tcPr>
            <w:tcW w:w="1789" w:type="dxa"/>
            <w:vMerge w:val="continue"/>
          </w:tcPr>
          <w:p w14:paraId="2BFACB00">
            <w:pPr>
              <w:rPr>
                <w:color w:val="auto"/>
              </w:rPr>
            </w:pPr>
          </w:p>
        </w:tc>
        <w:tc>
          <w:tcPr>
            <w:tcW w:w="3911" w:type="dxa"/>
            <w:vAlign w:val="center"/>
          </w:tcPr>
          <w:p w14:paraId="0848F427">
            <w:pPr>
              <w:rPr>
                <w:color w:val="auto"/>
              </w:rPr>
            </w:pPr>
            <w:r>
              <w:rPr>
                <w:rFonts w:hint="eastAsia"/>
                <w:color w:val="auto"/>
                <w:lang w:val="en-US" w:eastAsia="zh-CN"/>
              </w:rPr>
              <w:t>资质</w:t>
            </w:r>
            <w:r>
              <w:rPr>
                <w:rFonts w:hint="eastAsia"/>
                <w:color w:val="auto"/>
              </w:rPr>
              <w:t>证书</w:t>
            </w:r>
          </w:p>
        </w:tc>
        <w:tc>
          <w:tcPr>
            <w:tcW w:w="2125" w:type="dxa"/>
          </w:tcPr>
          <w:p w14:paraId="2935A505">
            <w:pPr>
              <w:rPr>
                <w:color w:val="auto"/>
              </w:rPr>
            </w:pPr>
            <w:r>
              <w:rPr>
                <w:rFonts w:hint="eastAsia"/>
                <w:b/>
                <w:bCs/>
                <w:color w:val="auto"/>
              </w:rPr>
              <w:t>须提供资质证书复印件加盖公章</w:t>
            </w:r>
          </w:p>
        </w:tc>
      </w:tr>
      <w:tr w14:paraId="748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5DBC97">
            <w:pPr>
              <w:rPr>
                <w:color w:val="auto"/>
              </w:rPr>
            </w:pPr>
            <w:r>
              <w:rPr>
                <w:color w:val="auto"/>
              </w:rPr>
              <w:t>11</w:t>
            </w:r>
          </w:p>
        </w:tc>
        <w:tc>
          <w:tcPr>
            <w:tcW w:w="1789" w:type="dxa"/>
            <w:vMerge w:val="continue"/>
          </w:tcPr>
          <w:p w14:paraId="6E7E01AB">
            <w:pPr>
              <w:rPr>
                <w:color w:val="auto"/>
              </w:rPr>
            </w:pPr>
          </w:p>
        </w:tc>
        <w:tc>
          <w:tcPr>
            <w:tcW w:w="3911" w:type="dxa"/>
            <w:vAlign w:val="center"/>
          </w:tcPr>
          <w:p w14:paraId="2E4EDE7F">
            <w:pPr>
              <w:rPr>
                <w:color w:val="auto"/>
              </w:rPr>
            </w:pPr>
            <w:r>
              <w:rPr>
                <w:color w:val="auto"/>
              </w:rPr>
              <w:t>技术响应表（附件4）</w:t>
            </w:r>
          </w:p>
        </w:tc>
        <w:tc>
          <w:tcPr>
            <w:tcW w:w="2125" w:type="dxa"/>
          </w:tcPr>
          <w:p w14:paraId="3D528195">
            <w:pPr>
              <w:rPr>
                <w:color w:val="auto"/>
              </w:rPr>
            </w:pPr>
            <w:r>
              <w:rPr>
                <w:rFonts w:hint="eastAsia"/>
                <w:b/>
                <w:color w:val="auto"/>
              </w:rPr>
              <w:t>项目内容和技术要求、商务要求均需逐项响应</w:t>
            </w:r>
          </w:p>
        </w:tc>
      </w:tr>
      <w:tr w14:paraId="57AD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5F0CF84">
            <w:pPr>
              <w:rPr>
                <w:color w:val="auto"/>
              </w:rPr>
            </w:pPr>
            <w:r>
              <w:rPr>
                <w:color w:val="auto"/>
              </w:rPr>
              <w:t>13</w:t>
            </w:r>
          </w:p>
        </w:tc>
        <w:tc>
          <w:tcPr>
            <w:tcW w:w="1789" w:type="dxa"/>
            <w:vMerge w:val="continue"/>
          </w:tcPr>
          <w:p w14:paraId="744E1A71">
            <w:pPr>
              <w:rPr>
                <w:color w:val="auto"/>
              </w:rPr>
            </w:pPr>
          </w:p>
        </w:tc>
        <w:tc>
          <w:tcPr>
            <w:tcW w:w="3911" w:type="dxa"/>
            <w:vAlign w:val="center"/>
          </w:tcPr>
          <w:p w14:paraId="0BDA633F">
            <w:pPr>
              <w:rPr>
                <w:color w:val="auto"/>
              </w:rPr>
            </w:pPr>
            <w:r>
              <w:rPr>
                <w:rFonts w:hint="eastAsia"/>
                <w:color w:val="auto"/>
              </w:rPr>
              <w:t>所投</w:t>
            </w:r>
            <w:r>
              <w:rPr>
                <w:color w:val="auto"/>
              </w:rPr>
              <w:t>产品彩页</w:t>
            </w:r>
            <w:r>
              <w:rPr>
                <w:rFonts w:hint="eastAsia"/>
                <w:color w:val="auto"/>
              </w:rPr>
              <w:t>、</w:t>
            </w:r>
            <w:r>
              <w:rPr>
                <w:color w:val="auto"/>
              </w:rPr>
              <w:t>技术参数文件</w:t>
            </w:r>
          </w:p>
        </w:tc>
        <w:tc>
          <w:tcPr>
            <w:tcW w:w="2125" w:type="dxa"/>
          </w:tcPr>
          <w:p w14:paraId="52025E09">
            <w:pPr>
              <w:rPr>
                <w:color w:val="auto"/>
              </w:rPr>
            </w:pPr>
          </w:p>
        </w:tc>
      </w:tr>
      <w:tr w14:paraId="102B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82F9FB">
            <w:pPr>
              <w:rPr>
                <w:color w:val="auto"/>
              </w:rPr>
            </w:pPr>
            <w:r>
              <w:rPr>
                <w:rFonts w:hint="eastAsia"/>
                <w:color w:val="auto"/>
              </w:rPr>
              <w:t>14</w:t>
            </w:r>
          </w:p>
        </w:tc>
        <w:tc>
          <w:tcPr>
            <w:tcW w:w="1789" w:type="dxa"/>
            <w:vMerge w:val="continue"/>
          </w:tcPr>
          <w:p w14:paraId="052BFFF4">
            <w:pPr>
              <w:rPr>
                <w:color w:val="auto"/>
              </w:rPr>
            </w:pPr>
          </w:p>
        </w:tc>
        <w:tc>
          <w:tcPr>
            <w:tcW w:w="3911" w:type="dxa"/>
            <w:vAlign w:val="center"/>
          </w:tcPr>
          <w:p w14:paraId="5D94AC65">
            <w:pPr>
              <w:rPr>
                <w:color w:val="auto"/>
              </w:rPr>
            </w:pPr>
            <w:r>
              <w:rPr>
                <w:rFonts w:hint="eastAsia"/>
                <w:color w:val="auto"/>
              </w:rPr>
              <w:t>维保</w:t>
            </w:r>
            <w:r>
              <w:rPr>
                <w:color w:val="auto"/>
              </w:rPr>
              <w:t>方案</w:t>
            </w:r>
          </w:p>
        </w:tc>
        <w:tc>
          <w:tcPr>
            <w:tcW w:w="2125" w:type="dxa"/>
          </w:tcPr>
          <w:p w14:paraId="2B03B25D">
            <w:pPr>
              <w:rPr>
                <w:color w:val="auto"/>
              </w:rPr>
            </w:pPr>
          </w:p>
        </w:tc>
      </w:tr>
      <w:tr w14:paraId="02E2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4B3ECED">
            <w:pPr>
              <w:rPr>
                <w:color w:val="auto"/>
              </w:rPr>
            </w:pPr>
            <w:r>
              <w:rPr>
                <w:rFonts w:hint="eastAsia"/>
                <w:color w:val="auto"/>
              </w:rPr>
              <w:t>15</w:t>
            </w:r>
          </w:p>
        </w:tc>
        <w:tc>
          <w:tcPr>
            <w:tcW w:w="1789" w:type="dxa"/>
            <w:vMerge w:val="continue"/>
          </w:tcPr>
          <w:p w14:paraId="21724648">
            <w:pPr>
              <w:rPr>
                <w:color w:val="auto"/>
              </w:rPr>
            </w:pPr>
          </w:p>
        </w:tc>
        <w:tc>
          <w:tcPr>
            <w:tcW w:w="3911" w:type="dxa"/>
            <w:vAlign w:val="center"/>
          </w:tcPr>
          <w:p w14:paraId="28956B9A">
            <w:pPr>
              <w:rPr>
                <w:color w:val="auto"/>
              </w:rPr>
            </w:pPr>
            <w:r>
              <w:rPr>
                <w:rFonts w:hint="eastAsia"/>
                <w:color w:val="auto"/>
              </w:rPr>
              <w:t>售后</w:t>
            </w:r>
            <w:r>
              <w:rPr>
                <w:color w:val="auto"/>
              </w:rPr>
              <w:t>服务方案</w:t>
            </w:r>
          </w:p>
        </w:tc>
        <w:tc>
          <w:tcPr>
            <w:tcW w:w="2125" w:type="dxa"/>
          </w:tcPr>
          <w:p w14:paraId="5EBDAAB9">
            <w:pPr>
              <w:rPr>
                <w:color w:val="auto"/>
              </w:rPr>
            </w:pPr>
          </w:p>
        </w:tc>
      </w:tr>
      <w:tr w14:paraId="1084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123876B">
            <w:pPr>
              <w:rPr>
                <w:color w:val="auto"/>
              </w:rPr>
            </w:pPr>
            <w:r>
              <w:rPr>
                <w:rFonts w:hint="eastAsia"/>
                <w:color w:val="auto"/>
              </w:rPr>
              <w:t>16</w:t>
            </w:r>
          </w:p>
        </w:tc>
        <w:tc>
          <w:tcPr>
            <w:tcW w:w="1789" w:type="dxa"/>
            <w:vMerge w:val="continue"/>
          </w:tcPr>
          <w:p w14:paraId="2CE6C3A7">
            <w:pPr>
              <w:rPr>
                <w:color w:val="auto"/>
              </w:rPr>
            </w:pPr>
          </w:p>
        </w:tc>
        <w:tc>
          <w:tcPr>
            <w:tcW w:w="3911" w:type="dxa"/>
            <w:vAlign w:val="center"/>
          </w:tcPr>
          <w:p w14:paraId="10E31746">
            <w:pPr>
              <w:rPr>
                <w:color w:val="auto"/>
              </w:rPr>
            </w:pPr>
            <w:r>
              <w:rPr>
                <w:rFonts w:hAnsi="宋体"/>
                <w:color w:val="auto"/>
                <w:kern w:val="0"/>
                <w:szCs w:val="21"/>
              </w:rPr>
              <w:t>提供</w:t>
            </w:r>
            <w:r>
              <w:rPr>
                <w:rFonts w:hint="eastAsia" w:hAnsi="宋体"/>
                <w:color w:val="auto"/>
                <w:kern w:val="0"/>
                <w:szCs w:val="21"/>
                <w:lang w:val="en-US" w:eastAsia="zh-CN"/>
              </w:rPr>
              <w:t>近三年</w:t>
            </w:r>
            <w:r>
              <w:rPr>
                <w:rFonts w:hint="eastAsia" w:hAnsi="宋体"/>
                <w:color w:val="auto"/>
                <w:kern w:val="0"/>
                <w:szCs w:val="21"/>
              </w:rPr>
              <w:t>案例</w:t>
            </w:r>
            <w:r>
              <w:rPr>
                <w:rFonts w:hAnsi="宋体"/>
                <w:color w:val="auto"/>
                <w:kern w:val="0"/>
                <w:szCs w:val="21"/>
              </w:rPr>
              <w:t>用户名单及合同复印件</w:t>
            </w:r>
          </w:p>
        </w:tc>
        <w:tc>
          <w:tcPr>
            <w:tcW w:w="2125" w:type="dxa"/>
          </w:tcPr>
          <w:p w14:paraId="2A3FD2C7">
            <w:pPr>
              <w:rPr>
                <w:b/>
                <w:color w:val="auto"/>
              </w:rPr>
            </w:pPr>
            <w:r>
              <w:rPr>
                <w:rFonts w:hint="eastAsia"/>
                <w:b/>
                <w:color w:val="auto"/>
              </w:rPr>
              <w:t>合同配置及价格清晰可见，且加盖公章，否则案例无效</w:t>
            </w:r>
          </w:p>
        </w:tc>
      </w:tr>
      <w:tr w14:paraId="2F77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3872264">
            <w:pPr>
              <w:rPr>
                <w:color w:val="auto"/>
              </w:rPr>
            </w:pPr>
            <w:r>
              <w:rPr>
                <w:rFonts w:hint="eastAsia"/>
                <w:color w:val="auto"/>
              </w:rPr>
              <w:t>17</w:t>
            </w:r>
          </w:p>
        </w:tc>
        <w:tc>
          <w:tcPr>
            <w:tcW w:w="1789" w:type="dxa"/>
            <w:vMerge w:val="continue"/>
          </w:tcPr>
          <w:p w14:paraId="7A34F892">
            <w:pPr>
              <w:rPr>
                <w:color w:val="auto"/>
              </w:rPr>
            </w:pPr>
          </w:p>
        </w:tc>
        <w:tc>
          <w:tcPr>
            <w:tcW w:w="3911" w:type="dxa"/>
            <w:vAlign w:val="center"/>
          </w:tcPr>
          <w:p w14:paraId="021000E4">
            <w:pPr>
              <w:rPr>
                <w:color w:val="auto"/>
              </w:rPr>
            </w:pPr>
            <w:r>
              <w:rPr>
                <w:color w:val="auto"/>
              </w:rPr>
              <w:t>其他优惠条件</w:t>
            </w:r>
          </w:p>
        </w:tc>
        <w:tc>
          <w:tcPr>
            <w:tcW w:w="2125" w:type="dxa"/>
          </w:tcPr>
          <w:p w14:paraId="13403B80">
            <w:pPr>
              <w:rPr>
                <w:color w:val="auto"/>
              </w:rPr>
            </w:pPr>
          </w:p>
        </w:tc>
      </w:tr>
      <w:tr w14:paraId="2944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7BCC8F0">
            <w:pPr>
              <w:rPr>
                <w:color w:val="auto"/>
              </w:rPr>
            </w:pPr>
            <w:r>
              <w:rPr>
                <w:rFonts w:hint="eastAsia"/>
                <w:color w:val="auto"/>
              </w:rPr>
              <w:t>18</w:t>
            </w:r>
          </w:p>
        </w:tc>
        <w:tc>
          <w:tcPr>
            <w:tcW w:w="1789" w:type="dxa"/>
            <w:vAlign w:val="center"/>
          </w:tcPr>
          <w:p w14:paraId="79B23662">
            <w:pPr>
              <w:rPr>
                <w:color w:val="auto"/>
              </w:rPr>
            </w:pPr>
            <w:r>
              <w:rPr>
                <w:rFonts w:hint="eastAsia" w:eastAsiaTheme="minorEastAsia"/>
                <w:color w:val="auto"/>
                <w:sz w:val="24"/>
                <w:szCs w:val="22"/>
              </w:rPr>
              <w:t>报价文件</w:t>
            </w:r>
          </w:p>
        </w:tc>
        <w:tc>
          <w:tcPr>
            <w:tcW w:w="3911" w:type="dxa"/>
            <w:vAlign w:val="center"/>
          </w:tcPr>
          <w:p w14:paraId="0F297331">
            <w:pPr>
              <w:rPr>
                <w:color w:val="auto"/>
              </w:rPr>
            </w:pPr>
            <w:r>
              <w:rPr>
                <w:color w:val="auto"/>
              </w:rPr>
              <w:t>项目报价单（附件</w:t>
            </w:r>
            <w:r>
              <w:rPr>
                <w:rFonts w:hint="eastAsia"/>
                <w:color w:val="auto"/>
              </w:rPr>
              <w:t>5</w:t>
            </w:r>
            <w:r>
              <w:rPr>
                <w:color w:val="auto"/>
              </w:rPr>
              <w:t>）</w:t>
            </w:r>
          </w:p>
        </w:tc>
        <w:tc>
          <w:tcPr>
            <w:tcW w:w="2125" w:type="dxa"/>
          </w:tcPr>
          <w:p w14:paraId="6A90D58C">
            <w:pPr>
              <w:rPr>
                <w:color w:val="auto"/>
              </w:rPr>
            </w:pPr>
          </w:p>
        </w:tc>
      </w:tr>
    </w:tbl>
    <w:p w14:paraId="22BB4559">
      <w:pPr>
        <w:rPr>
          <w:b/>
          <w:bCs/>
          <w:color w:val="auto"/>
          <w:sz w:val="24"/>
        </w:rPr>
      </w:pPr>
      <w:r>
        <w:rPr>
          <w:b/>
          <w:color w:val="auto"/>
        </w:rPr>
        <w:t>注：正本所有文件需加盖公司红章，副本为正本的复印件。</w:t>
      </w:r>
    </w:p>
    <w:p w14:paraId="43AF23EF">
      <w:pPr>
        <w:rPr>
          <w:b/>
          <w:bCs/>
          <w:color w:val="auto"/>
          <w:sz w:val="32"/>
        </w:rPr>
      </w:pPr>
    </w:p>
    <w:p w14:paraId="200C4707">
      <w:pPr>
        <w:rPr>
          <w:color w:val="auto"/>
        </w:rPr>
      </w:pPr>
    </w:p>
    <w:p w14:paraId="07AF66D8">
      <w:pPr>
        <w:rPr>
          <w:b/>
          <w:bCs/>
          <w:color w:val="auto"/>
          <w:sz w:val="32"/>
        </w:rPr>
      </w:pPr>
    </w:p>
    <w:p w14:paraId="10E119B5">
      <w:pPr>
        <w:rPr>
          <w:b/>
          <w:bCs/>
          <w:color w:val="auto"/>
          <w:sz w:val="32"/>
        </w:rPr>
      </w:pPr>
    </w:p>
    <w:p w14:paraId="5F1F2D16">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1</w:t>
      </w:r>
      <w:r>
        <w:rPr>
          <w:rFonts w:hAnsi="仿宋" w:eastAsia="仿宋"/>
          <w:color w:val="auto"/>
          <w:sz w:val="30"/>
          <w:szCs w:val="30"/>
        </w:rPr>
        <w:t>：响应文件封面</w:t>
      </w:r>
      <w:r>
        <w:rPr>
          <w:rFonts w:hAnsi="仿宋" w:eastAsia="仿宋"/>
          <w:bCs/>
          <w:color w:val="auto"/>
          <w:sz w:val="30"/>
          <w:szCs w:val="30"/>
        </w:rPr>
        <w:t>正本或副本</w:t>
      </w:r>
    </w:p>
    <w:p w14:paraId="04D4A157">
      <w:pPr>
        <w:ind w:firstLine="1320" w:firstLineChars="300"/>
        <w:rPr>
          <w:color w:val="auto"/>
          <w:sz w:val="44"/>
          <w:szCs w:val="44"/>
        </w:rPr>
      </w:pPr>
      <w:r>
        <w:rPr>
          <w:rFonts w:hAnsi="Calibri"/>
          <w:color w:val="auto"/>
          <w:sz w:val="44"/>
          <w:szCs w:val="44"/>
        </w:rPr>
        <w:t>浙江大学医学院附属妇产科医院</w:t>
      </w:r>
    </w:p>
    <w:p w14:paraId="76DCDB68">
      <w:pPr>
        <w:ind w:firstLine="3080" w:firstLineChars="700"/>
        <w:rPr>
          <w:color w:val="auto"/>
          <w:sz w:val="44"/>
          <w:szCs w:val="44"/>
        </w:rPr>
      </w:pPr>
      <w:r>
        <w:rPr>
          <w:rFonts w:hAnsi="Calibri"/>
          <w:color w:val="auto"/>
          <w:sz w:val="44"/>
          <w:szCs w:val="44"/>
        </w:rPr>
        <w:t>（</w:t>
      </w:r>
      <w:r>
        <w:rPr>
          <w:rFonts w:hint="eastAsia" w:hAnsi="Calibri"/>
          <w:color w:val="auto"/>
          <w:sz w:val="44"/>
          <w:szCs w:val="44"/>
        </w:rPr>
        <w:t>信息项目</w:t>
      </w:r>
      <w:r>
        <w:rPr>
          <w:rFonts w:hAnsi="Calibri"/>
          <w:color w:val="auto"/>
          <w:sz w:val="44"/>
          <w:szCs w:val="44"/>
        </w:rPr>
        <w:t>）</w:t>
      </w:r>
    </w:p>
    <w:tbl>
      <w:tblPr>
        <w:tblStyle w:val="46"/>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3501"/>
      </w:tblGrid>
      <w:tr w14:paraId="7E98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D93D083">
            <w:pPr>
              <w:rPr>
                <w:rFonts w:ascii="Calibri" w:hAnsi="Calibri"/>
                <w:color w:val="auto"/>
                <w:sz w:val="36"/>
                <w:szCs w:val="36"/>
              </w:rPr>
            </w:pPr>
            <w:r>
              <w:rPr>
                <w:rFonts w:ascii="Calibri" w:hAnsi="Calibri"/>
                <w:color w:val="auto"/>
                <w:sz w:val="36"/>
                <w:szCs w:val="36"/>
              </w:rPr>
              <w:t>项目名称：</w:t>
            </w:r>
          </w:p>
        </w:tc>
      </w:tr>
      <w:tr w14:paraId="4A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F65016">
            <w:pPr>
              <w:rPr>
                <w:rFonts w:ascii="Calibri" w:hAnsi="Calibri"/>
                <w:color w:val="auto"/>
                <w:sz w:val="36"/>
                <w:szCs w:val="36"/>
              </w:rPr>
            </w:pPr>
            <w:r>
              <w:rPr>
                <w:rFonts w:ascii="Calibri" w:hAnsi="Calibri"/>
                <w:color w:val="auto"/>
                <w:sz w:val="36"/>
                <w:szCs w:val="36"/>
              </w:rPr>
              <w:t>项目编号：</w:t>
            </w:r>
          </w:p>
        </w:tc>
      </w:tr>
      <w:tr w14:paraId="0BA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4C5909EE">
            <w:pPr>
              <w:rPr>
                <w:rFonts w:ascii="Calibri" w:hAnsi="Calibri"/>
                <w:color w:val="auto"/>
                <w:sz w:val="28"/>
                <w:szCs w:val="28"/>
              </w:rPr>
            </w:pPr>
          </w:p>
        </w:tc>
        <w:tc>
          <w:tcPr>
            <w:tcW w:w="1704" w:type="dxa"/>
          </w:tcPr>
          <w:p w14:paraId="614AEC19">
            <w:pPr>
              <w:rPr>
                <w:rFonts w:ascii="Calibri" w:hAnsi="Calibri"/>
                <w:color w:val="auto"/>
                <w:sz w:val="28"/>
                <w:szCs w:val="28"/>
              </w:rPr>
            </w:pPr>
          </w:p>
        </w:tc>
        <w:tc>
          <w:tcPr>
            <w:tcW w:w="1704" w:type="dxa"/>
            <w:vMerge w:val="restart"/>
          </w:tcPr>
          <w:p w14:paraId="72B5F601">
            <w:pPr>
              <w:spacing w:line="720" w:lineRule="auto"/>
              <w:rPr>
                <w:rFonts w:ascii="Calibri" w:hAnsi="Calibri"/>
                <w:color w:val="auto"/>
                <w:sz w:val="84"/>
                <w:szCs w:val="84"/>
              </w:rPr>
            </w:pPr>
          </w:p>
          <w:p w14:paraId="7C11CDAF">
            <w:pPr>
              <w:spacing w:line="720" w:lineRule="auto"/>
              <w:rPr>
                <w:rFonts w:ascii="Calibri" w:hAnsi="Calibri"/>
                <w:color w:val="auto"/>
                <w:sz w:val="36"/>
                <w:szCs w:val="36"/>
              </w:rPr>
            </w:pPr>
          </w:p>
          <w:p w14:paraId="18B43213">
            <w:pPr>
              <w:spacing w:line="720" w:lineRule="auto"/>
              <w:rPr>
                <w:rFonts w:ascii="Calibri" w:hAnsi="Calibri"/>
                <w:color w:val="auto"/>
                <w:sz w:val="84"/>
                <w:szCs w:val="84"/>
              </w:rPr>
            </w:pPr>
            <w:r>
              <w:rPr>
                <w:rFonts w:ascii="Calibri" w:hAnsi="Calibri"/>
                <w:color w:val="auto"/>
                <w:sz w:val="84"/>
                <w:szCs w:val="84"/>
              </w:rPr>
              <w:t>响应文件</w:t>
            </w:r>
          </w:p>
        </w:tc>
        <w:tc>
          <w:tcPr>
            <w:tcW w:w="3501" w:type="dxa"/>
            <w:vMerge w:val="restart"/>
          </w:tcPr>
          <w:p w14:paraId="119DFB37">
            <w:pPr>
              <w:rPr>
                <w:rFonts w:ascii="Calibri" w:hAnsi="Calibri"/>
                <w:color w:val="auto"/>
                <w:sz w:val="28"/>
                <w:szCs w:val="28"/>
              </w:rPr>
            </w:pPr>
          </w:p>
        </w:tc>
      </w:tr>
      <w:tr w14:paraId="4E78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2660C21">
            <w:pPr>
              <w:rPr>
                <w:rFonts w:ascii="Calibri" w:hAnsi="Calibri"/>
                <w:color w:val="auto"/>
                <w:sz w:val="28"/>
                <w:szCs w:val="28"/>
              </w:rPr>
            </w:pPr>
          </w:p>
        </w:tc>
        <w:tc>
          <w:tcPr>
            <w:tcW w:w="1704" w:type="dxa"/>
          </w:tcPr>
          <w:p w14:paraId="3739065E">
            <w:pPr>
              <w:rPr>
                <w:rFonts w:ascii="Calibri" w:hAnsi="Calibri"/>
                <w:color w:val="auto"/>
                <w:sz w:val="28"/>
                <w:szCs w:val="28"/>
              </w:rPr>
            </w:pPr>
          </w:p>
        </w:tc>
        <w:tc>
          <w:tcPr>
            <w:tcW w:w="1704" w:type="dxa"/>
            <w:vMerge w:val="continue"/>
          </w:tcPr>
          <w:p w14:paraId="6685C81C">
            <w:pPr>
              <w:rPr>
                <w:rFonts w:ascii="Calibri" w:hAnsi="Calibri"/>
                <w:color w:val="auto"/>
                <w:sz w:val="28"/>
                <w:szCs w:val="28"/>
              </w:rPr>
            </w:pPr>
          </w:p>
        </w:tc>
        <w:tc>
          <w:tcPr>
            <w:tcW w:w="3501" w:type="dxa"/>
            <w:vMerge w:val="continue"/>
          </w:tcPr>
          <w:p w14:paraId="0C807D2C">
            <w:pPr>
              <w:rPr>
                <w:rFonts w:ascii="Calibri" w:hAnsi="Calibri"/>
                <w:color w:val="auto"/>
                <w:sz w:val="28"/>
                <w:szCs w:val="28"/>
              </w:rPr>
            </w:pPr>
          </w:p>
        </w:tc>
      </w:tr>
      <w:tr w14:paraId="11C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52AB958">
            <w:pPr>
              <w:rPr>
                <w:rFonts w:ascii="Calibri" w:hAnsi="Calibri"/>
                <w:color w:val="auto"/>
                <w:sz w:val="28"/>
                <w:szCs w:val="28"/>
              </w:rPr>
            </w:pPr>
          </w:p>
        </w:tc>
        <w:tc>
          <w:tcPr>
            <w:tcW w:w="1704" w:type="dxa"/>
          </w:tcPr>
          <w:p w14:paraId="44E8D192">
            <w:pPr>
              <w:rPr>
                <w:rFonts w:ascii="Calibri" w:hAnsi="Calibri"/>
                <w:color w:val="auto"/>
                <w:sz w:val="28"/>
                <w:szCs w:val="28"/>
              </w:rPr>
            </w:pPr>
          </w:p>
        </w:tc>
        <w:tc>
          <w:tcPr>
            <w:tcW w:w="1704" w:type="dxa"/>
            <w:vMerge w:val="continue"/>
          </w:tcPr>
          <w:p w14:paraId="024020CE">
            <w:pPr>
              <w:rPr>
                <w:rFonts w:ascii="Calibri" w:hAnsi="Calibri"/>
                <w:color w:val="auto"/>
                <w:sz w:val="28"/>
                <w:szCs w:val="28"/>
              </w:rPr>
            </w:pPr>
          </w:p>
        </w:tc>
        <w:tc>
          <w:tcPr>
            <w:tcW w:w="3501" w:type="dxa"/>
            <w:vMerge w:val="continue"/>
          </w:tcPr>
          <w:p w14:paraId="5994BE5A">
            <w:pPr>
              <w:rPr>
                <w:rFonts w:ascii="Calibri" w:hAnsi="Calibri"/>
                <w:color w:val="auto"/>
                <w:sz w:val="28"/>
                <w:szCs w:val="28"/>
              </w:rPr>
            </w:pPr>
          </w:p>
        </w:tc>
      </w:tr>
      <w:tr w14:paraId="18B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6485003">
            <w:pPr>
              <w:rPr>
                <w:rFonts w:ascii="Calibri" w:hAnsi="Calibri"/>
                <w:color w:val="auto"/>
                <w:sz w:val="28"/>
                <w:szCs w:val="28"/>
              </w:rPr>
            </w:pPr>
          </w:p>
        </w:tc>
        <w:tc>
          <w:tcPr>
            <w:tcW w:w="1704" w:type="dxa"/>
          </w:tcPr>
          <w:p w14:paraId="75B299D5">
            <w:pPr>
              <w:rPr>
                <w:rFonts w:ascii="Calibri" w:hAnsi="Calibri"/>
                <w:color w:val="auto"/>
                <w:sz w:val="28"/>
                <w:szCs w:val="28"/>
              </w:rPr>
            </w:pPr>
          </w:p>
        </w:tc>
        <w:tc>
          <w:tcPr>
            <w:tcW w:w="1704" w:type="dxa"/>
            <w:vMerge w:val="continue"/>
          </w:tcPr>
          <w:p w14:paraId="3CC64A5D">
            <w:pPr>
              <w:rPr>
                <w:rFonts w:ascii="Calibri" w:hAnsi="Calibri"/>
                <w:color w:val="auto"/>
                <w:sz w:val="28"/>
                <w:szCs w:val="28"/>
              </w:rPr>
            </w:pPr>
          </w:p>
        </w:tc>
        <w:tc>
          <w:tcPr>
            <w:tcW w:w="3501" w:type="dxa"/>
            <w:vMerge w:val="continue"/>
          </w:tcPr>
          <w:p w14:paraId="621062EC">
            <w:pPr>
              <w:rPr>
                <w:rFonts w:ascii="Calibri" w:hAnsi="Calibri"/>
                <w:color w:val="auto"/>
                <w:sz w:val="28"/>
                <w:szCs w:val="28"/>
              </w:rPr>
            </w:pPr>
          </w:p>
        </w:tc>
      </w:tr>
      <w:tr w14:paraId="1EEE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606E8E6">
            <w:pPr>
              <w:rPr>
                <w:rFonts w:ascii="Calibri" w:hAnsi="Calibri"/>
                <w:color w:val="auto"/>
                <w:sz w:val="28"/>
                <w:szCs w:val="28"/>
              </w:rPr>
            </w:pPr>
          </w:p>
        </w:tc>
        <w:tc>
          <w:tcPr>
            <w:tcW w:w="1704" w:type="dxa"/>
          </w:tcPr>
          <w:p w14:paraId="066AC2C0">
            <w:pPr>
              <w:rPr>
                <w:rFonts w:ascii="Calibri" w:hAnsi="Calibri"/>
                <w:color w:val="auto"/>
                <w:sz w:val="28"/>
                <w:szCs w:val="28"/>
              </w:rPr>
            </w:pPr>
          </w:p>
        </w:tc>
        <w:tc>
          <w:tcPr>
            <w:tcW w:w="1704" w:type="dxa"/>
            <w:vMerge w:val="continue"/>
          </w:tcPr>
          <w:p w14:paraId="56195F12">
            <w:pPr>
              <w:rPr>
                <w:rFonts w:ascii="Calibri" w:hAnsi="Calibri"/>
                <w:color w:val="auto"/>
                <w:sz w:val="28"/>
                <w:szCs w:val="28"/>
              </w:rPr>
            </w:pPr>
          </w:p>
        </w:tc>
        <w:tc>
          <w:tcPr>
            <w:tcW w:w="3501" w:type="dxa"/>
            <w:vMerge w:val="continue"/>
          </w:tcPr>
          <w:p w14:paraId="2E67F166">
            <w:pPr>
              <w:rPr>
                <w:rFonts w:ascii="Calibri" w:hAnsi="Calibri"/>
                <w:color w:val="auto"/>
                <w:sz w:val="28"/>
                <w:szCs w:val="28"/>
              </w:rPr>
            </w:pPr>
          </w:p>
        </w:tc>
      </w:tr>
      <w:tr w14:paraId="342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2361D2C">
            <w:pPr>
              <w:rPr>
                <w:rFonts w:ascii="Calibri" w:hAnsi="Calibri"/>
                <w:color w:val="auto"/>
                <w:sz w:val="28"/>
                <w:szCs w:val="28"/>
              </w:rPr>
            </w:pPr>
          </w:p>
        </w:tc>
        <w:tc>
          <w:tcPr>
            <w:tcW w:w="1704" w:type="dxa"/>
          </w:tcPr>
          <w:p w14:paraId="035CDBAF">
            <w:pPr>
              <w:rPr>
                <w:rFonts w:ascii="Calibri" w:hAnsi="Calibri"/>
                <w:color w:val="auto"/>
                <w:sz w:val="28"/>
                <w:szCs w:val="28"/>
              </w:rPr>
            </w:pPr>
          </w:p>
        </w:tc>
        <w:tc>
          <w:tcPr>
            <w:tcW w:w="1704" w:type="dxa"/>
            <w:vMerge w:val="continue"/>
          </w:tcPr>
          <w:p w14:paraId="7535828F">
            <w:pPr>
              <w:rPr>
                <w:rFonts w:ascii="Calibri" w:hAnsi="Calibri"/>
                <w:color w:val="auto"/>
                <w:sz w:val="28"/>
                <w:szCs w:val="28"/>
              </w:rPr>
            </w:pPr>
          </w:p>
        </w:tc>
        <w:tc>
          <w:tcPr>
            <w:tcW w:w="3501" w:type="dxa"/>
            <w:vMerge w:val="continue"/>
          </w:tcPr>
          <w:p w14:paraId="18C1165C">
            <w:pPr>
              <w:rPr>
                <w:rFonts w:ascii="Calibri" w:hAnsi="Calibri"/>
                <w:color w:val="auto"/>
                <w:sz w:val="28"/>
                <w:szCs w:val="28"/>
              </w:rPr>
            </w:pPr>
          </w:p>
        </w:tc>
      </w:tr>
      <w:tr w14:paraId="540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43312BC">
            <w:pPr>
              <w:rPr>
                <w:rFonts w:ascii="Calibri" w:hAnsi="Calibri"/>
                <w:color w:val="auto"/>
                <w:sz w:val="28"/>
                <w:szCs w:val="28"/>
              </w:rPr>
            </w:pPr>
          </w:p>
        </w:tc>
        <w:tc>
          <w:tcPr>
            <w:tcW w:w="1704" w:type="dxa"/>
          </w:tcPr>
          <w:p w14:paraId="74D56907">
            <w:pPr>
              <w:rPr>
                <w:rFonts w:ascii="Calibri" w:hAnsi="Calibri"/>
                <w:color w:val="auto"/>
                <w:sz w:val="28"/>
                <w:szCs w:val="28"/>
              </w:rPr>
            </w:pPr>
          </w:p>
        </w:tc>
        <w:tc>
          <w:tcPr>
            <w:tcW w:w="1704" w:type="dxa"/>
            <w:vMerge w:val="continue"/>
          </w:tcPr>
          <w:p w14:paraId="28709398">
            <w:pPr>
              <w:rPr>
                <w:rFonts w:ascii="Calibri" w:hAnsi="Calibri"/>
                <w:color w:val="auto"/>
                <w:sz w:val="28"/>
                <w:szCs w:val="28"/>
              </w:rPr>
            </w:pPr>
          </w:p>
        </w:tc>
        <w:tc>
          <w:tcPr>
            <w:tcW w:w="3501" w:type="dxa"/>
            <w:vMerge w:val="continue"/>
          </w:tcPr>
          <w:p w14:paraId="2C9E76B7">
            <w:pPr>
              <w:rPr>
                <w:rFonts w:ascii="Calibri" w:hAnsi="Calibri"/>
                <w:color w:val="auto"/>
                <w:sz w:val="28"/>
                <w:szCs w:val="28"/>
              </w:rPr>
            </w:pPr>
          </w:p>
        </w:tc>
      </w:tr>
      <w:tr w14:paraId="570A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E3A6A0E">
            <w:pPr>
              <w:rPr>
                <w:rFonts w:ascii="Calibri" w:hAnsi="Calibri"/>
                <w:color w:val="auto"/>
                <w:sz w:val="28"/>
                <w:szCs w:val="28"/>
              </w:rPr>
            </w:pPr>
          </w:p>
        </w:tc>
        <w:tc>
          <w:tcPr>
            <w:tcW w:w="1704" w:type="dxa"/>
          </w:tcPr>
          <w:p w14:paraId="3C72DF88">
            <w:pPr>
              <w:rPr>
                <w:rFonts w:ascii="Calibri" w:hAnsi="Calibri"/>
                <w:color w:val="auto"/>
                <w:sz w:val="28"/>
                <w:szCs w:val="28"/>
              </w:rPr>
            </w:pPr>
          </w:p>
        </w:tc>
        <w:tc>
          <w:tcPr>
            <w:tcW w:w="1704" w:type="dxa"/>
            <w:vMerge w:val="continue"/>
          </w:tcPr>
          <w:p w14:paraId="37DB2CE9">
            <w:pPr>
              <w:rPr>
                <w:rFonts w:ascii="Calibri" w:hAnsi="Calibri"/>
                <w:color w:val="auto"/>
                <w:sz w:val="28"/>
                <w:szCs w:val="28"/>
              </w:rPr>
            </w:pPr>
          </w:p>
        </w:tc>
        <w:tc>
          <w:tcPr>
            <w:tcW w:w="3501" w:type="dxa"/>
            <w:vMerge w:val="continue"/>
          </w:tcPr>
          <w:p w14:paraId="3E54F742">
            <w:pPr>
              <w:rPr>
                <w:rFonts w:ascii="Calibri" w:hAnsi="Calibri"/>
                <w:color w:val="auto"/>
                <w:sz w:val="28"/>
                <w:szCs w:val="28"/>
              </w:rPr>
            </w:pPr>
          </w:p>
        </w:tc>
      </w:tr>
      <w:tr w14:paraId="4B8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AE5C7CB">
            <w:pPr>
              <w:rPr>
                <w:rFonts w:ascii="Calibri" w:hAnsi="Calibri"/>
                <w:color w:val="auto"/>
                <w:sz w:val="28"/>
                <w:szCs w:val="28"/>
              </w:rPr>
            </w:pPr>
          </w:p>
        </w:tc>
        <w:tc>
          <w:tcPr>
            <w:tcW w:w="1704" w:type="dxa"/>
          </w:tcPr>
          <w:p w14:paraId="63EFB230">
            <w:pPr>
              <w:rPr>
                <w:rFonts w:ascii="Calibri" w:hAnsi="Calibri"/>
                <w:color w:val="auto"/>
                <w:sz w:val="28"/>
                <w:szCs w:val="28"/>
              </w:rPr>
            </w:pPr>
          </w:p>
        </w:tc>
        <w:tc>
          <w:tcPr>
            <w:tcW w:w="1704" w:type="dxa"/>
            <w:vMerge w:val="continue"/>
          </w:tcPr>
          <w:p w14:paraId="60FE2524">
            <w:pPr>
              <w:rPr>
                <w:rFonts w:ascii="Calibri" w:hAnsi="Calibri"/>
                <w:color w:val="auto"/>
                <w:sz w:val="28"/>
                <w:szCs w:val="28"/>
              </w:rPr>
            </w:pPr>
          </w:p>
        </w:tc>
        <w:tc>
          <w:tcPr>
            <w:tcW w:w="3501" w:type="dxa"/>
            <w:vMerge w:val="continue"/>
          </w:tcPr>
          <w:p w14:paraId="54405C23">
            <w:pPr>
              <w:rPr>
                <w:rFonts w:ascii="Calibri" w:hAnsi="Calibri"/>
                <w:color w:val="auto"/>
                <w:sz w:val="28"/>
                <w:szCs w:val="28"/>
              </w:rPr>
            </w:pPr>
          </w:p>
        </w:tc>
      </w:tr>
      <w:tr w14:paraId="6ACE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10DC7B01">
            <w:pPr>
              <w:rPr>
                <w:rFonts w:ascii="Calibri" w:hAnsi="Calibri"/>
                <w:color w:val="auto"/>
                <w:sz w:val="28"/>
                <w:szCs w:val="28"/>
              </w:rPr>
            </w:pPr>
          </w:p>
        </w:tc>
        <w:tc>
          <w:tcPr>
            <w:tcW w:w="1704" w:type="dxa"/>
          </w:tcPr>
          <w:p w14:paraId="149EB22F">
            <w:pPr>
              <w:rPr>
                <w:rFonts w:ascii="Calibri" w:hAnsi="Calibri"/>
                <w:color w:val="auto"/>
                <w:sz w:val="28"/>
                <w:szCs w:val="28"/>
              </w:rPr>
            </w:pPr>
          </w:p>
        </w:tc>
        <w:tc>
          <w:tcPr>
            <w:tcW w:w="1704" w:type="dxa"/>
            <w:vMerge w:val="continue"/>
          </w:tcPr>
          <w:p w14:paraId="771DD88C">
            <w:pPr>
              <w:rPr>
                <w:rFonts w:ascii="Calibri" w:hAnsi="Calibri"/>
                <w:color w:val="auto"/>
                <w:sz w:val="28"/>
                <w:szCs w:val="28"/>
              </w:rPr>
            </w:pPr>
          </w:p>
        </w:tc>
        <w:tc>
          <w:tcPr>
            <w:tcW w:w="3501" w:type="dxa"/>
            <w:vMerge w:val="continue"/>
          </w:tcPr>
          <w:p w14:paraId="6A56E454">
            <w:pPr>
              <w:rPr>
                <w:rFonts w:ascii="Calibri" w:hAnsi="Calibri"/>
                <w:color w:val="auto"/>
                <w:sz w:val="28"/>
                <w:szCs w:val="28"/>
              </w:rPr>
            </w:pPr>
          </w:p>
        </w:tc>
      </w:tr>
      <w:tr w14:paraId="3E0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3E99277">
            <w:pPr>
              <w:rPr>
                <w:rFonts w:ascii="Calibri" w:hAnsi="Calibri"/>
                <w:color w:val="auto"/>
                <w:sz w:val="28"/>
                <w:szCs w:val="28"/>
              </w:rPr>
            </w:pPr>
          </w:p>
        </w:tc>
        <w:tc>
          <w:tcPr>
            <w:tcW w:w="1704" w:type="dxa"/>
          </w:tcPr>
          <w:p w14:paraId="2E1CAB4F">
            <w:pPr>
              <w:rPr>
                <w:rFonts w:ascii="Calibri" w:hAnsi="Calibri"/>
                <w:color w:val="auto"/>
                <w:sz w:val="28"/>
                <w:szCs w:val="28"/>
              </w:rPr>
            </w:pPr>
          </w:p>
        </w:tc>
        <w:tc>
          <w:tcPr>
            <w:tcW w:w="1704" w:type="dxa"/>
            <w:vMerge w:val="continue"/>
          </w:tcPr>
          <w:p w14:paraId="7F00F52C">
            <w:pPr>
              <w:rPr>
                <w:rFonts w:ascii="Calibri" w:hAnsi="Calibri"/>
                <w:color w:val="auto"/>
                <w:sz w:val="28"/>
                <w:szCs w:val="28"/>
              </w:rPr>
            </w:pPr>
          </w:p>
        </w:tc>
        <w:tc>
          <w:tcPr>
            <w:tcW w:w="3501" w:type="dxa"/>
            <w:vMerge w:val="continue"/>
          </w:tcPr>
          <w:p w14:paraId="011F3095">
            <w:pPr>
              <w:rPr>
                <w:rFonts w:ascii="Calibri" w:hAnsi="Calibri"/>
                <w:color w:val="auto"/>
                <w:sz w:val="28"/>
                <w:szCs w:val="28"/>
              </w:rPr>
            </w:pPr>
          </w:p>
        </w:tc>
      </w:tr>
      <w:tr w14:paraId="36A4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84C7200">
            <w:pPr>
              <w:rPr>
                <w:rFonts w:ascii="Calibri" w:hAnsi="Calibri"/>
                <w:color w:val="auto"/>
                <w:sz w:val="28"/>
                <w:szCs w:val="28"/>
              </w:rPr>
            </w:pPr>
          </w:p>
        </w:tc>
        <w:tc>
          <w:tcPr>
            <w:tcW w:w="1704" w:type="dxa"/>
          </w:tcPr>
          <w:p w14:paraId="53C4CA4E">
            <w:pPr>
              <w:rPr>
                <w:rFonts w:ascii="Calibri" w:hAnsi="Calibri"/>
                <w:color w:val="auto"/>
                <w:sz w:val="28"/>
                <w:szCs w:val="28"/>
              </w:rPr>
            </w:pPr>
          </w:p>
        </w:tc>
        <w:tc>
          <w:tcPr>
            <w:tcW w:w="1704" w:type="dxa"/>
            <w:vMerge w:val="continue"/>
          </w:tcPr>
          <w:p w14:paraId="465C63F9">
            <w:pPr>
              <w:rPr>
                <w:rFonts w:ascii="Calibri" w:hAnsi="Calibri"/>
                <w:color w:val="auto"/>
                <w:sz w:val="28"/>
                <w:szCs w:val="28"/>
              </w:rPr>
            </w:pPr>
          </w:p>
        </w:tc>
        <w:tc>
          <w:tcPr>
            <w:tcW w:w="3501" w:type="dxa"/>
            <w:vMerge w:val="continue"/>
          </w:tcPr>
          <w:p w14:paraId="41D55401">
            <w:pPr>
              <w:rPr>
                <w:rFonts w:ascii="Calibri" w:hAnsi="Calibri"/>
                <w:color w:val="auto"/>
                <w:sz w:val="28"/>
                <w:szCs w:val="28"/>
              </w:rPr>
            </w:pPr>
          </w:p>
        </w:tc>
      </w:tr>
      <w:tr w14:paraId="1167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160253E">
            <w:pPr>
              <w:rPr>
                <w:rFonts w:ascii="Calibri" w:hAnsi="Calibri"/>
                <w:color w:val="auto"/>
                <w:sz w:val="28"/>
                <w:szCs w:val="28"/>
              </w:rPr>
            </w:pPr>
          </w:p>
        </w:tc>
        <w:tc>
          <w:tcPr>
            <w:tcW w:w="1704" w:type="dxa"/>
          </w:tcPr>
          <w:p w14:paraId="0560946D">
            <w:pPr>
              <w:rPr>
                <w:rFonts w:ascii="Calibri" w:hAnsi="Calibri"/>
                <w:color w:val="auto"/>
                <w:sz w:val="28"/>
                <w:szCs w:val="28"/>
              </w:rPr>
            </w:pPr>
          </w:p>
        </w:tc>
        <w:tc>
          <w:tcPr>
            <w:tcW w:w="1704" w:type="dxa"/>
            <w:vMerge w:val="continue"/>
          </w:tcPr>
          <w:p w14:paraId="27EDFF5B">
            <w:pPr>
              <w:rPr>
                <w:rFonts w:ascii="Calibri" w:hAnsi="Calibri"/>
                <w:color w:val="auto"/>
                <w:sz w:val="28"/>
                <w:szCs w:val="28"/>
              </w:rPr>
            </w:pPr>
          </w:p>
        </w:tc>
        <w:tc>
          <w:tcPr>
            <w:tcW w:w="3501" w:type="dxa"/>
            <w:vMerge w:val="continue"/>
          </w:tcPr>
          <w:p w14:paraId="48C0971E">
            <w:pPr>
              <w:rPr>
                <w:rFonts w:ascii="Calibri" w:hAnsi="Calibri"/>
                <w:color w:val="auto"/>
                <w:sz w:val="28"/>
                <w:szCs w:val="28"/>
              </w:rPr>
            </w:pPr>
          </w:p>
        </w:tc>
      </w:tr>
      <w:tr w14:paraId="273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0A3720">
            <w:pPr>
              <w:rPr>
                <w:rFonts w:ascii="Calibri" w:hAnsi="Calibri"/>
                <w:color w:val="auto"/>
                <w:sz w:val="36"/>
                <w:szCs w:val="36"/>
              </w:rPr>
            </w:pPr>
            <w:r>
              <w:rPr>
                <w:rFonts w:ascii="Calibri" w:hAnsi="Calibri"/>
                <w:color w:val="auto"/>
                <w:sz w:val="36"/>
                <w:szCs w:val="36"/>
              </w:rPr>
              <w:t>供应商全称：</w:t>
            </w:r>
          </w:p>
        </w:tc>
      </w:tr>
      <w:tr w14:paraId="16EA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55D00E43">
            <w:pPr>
              <w:rPr>
                <w:rFonts w:ascii="Calibri" w:hAnsi="Calibri"/>
                <w:strike/>
                <w:color w:val="auto"/>
                <w:sz w:val="36"/>
                <w:szCs w:val="36"/>
              </w:rPr>
            </w:pPr>
          </w:p>
        </w:tc>
      </w:tr>
      <w:tr w14:paraId="1E96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922456">
            <w:pPr>
              <w:rPr>
                <w:rFonts w:ascii="Calibri" w:hAnsi="Calibri"/>
                <w:color w:val="auto"/>
                <w:sz w:val="36"/>
                <w:szCs w:val="36"/>
              </w:rPr>
            </w:pPr>
            <w:r>
              <w:rPr>
                <w:rFonts w:ascii="Calibri" w:hAnsi="Calibri"/>
                <w:color w:val="auto"/>
                <w:sz w:val="36"/>
                <w:szCs w:val="36"/>
              </w:rPr>
              <w:t>时      间：</w:t>
            </w:r>
          </w:p>
        </w:tc>
      </w:tr>
    </w:tbl>
    <w:p w14:paraId="7D5A0841">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2</w:t>
      </w:r>
      <w:r>
        <w:rPr>
          <w:rFonts w:hAnsi="仿宋" w:eastAsia="仿宋"/>
          <w:color w:val="auto"/>
          <w:sz w:val="30"/>
          <w:szCs w:val="30"/>
        </w:rPr>
        <w:t>：</w:t>
      </w:r>
    </w:p>
    <w:p w14:paraId="713267F3">
      <w:pPr>
        <w:snapToGrid w:val="0"/>
        <w:spacing w:before="50" w:after="50"/>
        <w:jc w:val="center"/>
        <w:rPr>
          <w:rFonts w:eastAsia="仿宋"/>
          <w:b/>
          <w:color w:val="auto"/>
          <w:sz w:val="36"/>
          <w:szCs w:val="36"/>
        </w:rPr>
      </w:pPr>
      <w:r>
        <w:rPr>
          <w:rFonts w:hAnsi="仿宋" w:eastAsia="仿宋"/>
          <w:b/>
          <w:color w:val="auto"/>
          <w:sz w:val="36"/>
          <w:szCs w:val="36"/>
        </w:rPr>
        <w:t>声明书</w:t>
      </w:r>
    </w:p>
    <w:p w14:paraId="0E5FB105">
      <w:pPr>
        <w:snapToGrid w:val="0"/>
        <w:spacing w:beforeLines="50" w:after="50" w:line="460" w:lineRule="exact"/>
        <w:rPr>
          <w:rFonts w:eastAsiaTheme="minorEastAsia"/>
          <w:color w:val="auto"/>
          <w:sz w:val="28"/>
          <w:szCs w:val="28"/>
        </w:rPr>
      </w:pPr>
      <w:r>
        <w:rPr>
          <w:rFonts w:hAnsiTheme="minorEastAsia" w:eastAsiaTheme="minorEastAsia"/>
          <w:color w:val="auto"/>
          <w:sz w:val="28"/>
          <w:szCs w:val="28"/>
        </w:rPr>
        <w:t>致浙江大学医学院附属妇产科医院：</w:t>
      </w:r>
    </w:p>
    <w:p w14:paraId="49F544F8">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u w:val="single"/>
        </w:rPr>
        <w:t>（供应商名称）</w:t>
      </w:r>
      <w:r>
        <w:rPr>
          <w:rFonts w:hAnsiTheme="minorEastAsia" w:eastAsiaTheme="minorEastAsia"/>
          <w:color w:val="auto"/>
          <w:sz w:val="28"/>
          <w:szCs w:val="28"/>
        </w:rPr>
        <w:t>系中华人民共和国合法企业，经营地址。</w:t>
      </w:r>
    </w:p>
    <w:p w14:paraId="0FEB36C7">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rPr>
        <w:t>我</w:t>
      </w:r>
      <w:r>
        <w:rPr>
          <w:rFonts w:hAnsiTheme="minorEastAsia" w:eastAsiaTheme="minorEastAsia"/>
          <w:color w:val="auto"/>
          <w:sz w:val="28"/>
          <w:szCs w:val="28"/>
          <w:u w:val="single"/>
        </w:rPr>
        <w:t>（姓名）</w:t>
      </w:r>
      <w:r>
        <w:rPr>
          <w:rFonts w:hAnsiTheme="minorEastAsia" w:eastAsiaTheme="minorEastAsia"/>
          <w:color w:val="auto"/>
          <w:sz w:val="28"/>
          <w:szCs w:val="28"/>
        </w:rPr>
        <w:t>系</w:t>
      </w:r>
      <w:r>
        <w:rPr>
          <w:rFonts w:hAnsiTheme="minorEastAsia" w:eastAsiaTheme="minorEastAsia"/>
          <w:color w:val="auto"/>
          <w:sz w:val="28"/>
          <w:szCs w:val="28"/>
          <w:u w:val="single"/>
        </w:rPr>
        <w:t>（供应商名称）</w:t>
      </w:r>
      <w:r>
        <w:rPr>
          <w:rFonts w:hAnsiTheme="minorEastAsia" w:eastAsiaTheme="minorEastAsia"/>
          <w:color w:val="auto"/>
          <w:sz w:val="28"/>
          <w:szCs w:val="28"/>
        </w:rPr>
        <w:t>的法定代表人，我方愿意参加贵方组织的</w:t>
      </w:r>
      <w:r>
        <w:rPr>
          <w:rFonts w:hAnsiTheme="minorEastAsia" w:eastAsiaTheme="minorEastAsia"/>
          <w:color w:val="auto"/>
          <w:sz w:val="28"/>
          <w:szCs w:val="28"/>
          <w:u w:val="single"/>
        </w:rPr>
        <w:t>（采购项目名称）（编号为）</w:t>
      </w:r>
      <w:r>
        <w:rPr>
          <w:rFonts w:hAnsiTheme="minorEastAsia" w:eastAsiaTheme="minorEastAsia"/>
          <w:color w:val="auto"/>
          <w:sz w:val="28"/>
          <w:szCs w:val="28"/>
        </w:rPr>
        <w:t>的采购项目，为此，我方就本次项目有关事项郑重声明如下：</w:t>
      </w:r>
    </w:p>
    <w:p w14:paraId="4376212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1</w:t>
      </w:r>
      <w:r>
        <w:rPr>
          <w:rFonts w:hAnsiTheme="minorEastAsia" w:eastAsiaTheme="minorEastAsia"/>
          <w:color w:val="auto"/>
          <w:sz w:val="28"/>
          <w:szCs w:val="28"/>
        </w:rPr>
        <w:t>、我方已详细审查全部采购文件，同意采购文件的各项要求。</w:t>
      </w:r>
    </w:p>
    <w:p w14:paraId="19C6C2E3">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2</w:t>
      </w:r>
      <w:r>
        <w:rPr>
          <w:rFonts w:hAnsiTheme="minorEastAsia" w:eastAsiaTheme="minorEastAsia"/>
          <w:color w:val="auto"/>
          <w:sz w:val="28"/>
          <w:szCs w:val="28"/>
        </w:rPr>
        <w:t>、我方向贵方提交的所有响应文件、资料都是准确的和真实的。</w:t>
      </w:r>
    </w:p>
    <w:p w14:paraId="2356115A">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3</w:t>
      </w:r>
      <w:r>
        <w:rPr>
          <w:rFonts w:hAnsiTheme="minorEastAsia" w:eastAsiaTheme="minorEastAsia"/>
          <w:color w:val="auto"/>
          <w:sz w:val="28"/>
          <w:szCs w:val="28"/>
        </w:rPr>
        <w:t>、若成交，我方将按采购文件规定履行合同责任和义务。</w:t>
      </w:r>
    </w:p>
    <w:p w14:paraId="185AD7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4</w:t>
      </w:r>
      <w:r>
        <w:rPr>
          <w:rFonts w:hAnsiTheme="minorEastAsia" w:eastAsiaTheme="minorEastAsia"/>
          <w:color w:val="auto"/>
          <w:sz w:val="28"/>
          <w:szCs w:val="28"/>
        </w:rPr>
        <w:t>、我方不是采购人的附属机构；在获知本项目采购信息后，与采购人聘请的为此项目提供咨询服务的公司及其附属机构没有任何联系。</w:t>
      </w:r>
    </w:p>
    <w:p w14:paraId="5743679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5</w:t>
      </w:r>
      <w:r>
        <w:rPr>
          <w:rFonts w:hAnsiTheme="minorEastAsia" w:eastAsiaTheme="minorEastAsia"/>
          <w:color w:val="auto"/>
          <w:sz w:val="28"/>
          <w:szCs w:val="28"/>
        </w:rPr>
        <w:t>、响应文件自提交之日起有效期为</w:t>
      </w:r>
      <w:r>
        <w:rPr>
          <w:rFonts w:eastAsiaTheme="minorEastAsia"/>
          <w:color w:val="auto"/>
          <w:sz w:val="28"/>
          <w:szCs w:val="28"/>
        </w:rPr>
        <w:t>90</w:t>
      </w:r>
      <w:r>
        <w:rPr>
          <w:rFonts w:hAnsiTheme="minorEastAsia" w:eastAsiaTheme="minorEastAsia"/>
          <w:color w:val="auto"/>
          <w:sz w:val="28"/>
          <w:szCs w:val="28"/>
        </w:rPr>
        <w:t>天。</w:t>
      </w:r>
    </w:p>
    <w:p w14:paraId="5DC36B25">
      <w:pPr>
        <w:snapToGrid w:val="0"/>
        <w:spacing w:line="460" w:lineRule="exact"/>
        <w:ind w:firstLine="548" w:firstLineChars="196"/>
        <w:rPr>
          <w:rFonts w:eastAsiaTheme="minorEastAsia"/>
          <w:color w:val="auto"/>
          <w:sz w:val="28"/>
          <w:szCs w:val="28"/>
        </w:rPr>
      </w:pPr>
      <w:r>
        <w:rPr>
          <w:rFonts w:eastAsiaTheme="minorEastAsia"/>
          <w:color w:val="auto"/>
          <w:sz w:val="28"/>
          <w:szCs w:val="28"/>
        </w:rPr>
        <w:t>6</w:t>
      </w:r>
      <w:r>
        <w:rPr>
          <w:rFonts w:hAnsiTheme="minorEastAsia" w:eastAsiaTheme="minorEastAsia"/>
          <w:color w:val="auto"/>
          <w:sz w:val="28"/>
          <w:szCs w:val="28"/>
        </w:rPr>
        <w:t>、我方参与本项目前</w:t>
      </w:r>
      <w:r>
        <w:rPr>
          <w:rFonts w:eastAsiaTheme="minorEastAsia"/>
          <w:color w:val="auto"/>
          <w:sz w:val="28"/>
          <w:szCs w:val="28"/>
        </w:rPr>
        <w:t>3</w:t>
      </w:r>
      <w:r>
        <w:rPr>
          <w:rFonts w:hAnsiTheme="minorEastAsia" w:eastAsiaTheme="minorEastAsia"/>
          <w:color w:val="auto"/>
          <w:sz w:val="28"/>
          <w:szCs w:val="28"/>
        </w:rPr>
        <w:t>年内的经营活动中没有重大违法记录。</w:t>
      </w:r>
    </w:p>
    <w:p w14:paraId="50ABF8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7</w:t>
      </w:r>
      <w:r>
        <w:rPr>
          <w:rFonts w:hAnsiTheme="minorEastAsia" w:eastAsiaTheme="minorEastAsia"/>
          <w:color w:val="auto"/>
          <w:sz w:val="28"/>
          <w:szCs w:val="28"/>
        </w:rPr>
        <w:t>、我方通过</w:t>
      </w:r>
      <w:r>
        <w:rPr>
          <w:rFonts w:eastAsiaTheme="minorEastAsia"/>
          <w:color w:val="auto"/>
          <w:sz w:val="28"/>
          <w:szCs w:val="28"/>
        </w:rPr>
        <w:t>“</w:t>
      </w:r>
      <w:r>
        <w:rPr>
          <w:rFonts w:hAnsiTheme="minorEastAsia" w:eastAsiaTheme="minorEastAsia"/>
          <w:color w:val="auto"/>
          <w:sz w:val="28"/>
          <w:szCs w:val="28"/>
        </w:rPr>
        <w:t>信用中国</w:t>
      </w:r>
      <w:r>
        <w:rPr>
          <w:rFonts w:eastAsiaTheme="minorEastAsia"/>
          <w:color w:val="auto"/>
          <w:sz w:val="28"/>
          <w:szCs w:val="28"/>
        </w:rPr>
        <w:t>”</w:t>
      </w:r>
      <w:r>
        <w:rPr>
          <w:rFonts w:hAnsiTheme="minorEastAsia" w:eastAsiaTheme="minorEastAsia"/>
          <w:color w:val="auto"/>
          <w:sz w:val="28"/>
          <w:szCs w:val="28"/>
        </w:rPr>
        <w:t>网站（</w:t>
      </w:r>
      <w:r>
        <w:rPr>
          <w:rFonts w:eastAsiaTheme="minorEastAsia"/>
          <w:color w:val="auto"/>
          <w:sz w:val="28"/>
          <w:szCs w:val="28"/>
        </w:rPr>
        <w:t>www.creditchina.gov.cn</w:t>
      </w:r>
      <w:r>
        <w:rPr>
          <w:rFonts w:hAnsiTheme="minorEastAsia" w:eastAsiaTheme="minorEastAsia"/>
          <w:color w:val="auto"/>
          <w:sz w:val="28"/>
          <w:szCs w:val="28"/>
        </w:rPr>
        <w:t>）查询，未被列入失信被执行人、重大税收违法案件当事人名单、政府采购严重违法失信行为记录名单。</w:t>
      </w:r>
    </w:p>
    <w:p w14:paraId="3C062C7B">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8</w:t>
      </w:r>
      <w:r>
        <w:rPr>
          <w:rFonts w:hAnsiTheme="minorEastAsia" w:eastAsiaTheme="minorEastAsia"/>
          <w:color w:val="auto"/>
          <w:sz w:val="28"/>
          <w:szCs w:val="28"/>
        </w:rPr>
        <w:t>、以上事项如有虚假或隐瞒，我方愿意承担一切后果，并不再寻求任何旨在减轻或免除法律责任的辩解。</w:t>
      </w:r>
    </w:p>
    <w:p w14:paraId="5A07CE53">
      <w:pPr>
        <w:snapToGrid w:val="0"/>
        <w:spacing w:beforeLines="50" w:after="50" w:line="460" w:lineRule="exact"/>
        <w:ind w:firstLine="560" w:firstLineChars="200"/>
        <w:rPr>
          <w:rFonts w:eastAsiaTheme="minorEastAsia"/>
          <w:color w:val="auto"/>
          <w:sz w:val="28"/>
          <w:szCs w:val="28"/>
        </w:rPr>
      </w:pPr>
    </w:p>
    <w:p w14:paraId="67B1DAAE">
      <w:pPr>
        <w:snapToGrid w:val="0"/>
        <w:spacing w:beforeLines="50" w:after="50" w:line="460" w:lineRule="exact"/>
        <w:ind w:right="600" w:firstLine="140" w:firstLineChars="50"/>
        <w:rPr>
          <w:rFonts w:eastAsiaTheme="minorEastAsia"/>
          <w:color w:val="auto"/>
          <w:sz w:val="28"/>
          <w:szCs w:val="28"/>
          <w:u w:val="single"/>
        </w:rPr>
      </w:pPr>
      <w:r>
        <w:rPr>
          <w:rFonts w:hAnsiTheme="minorEastAsia" w:eastAsiaTheme="minorEastAsia"/>
          <w:color w:val="auto"/>
          <w:sz w:val="28"/>
          <w:szCs w:val="28"/>
        </w:rPr>
        <w:t>法定代表人签名（或签名章）：日期：</w:t>
      </w:r>
    </w:p>
    <w:p w14:paraId="6BBAFEB5">
      <w:pPr>
        <w:snapToGrid w:val="0"/>
        <w:spacing w:beforeLines="50" w:line="460" w:lineRule="exact"/>
        <w:ind w:firstLine="200"/>
        <w:rPr>
          <w:rFonts w:eastAsiaTheme="minorEastAsia"/>
          <w:color w:val="auto"/>
          <w:sz w:val="28"/>
          <w:szCs w:val="28"/>
          <w:u w:val="single"/>
        </w:rPr>
      </w:pPr>
    </w:p>
    <w:p w14:paraId="03A70044">
      <w:pPr>
        <w:snapToGrid w:val="0"/>
        <w:spacing w:beforeLines="50" w:after="50" w:line="460" w:lineRule="exact"/>
        <w:ind w:firstLine="140" w:firstLineChars="50"/>
        <w:rPr>
          <w:rFonts w:eastAsiaTheme="minorEastAsia"/>
          <w:color w:val="auto"/>
          <w:sz w:val="28"/>
          <w:szCs w:val="28"/>
        </w:rPr>
      </w:pPr>
      <w:r>
        <w:rPr>
          <w:rFonts w:hint="eastAsia" w:hAnsiTheme="minorEastAsia" w:eastAsiaTheme="minorEastAsia"/>
          <w:color w:val="auto"/>
          <w:sz w:val="28"/>
          <w:szCs w:val="28"/>
        </w:rPr>
        <w:t>供应商</w:t>
      </w:r>
      <w:r>
        <w:rPr>
          <w:rFonts w:hAnsiTheme="minorEastAsia" w:eastAsiaTheme="minorEastAsia"/>
          <w:color w:val="auto"/>
          <w:sz w:val="28"/>
          <w:szCs w:val="28"/>
        </w:rPr>
        <w:t>全称（公章）：</w:t>
      </w:r>
    </w:p>
    <w:p w14:paraId="6BD50AB0">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3</w:t>
      </w:r>
      <w:r>
        <w:rPr>
          <w:rFonts w:hAnsi="仿宋" w:eastAsia="仿宋"/>
          <w:color w:val="auto"/>
          <w:sz w:val="30"/>
          <w:szCs w:val="30"/>
        </w:rPr>
        <w:t>：</w:t>
      </w:r>
    </w:p>
    <w:p w14:paraId="07EDEAA8">
      <w:pPr>
        <w:snapToGrid w:val="0"/>
        <w:spacing w:before="50" w:after="50"/>
        <w:jc w:val="center"/>
        <w:rPr>
          <w:rFonts w:eastAsia="仿宋"/>
          <w:b/>
          <w:color w:val="auto"/>
          <w:sz w:val="36"/>
          <w:szCs w:val="36"/>
        </w:rPr>
      </w:pPr>
      <w:r>
        <w:rPr>
          <w:rFonts w:hAnsi="仿宋" w:eastAsia="仿宋"/>
          <w:b/>
          <w:color w:val="auto"/>
          <w:sz w:val="36"/>
          <w:szCs w:val="36"/>
        </w:rPr>
        <w:t>法定代表人授权委托书</w:t>
      </w:r>
    </w:p>
    <w:p w14:paraId="5A4186B7">
      <w:pPr>
        <w:snapToGrid w:val="0"/>
        <w:spacing w:beforeLines="50" w:after="50"/>
        <w:rPr>
          <w:rFonts w:eastAsia="仿宋"/>
          <w:b/>
          <w:color w:val="auto"/>
          <w:sz w:val="30"/>
          <w:szCs w:val="30"/>
        </w:rPr>
      </w:pPr>
    </w:p>
    <w:p w14:paraId="4741633E">
      <w:pPr>
        <w:snapToGrid w:val="0"/>
        <w:spacing w:beforeLines="50" w:after="50" w:line="460" w:lineRule="exact"/>
        <w:rPr>
          <w:rFonts w:eastAsia="仿宋"/>
          <w:b/>
          <w:bCs/>
          <w:color w:val="auto"/>
          <w:sz w:val="30"/>
          <w:szCs w:val="30"/>
        </w:rPr>
      </w:pPr>
      <w:r>
        <w:rPr>
          <w:rFonts w:hAnsi="仿宋" w:eastAsia="仿宋"/>
          <w:bCs/>
          <w:color w:val="auto"/>
          <w:sz w:val="30"/>
          <w:szCs w:val="30"/>
        </w:rPr>
        <w:t>浙江大学医学院附属妇产科医院：</w:t>
      </w:r>
    </w:p>
    <w:p w14:paraId="22DB19CE">
      <w:pPr>
        <w:snapToGrid w:val="0"/>
        <w:spacing w:beforeLines="50" w:after="50" w:line="460" w:lineRule="exact"/>
        <w:ind w:firstLine="900" w:firstLineChars="300"/>
        <w:rPr>
          <w:rFonts w:eastAsia="仿宋"/>
          <w:color w:val="auto"/>
          <w:sz w:val="30"/>
          <w:szCs w:val="30"/>
        </w:rPr>
      </w:pPr>
      <w:r>
        <w:rPr>
          <w:rFonts w:hAnsi="仿宋" w:eastAsia="仿宋"/>
          <w:color w:val="auto"/>
          <w:sz w:val="30"/>
          <w:szCs w:val="30"/>
        </w:rPr>
        <w:t>我（姓名）系（供应商名称）的法定代表人，现授权委托本单位在职职工（姓名）为授权代表，以我方的名义参加项目编号：项目名称</w:t>
      </w:r>
      <w:r>
        <w:rPr>
          <w:rFonts w:hAnsi="仿宋" w:eastAsia="仿宋"/>
          <w:color w:val="auto"/>
          <w:sz w:val="30"/>
          <w:szCs w:val="30"/>
          <w:u w:val="single"/>
        </w:rPr>
        <w:t>：</w:t>
      </w:r>
      <w:r>
        <w:rPr>
          <w:rFonts w:hAnsi="仿宋" w:eastAsia="仿宋"/>
          <w:color w:val="auto"/>
          <w:sz w:val="30"/>
          <w:szCs w:val="30"/>
        </w:rPr>
        <w:t>项目的活动，并代表我方全权办理针对上述项目的具体事务签署相关文件。我方对授权代表的签名事项负全部责任。</w:t>
      </w:r>
    </w:p>
    <w:p w14:paraId="4147D4C6">
      <w:pPr>
        <w:snapToGrid w:val="0"/>
        <w:spacing w:beforeLines="50" w:after="50" w:line="460" w:lineRule="exact"/>
        <w:ind w:firstLine="480"/>
        <w:rPr>
          <w:rFonts w:eastAsia="仿宋"/>
          <w:color w:val="auto"/>
          <w:sz w:val="30"/>
          <w:szCs w:val="30"/>
        </w:rPr>
      </w:pPr>
      <w:r>
        <w:rPr>
          <w:rFonts w:hAnsi="仿宋" w:eastAsia="仿宋"/>
          <w:color w:val="auto"/>
          <w:sz w:val="30"/>
          <w:szCs w:val="30"/>
        </w:rPr>
        <w:t>在撤销授权的书面通知以前，本授权书一直有效。授权代表在授权书有效期内签署的所有文件不因授权的撤销而失效。</w:t>
      </w:r>
    </w:p>
    <w:p w14:paraId="11692341">
      <w:pPr>
        <w:snapToGrid w:val="0"/>
        <w:spacing w:beforeLines="50" w:after="50" w:line="460" w:lineRule="exact"/>
        <w:ind w:firstLine="480"/>
        <w:rPr>
          <w:rFonts w:eastAsia="仿宋"/>
          <w:color w:val="auto"/>
          <w:sz w:val="30"/>
          <w:szCs w:val="30"/>
        </w:rPr>
      </w:pPr>
      <w:r>
        <w:rPr>
          <w:rFonts w:hAnsi="仿宋" w:eastAsia="仿宋"/>
          <w:color w:val="auto"/>
          <w:sz w:val="30"/>
          <w:szCs w:val="30"/>
        </w:rPr>
        <w:t>授权代表无转委托权，特此委托。</w:t>
      </w:r>
    </w:p>
    <w:p w14:paraId="2B1BA8D9">
      <w:pPr>
        <w:snapToGrid w:val="0"/>
        <w:spacing w:beforeLines="50" w:after="50" w:line="460" w:lineRule="exact"/>
        <w:ind w:firstLine="480"/>
        <w:rPr>
          <w:rFonts w:eastAsia="仿宋"/>
          <w:color w:val="auto"/>
          <w:sz w:val="30"/>
          <w:szCs w:val="30"/>
        </w:rPr>
      </w:pPr>
    </w:p>
    <w:p w14:paraId="7098FC18">
      <w:pPr>
        <w:snapToGrid w:val="0"/>
        <w:spacing w:beforeLines="50" w:after="50" w:line="460" w:lineRule="exact"/>
        <w:ind w:firstLine="480"/>
        <w:rPr>
          <w:rFonts w:eastAsia="仿宋"/>
          <w:color w:val="auto"/>
          <w:sz w:val="30"/>
          <w:szCs w:val="30"/>
        </w:rPr>
      </w:pPr>
    </w:p>
    <w:p w14:paraId="3483D1C3">
      <w:pPr>
        <w:snapToGrid w:val="0"/>
        <w:spacing w:beforeLines="50" w:after="50" w:line="460" w:lineRule="exact"/>
        <w:rPr>
          <w:rFonts w:eastAsia="仿宋"/>
          <w:color w:val="auto"/>
          <w:sz w:val="30"/>
          <w:szCs w:val="30"/>
        </w:rPr>
      </w:pPr>
      <w:r>
        <w:rPr>
          <w:rFonts w:hAnsi="仿宋" w:eastAsia="仿宋"/>
          <w:color w:val="auto"/>
          <w:sz w:val="30"/>
          <w:szCs w:val="30"/>
        </w:rPr>
        <w:t>授权代表签名：职务：</w:t>
      </w:r>
    </w:p>
    <w:p w14:paraId="4E34D85A">
      <w:pPr>
        <w:snapToGrid w:val="0"/>
        <w:spacing w:beforeLines="50" w:after="50" w:line="460" w:lineRule="exact"/>
        <w:rPr>
          <w:rFonts w:eastAsia="仿宋"/>
          <w:color w:val="auto"/>
          <w:sz w:val="30"/>
          <w:szCs w:val="30"/>
        </w:rPr>
      </w:pPr>
      <w:r>
        <w:rPr>
          <w:rFonts w:hAnsi="仿宋" w:eastAsia="仿宋"/>
          <w:color w:val="auto"/>
          <w:sz w:val="30"/>
          <w:szCs w:val="30"/>
        </w:rPr>
        <w:t>授权代表身份证号码：</w:t>
      </w:r>
    </w:p>
    <w:p w14:paraId="0EA325A1">
      <w:pPr>
        <w:snapToGrid w:val="0"/>
        <w:spacing w:beforeLines="50" w:after="50" w:line="460" w:lineRule="exact"/>
        <w:rPr>
          <w:rFonts w:eastAsia="仿宋"/>
          <w:color w:val="auto"/>
          <w:sz w:val="30"/>
          <w:szCs w:val="30"/>
        </w:rPr>
      </w:pPr>
      <w:r>
        <w:rPr>
          <w:rFonts w:hAnsi="仿宋" w:eastAsia="仿宋"/>
          <w:color w:val="auto"/>
          <w:sz w:val="30"/>
          <w:szCs w:val="30"/>
        </w:rPr>
        <w:t>授权代表联系手机：</w:t>
      </w:r>
    </w:p>
    <w:p w14:paraId="4D45F749">
      <w:pPr>
        <w:snapToGrid w:val="0"/>
        <w:spacing w:beforeLines="50" w:after="50" w:line="460" w:lineRule="exact"/>
        <w:rPr>
          <w:rFonts w:eastAsia="仿宋"/>
          <w:color w:val="auto"/>
          <w:sz w:val="30"/>
          <w:szCs w:val="30"/>
        </w:rPr>
      </w:pPr>
      <w:r>
        <w:rPr>
          <w:rFonts w:hAnsi="仿宋" w:eastAsia="仿宋"/>
          <w:color w:val="auto"/>
          <w:sz w:val="30"/>
          <w:szCs w:val="30"/>
        </w:rPr>
        <w:t>法定代表人签名（或签名章）：职务：</w:t>
      </w:r>
    </w:p>
    <w:p w14:paraId="615E26E6">
      <w:pPr>
        <w:snapToGrid w:val="0"/>
        <w:spacing w:beforeLines="50" w:after="50" w:line="460" w:lineRule="exact"/>
        <w:rPr>
          <w:rFonts w:eastAsia="仿宋"/>
          <w:color w:val="auto"/>
          <w:sz w:val="30"/>
          <w:szCs w:val="30"/>
        </w:rPr>
      </w:pPr>
    </w:p>
    <w:p w14:paraId="0541BA5D">
      <w:pPr>
        <w:snapToGrid w:val="0"/>
        <w:spacing w:beforeLines="50" w:after="50" w:line="460" w:lineRule="exact"/>
        <w:rPr>
          <w:rFonts w:eastAsia="仿宋"/>
          <w:color w:val="auto"/>
          <w:sz w:val="30"/>
          <w:szCs w:val="30"/>
        </w:rPr>
      </w:pPr>
    </w:p>
    <w:p w14:paraId="08B22474">
      <w:pPr>
        <w:snapToGrid w:val="0"/>
        <w:spacing w:beforeLines="50" w:after="50" w:line="460" w:lineRule="exact"/>
        <w:ind w:firstLine="6150" w:firstLineChars="2050"/>
        <w:rPr>
          <w:rFonts w:eastAsia="仿宋"/>
          <w:color w:val="auto"/>
          <w:sz w:val="30"/>
          <w:szCs w:val="30"/>
        </w:rPr>
      </w:pPr>
    </w:p>
    <w:p w14:paraId="77717F39">
      <w:pPr>
        <w:snapToGrid w:val="0"/>
        <w:spacing w:beforeLines="50" w:after="50" w:line="460" w:lineRule="exact"/>
        <w:rPr>
          <w:rFonts w:eastAsia="仿宋"/>
          <w:color w:val="auto"/>
          <w:sz w:val="30"/>
          <w:szCs w:val="30"/>
          <w:u w:val="single"/>
        </w:rPr>
      </w:pPr>
      <w:r>
        <w:rPr>
          <w:rFonts w:hAnsi="仿宋" w:eastAsia="仿宋"/>
          <w:color w:val="auto"/>
          <w:sz w:val="30"/>
          <w:szCs w:val="30"/>
        </w:rPr>
        <w:t>供应商全称（公章）：日期：</w:t>
      </w:r>
    </w:p>
    <w:p w14:paraId="7879F91F">
      <w:pPr>
        <w:pStyle w:val="39"/>
        <w:spacing w:line="360" w:lineRule="auto"/>
        <w:jc w:val="both"/>
        <w:rPr>
          <w:color w:val="auto"/>
          <w:sz w:val="21"/>
          <w:szCs w:val="21"/>
        </w:rPr>
      </w:pPr>
    </w:p>
    <w:p w14:paraId="269E10CA">
      <w:pPr>
        <w:pStyle w:val="39"/>
        <w:spacing w:line="360" w:lineRule="auto"/>
        <w:jc w:val="both"/>
        <w:rPr>
          <w:color w:val="auto"/>
          <w:sz w:val="21"/>
          <w:szCs w:val="21"/>
        </w:rPr>
      </w:pPr>
    </w:p>
    <w:p w14:paraId="4E2CA3B1">
      <w:pPr>
        <w:pStyle w:val="39"/>
        <w:spacing w:line="360" w:lineRule="auto"/>
        <w:jc w:val="both"/>
        <w:rPr>
          <w:color w:val="auto"/>
          <w:sz w:val="21"/>
          <w:szCs w:val="21"/>
        </w:rPr>
      </w:pPr>
    </w:p>
    <w:p w14:paraId="000261E7">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4</w:t>
      </w:r>
      <w:r>
        <w:rPr>
          <w:rFonts w:hAnsi="仿宋" w:eastAsia="仿宋"/>
          <w:color w:val="auto"/>
          <w:sz w:val="30"/>
          <w:szCs w:val="30"/>
        </w:rPr>
        <w:t>：</w:t>
      </w:r>
    </w:p>
    <w:p w14:paraId="6886FD11">
      <w:pPr>
        <w:jc w:val="center"/>
        <w:rPr>
          <w:b/>
          <w:color w:val="auto"/>
          <w:sz w:val="36"/>
          <w:szCs w:val="36"/>
        </w:rPr>
      </w:pPr>
      <w:r>
        <w:rPr>
          <w:b/>
          <w:color w:val="auto"/>
          <w:sz w:val="36"/>
          <w:szCs w:val="36"/>
        </w:rPr>
        <w:t>技术响应表</w:t>
      </w:r>
    </w:p>
    <w:p w14:paraId="5EA571CD">
      <w:pPr>
        <w:rPr>
          <w:color w:val="auto"/>
          <w:sz w:val="32"/>
          <w:szCs w:val="32"/>
          <w:u w:val="single"/>
        </w:rPr>
      </w:pPr>
      <w:r>
        <w:rPr>
          <w:color w:val="auto"/>
          <w:sz w:val="32"/>
          <w:szCs w:val="32"/>
        </w:rPr>
        <w:t>供应商全称（公章）：</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3430"/>
        <w:gridCol w:w="1956"/>
      </w:tblGrid>
      <w:tr w14:paraId="03E8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79154F6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采购文件要求</w:t>
            </w: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68F5DBC">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响应情况</w:t>
            </w: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BBC8AEB">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偏离情况</w:t>
            </w:r>
          </w:p>
        </w:tc>
      </w:tr>
      <w:tr w14:paraId="3AB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36F1620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A18552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0775EF">
            <w:pPr>
              <w:jc w:val="center"/>
              <w:rPr>
                <w:rFonts w:asciiTheme="minorEastAsia" w:hAnsiTheme="minorEastAsia" w:eastAsiaTheme="minorEastAsia"/>
                <w:b/>
                <w:color w:val="auto"/>
                <w:sz w:val="28"/>
                <w:szCs w:val="28"/>
              </w:rPr>
            </w:pPr>
          </w:p>
        </w:tc>
      </w:tr>
      <w:tr w14:paraId="38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10A1BA7">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6BE293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74EE76EA">
            <w:pPr>
              <w:jc w:val="center"/>
              <w:rPr>
                <w:rFonts w:asciiTheme="minorEastAsia" w:hAnsiTheme="minorEastAsia" w:eastAsiaTheme="minorEastAsia"/>
                <w:b/>
                <w:color w:val="auto"/>
                <w:sz w:val="28"/>
                <w:szCs w:val="28"/>
              </w:rPr>
            </w:pPr>
          </w:p>
        </w:tc>
      </w:tr>
      <w:tr w14:paraId="766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8B9CE1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6E92BE71">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236107">
            <w:pPr>
              <w:jc w:val="center"/>
              <w:rPr>
                <w:rFonts w:asciiTheme="minorEastAsia" w:hAnsiTheme="minorEastAsia" w:eastAsiaTheme="minorEastAsia"/>
                <w:b/>
                <w:color w:val="auto"/>
                <w:sz w:val="28"/>
                <w:szCs w:val="28"/>
              </w:rPr>
            </w:pPr>
          </w:p>
        </w:tc>
      </w:tr>
      <w:tr w14:paraId="73A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03B521D">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52C47E6">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A5C2AF">
            <w:pPr>
              <w:jc w:val="center"/>
              <w:rPr>
                <w:rFonts w:asciiTheme="minorEastAsia" w:hAnsiTheme="minorEastAsia" w:eastAsiaTheme="minorEastAsia"/>
                <w:b/>
                <w:color w:val="auto"/>
                <w:sz w:val="28"/>
                <w:szCs w:val="28"/>
              </w:rPr>
            </w:pPr>
          </w:p>
        </w:tc>
      </w:tr>
      <w:tr w14:paraId="7581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C7D9E79">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101064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62D625E2">
            <w:pPr>
              <w:jc w:val="center"/>
              <w:rPr>
                <w:rFonts w:asciiTheme="minorEastAsia" w:hAnsiTheme="minorEastAsia" w:eastAsiaTheme="minorEastAsia"/>
                <w:b/>
                <w:color w:val="auto"/>
                <w:sz w:val="28"/>
                <w:szCs w:val="28"/>
              </w:rPr>
            </w:pPr>
          </w:p>
        </w:tc>
      </w:tr>
      <w:tr w14:paraId="1D2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1F11F85">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E13C31F">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97A6893">
            <w:pPr>
              <w:jc w:val="center"/>
              <w:rPr>
                <w:rFonts w:asciiTheme="minorEastAsia" w:hAnsiTheme="minorEastAsia" w:eastAsiaTheme="minorEastAsia"/>
                <w:b/>
                <w:color w:val="auto"/>
                <w:sz w:val="28"/>
                <w:szCs w:val="28"/>
              </w:rPr>
            </w:pPr>
          </w:p>
        </w:tc>
      </w:tr>
      <w:tr w14:paraId="4E3A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D893711">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7374C04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A3955E3">
            <w:pPr>
              <w:jc w:val="center"/>
              <w:rPr>
                <w:rFonts w:asciiTheme="minorEastAsia" w:hAnsiTheme="minorEastAsia" w:eastAsiaTheme="minorEastAsia"/>
                <w:b/>
                <w:color w:val="auto"/>
                <w:sz w:val="28"/>
                <w:szCs w:val="28"/>
              </w:rPr>
            </w:pPr>
          </w:p>
        </w:tc>
      </w:tr>
      <w:tr w14:paraId="7AAE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E1F384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CD52FAA">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D8A27D5">
            <w:pPr>
              <w:jc w:val="center"/>
              <w:rPr>
                <w:rFonts w:asciiTheme="minorEastAsia" w:hAnsiTheme="minorEastAsia" w:eastAsiaTheme="minorEastAsia"/>
                <w:b/>
                <w:color w:val="auto"/>
                <w:sz w:val="28"/>
                <w:szCs w:val="28"/>
              </w:rPr>
            </w:pPr>
          </w:p>
        </w:tc>
      </w:tr>
      <w:tr w14:paraId="112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9C2893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49564D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F213D2">
            <w:pPr>
              <w:jc w:val="center"/>
              <w:rPr>
                <w:rFonts w:asciiTheme="minorEastAsia" w:hAnsiTheme="minorEastAsia" w:eastAsiaTheme="minorEastAsia"/>
                <w:b/>
                <w:color w:val="auto"/>
                <w:sz w:val="28"/>
                <w:szCs w:val="28"/>
              </w:rPr>
            </w:pPr>
          </w:p>
        </w:tc>
      </w:tr>
      <w:tr w14:paraId="369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63614FA">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BB4C2B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8904D50">
            <w:pPr>
              <w:jc w:val="center"/>
              <w:rPr>
                <w:rFonts w:asciiTheme="minorEastAsia" w:hAnsiTheme="minorEastAsia" w:eastAsiaTheme="minorEastAsia"/>
                <w:b/>
                <w:color w:val="auto"/>
                <w:sz w:val="28"/>
                <w:szCs w:val="28"/>
              </w:rPr>
            </w:pPr>
          </w:p>
        </w:tc>
      </w:tr>
      <w:tr w14:paraId="111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403304E">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C40437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203A1AE">
            <w:pPr>
              <w:jc w:val="center"/>
              <w:rPr>
                <w:rFonts w:asciiTheme="minorEastAsia" w:hAnsiTheme="minorEastAsia" w:eastAsiaTheme="minorEastAsia"/>
                <w:b/>
                <w:color w:val="auto"/>
                <w:sz w:val="28"/>
                <w:szCs w:val="28"/>
              </w:rPr>
            </w:pPr>
          </w:p>
        </w:tc>
      </w:tr>
      <w:tr w14:paraId="7AA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A25D6B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31889B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064B296">
            <w:pPr>
              <w:jc w:val="center"/>
              <w:rPr>
                <w:rFonts w:asciiTheme="minorEastAsia" w:hAnsiTheme="minorEastAsia" w:eastAsiaTheme="minorEastAsia"/>
                <w:b/>
                <w:color w:val="auto"/>
                <w:sz w:val="28"/>
                <w:szCs w:val="28"/>
              </w:rPr>
            </w:pPr>
          </w:p>
        </w:tc>
      </w:tr>
    </w:tbl>
    <w:p w14:paraId="28C66A95">
      <w:pPr>
        <w:rPr>
          <w:color w:val="auto"/>
          <w:sz w:val="32"/>
          <w:szCs w:val="32"/>
          <w:u w:val="single"/>
        </w:rPr>
      </w:pPr>
    </w:p>
    <w:p w14:paraId="7889F6F1">
      <w:pPr>
        <w:rPr>
          <w:color w:val="auto"/>
          <w:sz w:val="32"/>
          <w:szCs w:val="32"/>
        </w:rPr>
      </w:pPr>
    </w:p>
    <w:p w14:paraId="775DE436">
      <w:pPr>
        <w:rPr>
          <w:color w:val="auto"/>
          <w:sz w:val="32"/>
          <w:szCs w:val="32"/>
          <w:u w:val="single"/>
        </w:rPr>
      </w:pPr>
      <w:r>
        <w:rPr>
          <w:color w:val="auto"/>
          <w:sz w:val="32"/>
          <w:szCs w:val="32"/>
        </w:rPr>
        <w:t>授权代表签名及手机：</w:t>
      </w:r>
    </w:p>
    <w:p w14:paraId="7E764AA9">
      <w:pPr>
        <w:rPr>
          <w:color w:val="auto"/>
          <w:sz w:val="32"/>
          <w:szCs w:val="32"/>
          <w:u w:val="single"/>
        </w:rPr>
      </w:pPr>
      <w:r>
        <w:rPr>
          <w:color w:val="auto"/>
          <w:sz w:val="32"/>
          <w:szCs w:val="32"/>
        </w:rPr>
        <w:t>日期：</w:t>
      </w:r>
    </w:p>
    <w:p w14:paraId="0AC5F8F9">
      <w:pPr>
        <w:pStyle w:val="39"/>
        <w:spacing w:line="360" w:lineRule="auto"/>
        <w:jc w:val="both"/>
        <w:rPr>
          <w:color w:val="auto"/>
          <w:sz w:val="21"/>
          <w:szCs w:val="21"/>
        </w:rPr>
      </w:pPr>
    </w:p>
    <w:p w14:paraId="2BB96431">
      <w:pPr>
        <w:pStyle w:val="39"/>
        <w:spacing w:line="360" w:lineRule="auto"/>
        <w:jc w:val="both"/>
        <w:rPr>
          <w:rFonts w:hAnsi="宋体"/>
          <w:color w:val="auto"/>
          <w:sz w:val="21"/>
          <w:szCs w:val="21"/>
        </w:rPr>
      </w:pPr>
      <w:r>
        <w:rPr>
          <w:color w:val="auto"/>
          <w:sz w:val="21"/>
          <w:szCs w:val="21"/>
        </w:rPr>
        <w:t>说明：</w:t>
      </w:r>
      <w:r>
        <w:rPr>
          <w:rFonts w:hAnsi="宋体"/>
          <w:color w:val="auto"/>
          <w:sz w:val="21"/>
          <w:szCs w:val="21"/>
        </w:rPr>
        <w:t>①</w:t>
      </w:r>
      <w:r>
        <w:rPr>
          <w:color w:val="auto"/>
          <w:sz w:val="21"/>
          <w:szCs w:val="21"/>
        </w:rPr>
        <w:t>采购文件要求列第一行填写项目名称，以下填写</w:t>
      </w:r>
      <w:r>
        <w:rPr>
          <w:rFonts w:hint="eastAsia"/>
          <w:b/>
          <w:color w:val="auto"/>
          <w:sz w:val="21"/>
          <w:szCs w:val="21"/>
        </w:rPr>
        <w:t>总体</w:t>
      </w:r>
      <w:r>
        <w:rPr>
          <w:b/>
          <w:color w:val="auto"/>
          <w:sz w:val="21"/>
          <w:szCs w:val="21"/>
        </w:rPr>
        <w:t>要求和</w:t>
      </w:r>
      <w:r>
        <w:rPr>
          <w:rFonts w:hint="eastAsia"/>
          <w:b/>
          <w:color w:val="auto"/>
          <w:sz w:val="21"/>
          <w:szCs w:val="21"/>
        </w:rPr>
        <w:t>采购内容</w:t>
      </w:r>
      <w:r>
        <w:rPr>
          <w:b/>
          <w:color w:val="auto"/>
          <w:sz w:val="21"/>
          <w:szCs w:val="21"/>
        </w:rPr>
        <w:t>技术要求</w:t>
      </w:r>
      <w:r>
        <w:rPr>
          <w:color w:val="auto"/>
          <w:sz w:val="21"/>
          <w:szCs w:val="21"/>
        </w:rPr>
        <w:t>。</w:t>
      </w:r>
      <w:r>
        <w:rPr>
          <w:rFonts w:hAnsi="宋体"/>
          <w:color w:val="auto"/>
          <w:sz w:val="21"/>
          <w:szCs w:val="21"/>
        </w:rPr>
        <w:t>②响应情况列</w:t>
      </w:r>
      <w:r>
        <w:rPr>
          <w:rFonts w:hint="eastAsia" w:hAnsi="宋体"/>
          <w:b/>
          <w:color w:val="auto"/>
          <w:sz w:val="21"/>
          <w:szCs w:val="21"/>
        </w:rPr>
        <w:t>如实</w:t>
      </w:r>
      <w:r>
        <w:rPr>
          <w:rFonts w:hAnsi="宋体"/>
          <w:b/>
          <w:color w:val="auto"/>
          <w:sz w:val="21"/>
          <w:szCs w:val="21"/>
        </w:rPr>
        <w:t>填写</w:t>
      </w:r>
      <w:r>
        <w:rPr>
          <w:rFonts w:hAnsi="宋体"/>
          <w:color w:val="auto"/>
          <w:sz w:val="21"/>
          <w:szCs w:val="21"/>
        </w:rPr>
        <w:t>项目响应情况。③注明</w:t>
      </w:r>
      <w:r>
        <w:rPr>
          <w:color w:val="auto"/>
          <w:sz w:val="21"/>
          <w:szCs w:val="21"/>
        </w:rPr>
        <w:t>“</w:t>
      </w:r>
      <w:r>
        <w:rPr>
          <w:rFonts w:hAnsi="宋体"/>
          <w:color w:val="auto"/>
          <w:sz w:val="21"/>
          <w:szCs w:val="21"/>
        </w:rPr>
        <w:t>正偏离</w:t>
      </w:r>
      <w:r>
        <w:rPr>
          <w:color w:val="auto"/>
          <w:sz w:val="21"/>
          <w:szCs w:val="21"/>
        </w:rPr>
        <w:t>”</w:t>
      </w:r>
      <w:r>
        <w:rPr>
          <w:rFonts w:hAnsi="宋体"/>
          <w:color w:val="auto"/>
          <w:sz w:val="21"/>
          <w:szCs w:val="21"/>
        </w:rPr>
        <w:t>、</w:t>
      </w:r>
      <w:r>
        <w:rPr>
          <w:color w:val="auto"/>
          <w:sz w:val="21"/>
          <w:szCs w:val="21"/>
        </w:rPr>
        <w:t>“</w:t>
      </w:r>
      <w:r>
        <w:rPr>
          <w:rFonts w:hAnsi="宋体"/>
          <w:color w:val="auto"/>
          <w:sz w:val="21"/>
          <w:szCs w:val="21"/>
        </w:rPr>
        <w:t>负偏离</w:t>
      </w:r>
      <w:r>
        <w:rPr>
          <w:color w:val="auto"/>
          <w:sz w:val="21"/>
          <w:szCs w:val="21"/>
        </w:rPr>
        <w:t>”</w:t>
      </w:r>
      <w:r>
        <w:rPr>
          <w:rFonts w:hAnsi="宋体"/>
          <w:color w:val="auto"/>
          <w:sz w:val="21"/>
          <w:szCs w:val="21"/>
        </w:rPr>
        <w:t>或</w:t>
      </w:r>
      <w:r>
        <w:rPr>
          <w:color w:val="auto"/>
          <w:sz w:val="21"/>
          <w:szCs w:val="21"/>
        </w:rPr>
        <w:t>“</w:t>
      </w:r>
      <w:r>
        <w:rPr>
          <w:rFonts w:hAnsi="宋体"/>
          <w:color w:val="auto"/>
          <w:sz w:val="21"/>
          <w:szCs w:val="21"/>
        </w:rPr>
        <w:t>无偏离</w:t>
      </w:r>
      <w:r>
        <w:rPr>
          <w:color w:val="auto"/>
          <w:sz w:val="21"/>
          <w:szCs w:val="21"/>
        </w:rPr>
        <w:t>”</w:t>
      </w:r>
      <w:r>
        <w:rPr>
          <w:rFonts w:hAnsi="宋体"/>
          <w:color w:val="auto"/>
          <w:sz w:val="21"/>
          <w:szCs w:val="21"/>
        </w:rPr>
        <w:t>。</w:t>
      </w:r>
    </w:p>
    <w:p w14:paraId="57BE7F20">
      <w:pPr>
        <w:snapToGrid w:val="0"/>
        <w:spacing w:beforeLines="50" w:after="50" w:line="460" w:lineRule="exact"/>
        <w:rPr>
          <w:rFonts w:hAnsi="仿宋" w:eastAsia="仿宋"/>
          <w:color w:val="auto"/>
          <w:sz w:val="30"/>
          <w:szCs w:val="30"/>
        </w:rPr>
      </w:pPr>
    </w:p>
    <w:p w14:paraId="58326B55">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5</w:t>
      </w:r>
      <w:r>
        <w:rPr>
          <w:rFonts w:hAnsi="仿宋" w:eastAsia="仿宋"/>
          <w:color w:val="auto"/>
          <w:sz w:val="30"/>
          <w:szCs w:val="30"/>
        </w:rPr>
        <w:t>：</w:t>
      </w:r>
    </w:p>
    <w:p w14:paraId="6CA6FF9E">
      <w:pPr>
        <w:jc w:val="center"/>
        <w:rPr>
          <w:b/>
          <w:color w:val="auto"/>
          <w:sz w:val="36"/>
          <w:szCs w:val="36"/>
        </w:rPr>
      </w:pPr>
      <w:r>
        <w:rPr>
          <w:b/>
          <w:color w:val="auto"/>
          <w:sz w:val="36"/>
          <w:szCs w:val="36"/>
        </w:rPr>
        <w:t>报价明细表</w:t>
      </w:r>
    </w:p>
    <w:p w14:paraId="268DA767">
      <w:pPr>
        <w:rPr>
          <w:color w:val="auto"/>
          <w:sz w:val="32"/>
          <w:szCs w:val="32"/>
          <w:u w:val="single"/>
        </w:rPr>
      </w:pPr>
      <w:r>
        <w:rPr>
          <w:color w:val="auto"/>
          <w:sz w:val="32"/>
          <w:szCs w:val="32"/>
        </w:rPr>
        <w:t>供应商全称：</w:t>
      </w:r>
    </w:p>
    <w:p w14:paraId="5B88B55D">
      <w:pPr>
        <w:rPr>
          <w:color w:val="auto"/>
          <w:sz w:val="32"/>
          <w:szCs w:val="32"/>
          <w:u w:val="single"/>
        </w:rPr>
      </w:pPr>
      <w:r>
        <w:rPr>
          <w:color w:val="auto"/>
          <w:sz w:val="32"/>
          <w:szCs w:val="32"/>
        </w:rPr>
        <w:t>项目编号：</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2693"/>
        <w:gridCol w:w="1384"/>
        <w:gridCol w:w="1451"/>
      </w:tblGrid>
      <w:tr w14:paraId="3BF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65DA59B4">
            <w:pPr>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项目</w:t>
            </w:r>
            <w:r>
              <w:rPr>
                <w:rFonts w:asciiTheme="minorEastAsia" w:hAnsiTheme="minorEastAsia" w:eastAsiaTheme="minorEastAsia"/>
                <w:b/>
                <w:color w:val="auto"/>
                <w:sz w:val="28"/>
                <w:szCs w:val="28"/>
              </w:rPr>
              <w:t>名称</w:t>
            </w: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1AAD658D">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数量</w:t>
            </w:r>
            <w:r>
              <w:rPr>
                <w:rFonts w:hint="eastAsia" w:asciiTheme="minorEastAsia" w:hAnsiTheme="minorEastAsia" w:eastAsiaTheme="minorEastAsia"/>
                <w:b/>
                <w:color w:val="auto"/>
                <w:sz w:val="28"/>
                <w:szCs w:val="28"/>
              </w:rPr>
              <w:t>及单位</w:t>
            </w: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3D7A64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单价（元）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4C172709">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总价（元）</w:t>
            </w:r>
          </w:p>
        </w:tc>
      </w:tr>
      <w:tr w14:paraId="0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0E42C87A">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480191E5">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773C5F9E">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285E5C1F">
            <w:pPr>
              <w:rPr>
                <w:rFonts w:asciiTheme="minorEastAsia" w:hAnsiTheme="minorEastAsia" w:eastAsiaTheme="minorEastAsia"/>
                <w:color w:val="auto"/>
                <w:sz w:val="32"/>
                <w:szCs w:val="32"/>
              </w:rPr>
            </w:pPr>
          </w:p>
        </w:tc>
      </w:tr>
      <w:tr w14:paraId="60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1022E06D">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2388D3C8">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6944F91">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6D957AEE">
            <w:pPr>
              <w:rPr>
                <w:rFonts w:asciiTheme="minorEastAsia" w:hAnsiTheme="minorEastAsia" w:eastAsiaTheme="minorEastAsia"/>
                <w:color w:val="auto"/>
                <w:sz w:val="32"/>
                <w:szCs w:val="32"/>
              </w:rPr>
            </w:pPr>
          </w:p>
        </w:tc>
      </w:tr>
      <w:tr w14:paraId="78C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tcPr>
          <w:p w14:paraId="681B842E">
            <w:pPr>
              <w:rPr>
                <w:rFonts w:asciiTheme="minorEastAsia" w:hAnsiTheme="minorEastAsia" w:eastAsiaTheme="minorEastAsia"/>
                <w:color w:val="auto"/>
                <w:sz w:val="28"/>
                <w:szCs w:val="28"/>
                <w:u w:val="single"/>
              </w:rPr>
            </w:pPr>
            <w:r>
              <w:rPr>
                <w:rFonts w:asciiTheme="minorEastAsia" w:hAnsiTheme="minorEastAsia" w:eastAsiaTheme="minorEastAsia"/>
                <w:color w:val="auto"/>
                <w:sz w:val="28"/>
                <w:szCs w:val="28"/>
              </w:rPr>
              <w:t>合计金额大写：   小写：￥</w:t>
            </w:r>
          </w:p>
        </w:tc>
      </w:tr>
      <w:tr w14:paraId="750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1FE65845">
            <w:pPr>
              <w:jc w:val="center"/>
              <w:rPr>
                <w:rFonts w:asciiTheme="minorEastAsia" w:hAnsiTheme="minorEastAsia" w:eastAsiaTheme="minorEastAsia"/>
                <w:color w:val="auto"/>
                <w:sz w:val="28"/>
                <w:szCs w:val="28"/>
              </w:rPr>
            </w:pPr>
          </w:p>
          <w:p w14:paraId="4C180B02">
            <w:pPr>
              <w:jc w:val="center"/>
              <w:rPr>
                <w:rFonts w:asciiTheme="minorEastAsia" w:hAnsiTheme="minorEastAsia" w:eastAsiaTheme="minorEastAsia"/>
                <w:color w:val="auto"/>
                <w:sz w:val="28"/>
                <w:szCs w:val="28"/>
              </w:rPr>
            </w:pPr>
          </w:p>
          <w:p w14:paraId="076F4CED">
            <w:pPr>
              <w:jc w:val="center"/>
              <w:rPr>
                <w:rFonts w:asciiTheme="minorEastAsia" w:hAnsiTheme="minorEastAsia" w:eastAsiaTheme="minorEastAsia"/>
                <w:color w:val="auto"/>
                <w:sz w:val="28"/>
                <w:szCs w:val="28"/>
              </w:rPr>
            </w:pPr>
          </w:p>
          <w:p w14:paraId="57CCEFF7">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备</w:t>
            </w:r>
          </w:p>
          <w:p w14:paraId="54B76886">
            <w:pPr>
              <w:jc w:val="center"/>
              <w:rPr>
                <w:rFonts w:asciiTheme="minorEastAsia" w:hAnsiTheme="minorEastAsia" w:eastAsiaTheme="minorEastAsia"/>
                <w:color w:val="auto"/>
                <w:sz w:val="28"/>
                <w:szCs w:val="28"/>
              </w:rPr>
            </w:pPr>
          </w:p>
          <w:p w14:paraId="10C45A8C">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注</w:t>
            </w:r>
          </w:p>
          <w:p w14:paraId="531E2456">
            <w:pPr>
              <w:jc w:val="center"/>
              <w:rPr>
                <w:rFonts w:asciiTheme="minorEastAsia" w:hAnsiTheme="minorEastAsia" w:eastAsiaTheme="minorEastAsia"/>
                <w:color w:val="auto"/>
                <w:sz w:val="28"/>
                <w:szCs w:val="28"/>
              </w:rPr>
            </w:pPr>
          </w:p>
          <w:p w14:paraId="6A7D132B">
            <w:pPr>
              <w:jc w:val="center"/>
              <w:rPr>
                <w:rFonts w:asciiTheme="minorEastAsia" w:hAnsiTheme="minorEastAsia" w:eastAsiaTheme="minorEastAsia"/>
                <w:color w:val="auto"/>
                <w:sz w:val="28"/>
                <w:szCs w:val="28"/>
              </w:rPr>
            </w:pPr>
          </w:p>
          <w:p w14:paraId="2602415B">
            <w:pPr>
              <w:jc w:val="center"/>
              <w:rPr>
                <w:rFonts w:asciiTheme="minorEastAsia" w:hAnsiTheme="minorEastAsia" w:eastAsiaTheme="minorEastAsia"/>
                <w:color w:val="auto"/>
                <w:sz w:val="28"/>
                <w:szCs w:val="28"/>
              </w:rPr>
            </w:pPr>
          </w:p>
        </w:tc>
        <w:tc>
          <w:tcPr>
            <w:tcW w:w="7938" w:type="dxa"/>
            <w:gridSpan w:val="4"/>
            <w:tcBorders>
              <w:top w:val="single" w:color="000000" w:sz="4" w:space="0"/>
              <w:left w:val="single" w:color="000000" w:sz="4" w:space="0"/>
              <w:bottom w:val="single" w:color="000000" w:sz="4" w:space="0"/>
              <w:right w:val="single" w:color="000000" w:sz="4" w:space="0"/>
            </w:tcBorders>
            <w:shd w:val="clear" w:color="auto" w:fill="auto"/>
          </w:tcPr>
          <w:p w14:paraId="55F3A46F">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1、此表应按项目的明细情况列项填表，在填写时，如上表不适合本项目的实际情况，可在确保响应明细内容完整的情况下，根据上表格式自行划表填写。</w:t>
            </w:r>
          </w:p>
          <w:p w14:paraId="774DEC26">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2、报价要求：项目费用包括项目实施所需的工程费、工时费、服务费、运输费、安装费调试费、税费及其他一切费用。</w:t>
            </w:r>
          </w:p>
          <w:p w14:paraId="58AD0013">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3、报价中不允许出现报价优惠等字样，合计总价应与明细报价汇总相等。</w:t>
            </w:r>
          </w:p>
          <w:p w14:paraId="2FF333EB">
            <w:pPr>
              <w:rPr>
                <w:rFonts w:asciiTheme="minorEastAsia" w:hAnsiTheme="minorEastAsia" w:eastAsiaTheme="minorEastAsia"/>
                <w:color w:val="auto"/>
                <w:sz w:val="28"/>
                <w:szCs w:val="28"/>
              </w:rPr>
            </w:pPr>
          </w:p>
        </w:tc>
      </w:tr>
    </w:tbl>
    <w:p w14:paraId="2AAF5DCC">
      <w:pPr>
        <w:rPr>
          <w:color w:val="auto"/>
          <w:sz w:val="32"/>
          <w:szCs w:val="32"/>
        </w:rPr>
      </w:pPr>
    </w:p>
    <w:p w14:paraId="66C221F0">
      <w:pPr>
        <w:rPr>
          <w:color w:val="auto"/>
          <w:sz w:val="32"/>
          <w:szCs w:val="32"/>
          <w:u w:val="single"/>
        </w:rPr>
      </w:pPr>
      <w:r>
        <w:rPr>
          <w:color w:val="auto"/>
          <w:sz w:val="32"/>
          <w:szCs w:val="32"/>
        </w:rPr>
        <w:t>授权代表签名：</w:t>
      </w:r>
    </w:p>
    <w:p w14:paraId="190AB458">
      <w:pPr>
        <w:rPr>
          <w:color w:val="auto"/>
          <w:sz w:val="32"/>
          <w:szCs w:val="32"/>
          <w:u w:val="single"/>
        </w:rPr>
      </w:pPr>
      <w:r>
        <w:rPr>
          <w:color w:val="auto"/>
          <w:sz w:val="32"/>
          <w:szCs w:val="32"/>
        </w:rPr>
        <w:t>日期：</w:t>
      </w:r>
    </w:p>
    <w:p w14:paraId="4BA8C5DF">
      <w:pPr>
        <w:rPr>
          <w:color w:val="auto"/>
          <w:szCs w:val="22"/>
        </w:rPr>
      </w:pPr>
    </w:p>
    <w:p w14:paraId="2E7076C0">
      <w:pPr>
        <w:rPr>
          <w:color w:val="auto"/>
          <w:szCs w:val="22"/>
        </w:rPr>
      </w:pPr>
    </w:p>
    <w:p w14:paraId="57FE012B">
      <w:pPr>
        <w:rPr>
          <w:color w:val="auto"/>
          <w:szCs w:val="22"/>
        </w:rPr>
      </w:pPr>
    </w:p>
    <w:p w14:paraId="6913B855">
      <w:pPr>
        <w:pStyle w:val="19"/>
        <w:numPr>
          <w:ilvl w:val="0"/>
          <w:numId w:val="10"/>
        </w:numPr>
        <w:rPr>
          <w:rFonts w:hint="eastAsia" w:eastAsia="宋体"/>
          <w:color w:val="auto"/>
        </w:rPr>
      </w:pPr>
      <w:bookmarkStart w:id="13" w:name="_Toc3195"/>
      <w:r>
        <w:rPr>
          <w:rFonts w:hint="eastAsia" w:eastAsia="宋体"/>
          <w:color w:val="auto"/>
        </w:rPr>
        <w:t>合同主要条款</w:t>
      </w:r>
      <w:bookmarkEnd w:id="13"/>
    </w:p>
    <w:p w14:paraId="2C8E760B">
      <w:pPr>
        <w:spacing w:line="480" w:lineRule="exact"/>
        <w:ind w:right="140" w:firstLine="280" w:firstLineChars="100"/>
        <w:jc w:val="center"/>
        <w:rPr>
          <w:rFonts w:ascii="微软雅黑" w:hAnsi="微软雅黑" w:eastAsia="微软雅黑"/>
          <w:b/>
          <w:color w:val="auto"/>
          <w:sz w:val="28"/>
        </w:rPr>
      </w:pPr>
      <w:r>
        <w:rPr>
          <w:rFonts w:ascii="微软雅黑" w:hAnsi="微软雅黑" w:eastAsia="微软雅黑"/>
          <w:b/>
          <w:color w:val="auto"/>
          <w:sz w:val="28"/>
        </w:rPr>
        <w:t>浙江</w:t>
      </w:r>
      <w:r>
        <w:rPr>
          <w:rFonts w:hint="eastAsia" w:ascii="微软雅黑" w:hAnsi="微软雅黑" w:eastAsia="微软雅黑"/>
          <w:b/>
          <w:color w:val="auto"/>
          <w:sz w:val="28"/>
        </w:rPr>
        <w:t>大学医学院附属妇产科医院</w:t>
      </w:r>
    </w:p>
    <w:p w14:paraId="406FBB52">
      <w:pPr>
        <w:spacing w:line="480" w:lineRule="exact"/>
        <w:ind w:right="140" w:firstLine="280" w:firstLineChars="100"/>
        <w:jc w:val="center"/>
        <w:rPr>
          <w:rFonts w:ascii="微软雅黑" w:hAnsi="微软雅黑" w:eastAsia="微软雅黑"/>
          <w:b/>
          <w:color w:val="auto"/>
          <w:sz w:val="18"/>
          <w:szCs w:val="18"/>
        </w:rPr>
      </w:pPr>
      <w:r>
        <w:rPr>
          <w:rFonts w:hint="eastAsia" w:ascii="微软雅黑" w:hAnsi="微软雅黑" w:eastAsia="微软雅黑"/>
          <w:b/>
          <w:color w:val="auto"/>
          <w:sz w:val="28"/>
        </w:rPr>
        <w:t xml:space="preserve">           </w:t>
      </w:r>
      <w:r>
        <w:rPr>
          <w:rFonts w:hint="eastAsia" w:ascii="微软雅黑" w:hAnsi="微软雅黑" w:eastAsia="微软雅黑"/>
          <w:b/>
          <w:color w:val="auto"/>
          <w:sz w:val="28"/>
          <w:u w:val="single"/>
        </w:rPr>
        <w:t xml:space="preserve"> XXXX信息项目</w:t>
      </w:r>
      <w:r>
        <w:rPr>
          <w:rFonts w:ascii="微软雅黑" w:hAnsi="微软雅黑" w:eastAsia="微软雅黑"/>
          <w:b/>
          <w:color w:val="auto"/>
          <w:sz w:val="28"/>
        </w:rPr>
        <w:t>采购合同</w:t>
      </w:r>
      <w:r>
        <w:rPr>
          <w:rFonts w:hint="eastAsia" w:ascii="微软雅黑" w:hAnsi="微软雅黑" w:eastAsia="微软雅黑"/>
          <w:b/>
          <w:color w:val="auto"/>
          <w:szCs w:val="21"/>
          <w:highlight w:val="yellow"/>
        </w:rPr>
        <w:t>(最终以双方签字盖章的文本为准)</w:t>
      </w:r>
    </w:p>
    <w:p w14:paraId="0FE18785">
      <w:pPr>
        <w:snapToGrid w:val="0"/>
        <w:spacing w:before="120" w:after="120"/>
        <w:rPr>
          <w:rFonts w:ascii="微软雅黑" w:hAnsi="微软雅黑" w:eastAsia="微软雅黑"/>
          <w:color w:val="auto"/>
          <w:sz w:val="24"/>
          <w:lang w:val="zh-CN"/>
        </w:rPr>
      </w:pPr>
      <w:r>
        <w:rPr>
          <w:rFonts w:ascii="微软雅黑" w:hAnsi="微软雅黑" w:eastAsia="微软雅黑"/>
          <w:color w:val="auto"/>
          <w:sz w:val="24"/>
          <w:lang w:val="zh-CN"/>
        </w:rPr>
        <w:t xml:space="preserve">合同编号： </w:t>
      </w:r>
    </w:p>
    <w:p w14:paraId="487E915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甲方（采购单位）：</w:t>
      </w:r>
      <w:r>
        <w:rPr>
          <w:rFonts w:ascii="微软雅黑" w:hAnsi="微软雅黑" w:eastAsia="微软雅黑" w:cs="Times New Roman"/>
          <w:color w:val="auto"/>
          <w:sz w:val="24"/>
          <w:szCs w:val="24"/>
          <w:u w:val="single"/>
        </w:rPr>
        <w:t>浙江大学医学院附属妇产科医院</w:t>
      </w:r>
    </w:p>
    <w:p w14:paraId="3A9BA48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乙方（供应商）：</w:t>
      </w:r>
      <w:r>
        <w:rPr>
          <w:rFonts w:hint="eastAsia" w:ascii="微软雅黑" w:hAnsi="微软雅黑" w:eastAsia="微软雅黑" w:cs="Times New Roman"/>
          <w:color w:val="auto"/>
          <w:sz w:val="24"/>
          <w:szCs w:val="24"/>
          <w:u w:val="single"/>
        </w:rPr>
        <w:t xml:space="preserve">  XXXXXXXXXXXXXXXXXXXX  </w:t>
      </w:r>
    </w:p>
    <w:p w14:paraId="0004BA86">
      <w:pPr>
        <w:adjustRightInd w:val="0"/>
        <w:snapToGrid w:val="0"/>
        <w:spacing w:before="120" w:after="12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snapToGrid w:val="0"/>
          <w:color w:val="auto"/>
          <w:kern w:val="0"/>
          <w:sz w:val="24"/>
          <w:szCs w:val="24"/>
          <w:lang w:val="zh-CN"/>
        </w:rPr>
        <w:tab/>
      </w:r>
      <w:r>
        <w:rPr>
          <w:rFonts w:ascii="微软雅黑" w:hAnsi="微软雅黑" w:eastAsia="微软雅黑" w:cs="Times New Roman"/>
          <w:b/>
          <w:snapToGrid w:val="0"/>
          <w:color w:val="auto"/>
          <w:kern w:val="0"/>
          <w:sz w:val="24"/>
          <w:szCs w:val="24"/>
          <w:lang w:val="zh-CN"/>
        </w:rPr>
        <w:t>一、</w:t>
      </w:r>
      <w:r>
        <w:rPr>
          <w:rFonts w:hint="eastAsia" w:ascii="微软雅黑" w:hAnsi="微软雅黑" w:eastAsia="微软雅黑" w:cs="Times New Roman"/>
          <w:b/>
          <w:snapToGrid w:val="0"/>
          <w:color w:val="auto"/>
          <w:kern w:val="0"/>
          <w:sz w:val="24"/>
          <w:szCs w:val="24"/>
          <w:lang w:val="zh-CN"/>
        </w:rPr>
        <w:t>采购内容</w:t>
      </w:r>
      <w:r>
        <w:rPr>
          <w:rFonts w:ascii="微软雅黑" w:hAnsi="微软雅黑" w:eastAsia="微软雅黑" w:cs="Times New Roman"/>
          <w:b/>
          <w:color w:val="auto"/>
          <w:sz w:val="24"/>
          <w:szCs w:val="24"/>
          <w:lang w:val="zh-CN"/>
        </w:rPr>
        <w:t>及合同价格</w:t>
      </w:r>
    </w:p>
    <w:tbl>
      <w:tblPr>
        <w:tblStyle w:val="21"/>
        <w:tblW w:w="8848" w:type="dxa"/>
        <w:jc w:val="center"/>
        <w:tblLayout w:type="autofit"/>
        <w:tblCellMar>
          <w:top w:w="0" w:type="dxa"/>
          <w:left w:w="108" w:type="dxa"/>
          <w:bottom w:w="0" w:type="dxa"/>
          <w:right w:w="108" w:type="dxa"/>
        </w:tblCellMar>
      </w:tblPr>
      <w:tblGrid>
        <w:gridCol w:w="3559"/>
        <w:gridCol w:w="1547"/>
        <w:gridCol w:w="709"/>
        <w:gridCol w:w="1559"/>
        <w:gridCol w:w="1474"/>
      </w:tblGrid>
      <w:tr w14:paraId="30FB4FE8">
        <w:tblPrEx>
          <w:tblCellMar>
            <w:top w:w="0" w:type="dxa"/>
            <w:left w:w="108" w:type="dxa"/>
            <w:bottom w:w="0" w:type="dxa"/>
            <w:right w:w="108" w:type="dxa"/>
          </w:tblCellMar>
        </w:tblPrEx>
        <w:trPr>
          <w:trHeight w:val="300" w:hRule="atLeast"/>
          <w:jc w:val="center"/>
        </w:trPr>
        <w:tc>
          <w:tcPr>
            <w:tcW w:w="3559" w:type="dxa"/>
            <w:tcBorders>
              <w:top w:val="single" w:color="auto" w:sz="8" w:space="0"/>
              <w:left w:val="single" w:color="auto" w:sz="8" w:space="0"/>
              <w:bottom w:val="single" w:color="auto" w:sz="8" w:space="0"/>
              <w:right w:val="single" w:color="auto" w:sz="8" w:space="0"/>
            </w:tcBorders>
            <w:shd w:val="clear" w:color="auto" w:fill="auto"/>
            <w:vAlign w:val="center"/>
          </w:tcPr>
          <w:p w14:paraId="50745F7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服务项目</w:t>
            </w:r>
          </w:p>
        </w:tc>
        <w:tc>
          <w:tcPr>
            <w:tcW w:w="1547" w:type="dxa"/>
            <w:tcBorders>
              <w:top w:val="single" w:color="auto" w:sz="8" w:space="0"/>
              <w:left w:val="nil"/>
              <w:bottom w:val="single" w:color="auto" w:sz="8" w:space="0"/>
              <w:right w:val="single" w:color="auto" w:sz="8" w:space="0"/>
            </w:tcBorders>
            <w:shd w:val="clear" w:color="auto" w:fill="auto"/>
            <w:vAlign w:val="center"/>
          </w:tcPr>
          <w:p w14:paraId="1B7F9906">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要求说明</w:t>
            </w:r>
          </w:p>
        </w:tc>
        <w:tc>
          <w:tcPr>
            <w:tcW w:w="709" w:type="dxa"/>
            <w:tcBorders>
              <w:top w:val="single" w:color="auto" w:sz="8" w:space="0"/>
              <w:left w:val="nil"/>
              <w:bottom w:val="single" w:color="auto" w:sz="8" w:space="0"/>
              <w:right w:val="single" w:color="auto" w:sz="8" w:space="0"/>
            </w:tcBorders>
            <w:shd w:val="clear" w:color="auto" w:fill="auto"/>
            <w:vAlign w:val="center"/>
          </w:tcPr>
          <w:p w14:paraId="091E4A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559" w:type="dxa"/>
            <w:tcBorders>
              <w:top w:val="single" w:color="auto" w:sz="8" w:space="0"/>
              <w:left w:val="nil"/>
              <w:bottom w:val="single" w:color="auto" w:sz="8" w:space="0"/>
              <w:right w:val="single" w:color="auto" w:sz="8" w:space="0"/>
            </w:tcBorders>
            <w:shd w:val="clear" w:color="auto" w:fill="auto"/>
            <w:vAlign w:val="center"/>
          </w:tcPr>
          <w:p w14:paraId="6A1844D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474" w:type="dxa"/>
            <w:tcBorders>
              <w:top w:val="single" w:color="auto" w:sz="8" w:space="0"/>
              <w:left w:val="nil"/>
              <w:bottom w:val="single" w:color="auto" w:sz="8" w:space="0"/>
              <w:right w:val="single" w:color="auto" w:sz="8" w:space="0"/>
            </w:tcBorders>
            <w:shd w:val="clear" w:color="auto" w:fill="auto"/>
            <w:vAlign w:val="center"/>
          </w:tcPr>
          <w:p w14:paraId="40164253">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36BACE80">
        <w:tblPrEx>
          <w:tblCellMar>
            <w:top w:w="0" w:type="dxa"/>
            <w:left w:w="108" w:type="dxa"/>
            <w:bottom w:w="0" w:type="dxa"/>
            <w:right w:w="108" w:type="dxa"/>
          </w:tblCellMar>
        </w:tblPrEx>
        <w:trPr>
          <w:trHeight w:val="645" w:hRule="atLeast"/>
          <w:jc w:val="center"/>
        </w:trPr>
        <w:tc>
          <w:tcPr>
            <w:tcW w:w="3559" w:type="dxa"/>
            <w:tcBorders>
              <w:top w:val="nil"/>
              <w:left w:val="single" w:color="auto" w:sz="8" w:space="0"/>
              <w:bottom w:val="single" w:color="auto" w:sz="8" w:space="0"/>
              <w:right w:val="single" w:color="auto" w:sz="8" w:space="0"/>
            </w:tcBorders>
            <w:shd w:val="clear" w:color="auto" w:fill="auto"/>
            <w:vAlign w:val="center"/>
          </w:tcPr>
          <w:p w14:paraId="343544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XXXXXXXXXX（项目名称，如有细项，以附录形式列在最后）</w:t>
            </w:r>
          </w:p>
        </w:tc>
        <w:tc>
          <w:tcPr>
            <w:tcW w:w="1547" w:type="dxa"/>
            <w:tcBorders>
              <w:top w:val="nil"/>
              <w:left w:val="nil"/>
              <w:bottom w:val="single" w:color="auto" w:sz="8" w:space="0"/>
              <w:right w:val="single" w:color="auto" w:sz="8" w:space="0"/>
            </w:tcBorders>
            <w:shd w:val="clear" w:color="auto" w:fill="auto"/>
            <w:vAlign w:val="center"/>
          </w:tcPr>
          <w:p w14:paraId="7A8D39E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详见十一、项目内容说明</w:t>
            </w:r>
          </w:p>
        </w:tc>
        <w:tc>
          <w:tcPr>
            <w:tcW w:w="709" w:type="dxa"/>
            <w:tcBorders>
              <w:top w:val="nil"/>
              <w:left w:val="nil"/>
              <w:bottom w:val="single" w:color="auto" w:sz="8" w:space="0"/>
              <w:right w:val="single" w:color="auto" w:sz="8" w:space="0"/>
            </w:tcBorders>
            <w:shd w:val="clear" w:color="auto" w:fill="auto"/>
            <w:vAlign w:val="center"/>
          </w:tcPr>
          <w:p w14:paraId="16F3CFCE">
            <w:pPr>
              <w:widowControl/>
              <w:jc w:val="left"/>
              <w:rPr>
                <w:rFonts w:ascii="Times New Roman" w:hAnsi="Times New Roman" w:eastAsia="宋体" w:cs="Times New Roman"/>
                <w:color w:val="auto"/>
                <w:kern w:val="0"/>
                <w:sz w:val="24"/>
                <w:szCs w:val="24"/>
              </w:rPr>
            </w:pPr>
          </w:p>
        </w:tc>
        <w:tc>
          <w:tcPr>
            <w:tcW w:w="1559" w:type="dxa"/>
            <w:tcBorders>
              <w:top w:val="nil"/>
              <w:left w:val="nil"/>
              <w:bottom w:val="single" w:color="auto" w:sz="8" w:space="0"/>
              <w:right w:val="single" w:color="auto" w:sz="8" w:space="0"/>
            </w:tcBorders>
            <w:shd w:val="clear" w:color="auto" w:fill="auto"/>
            <w:vAlign w:val="center"/>
          </w:tcPr>
          <w:p w14:paraId="2277C6D0">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c>
          <w:tcPr>
            <w:tcW w:w="1474" w:type="dxa"/>
            <w:tcBorders>
              <w:top w:val="nil"/>
              <w:left w:val="nil"/>
              <w:bottom w:val="single" w:color="auto" w:sz="8" w:space="0"/>
              <w:right w:val="single" w:color="auto" w:sz="8" w:space="0"/>
            </w:tcBorders>
            <w:shd w:val="clear" w:color="auto" w:fill="auto"/>
            <w:vAlign w:val="center"/>
          </w:tcPr>
          <w:p w14:paraId="6812DD25">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r w14:paraId="4F819A32">
        <w:tblPrEx>
          <w:tblCellMar>
            <w:top w:w="0" w:type="dxa"/>
            <w:left w:w="108" w:type="dxa"/>
            <w:bottom w:w="0" w:type="dxa"/>
            <w:right w:w="108" w:type="dxa"/>
          </w:tblCellMar>
        </w:tblPrEx>
        <w:trPr>
          <w:trHeight w:val="330" w:hRule="atLeast"/>
          <w:jc w:val="center"/>
        </w:trPr>
        <w:tc>
          <w:tcPr>
            <w:tcW w:w="7374" w:type="dxa"/>
            <w:gridSpan w:val="4"/>
            <w:tcBorders>
              <w:top w:val="single" w:color="auto" w:sz="4" w:space="0"/>
              <w:left w:val="single" w:color="auto" w:sz="4" w:space="0"/>
              <w:bottom w:val="single" w:color="auto" w:sz="4" w:space="0"/>
              <w:right w:val="single" w:color="auto" w:sz="8" w:space="0"/>
            </w:tcBorders>
            <w:shd w:val="clear" w:color="auto" w:fill="auto"/>
            <w:noWrap/>
            <w:vAlign w:val="bottom"/>
          </w:tcPr>
          <w:p w14:paraId="3790DA38">
            <w:pPr>
              <w:widowControl/>
              <w:jc w:val="center"/>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金额总计：</w:t>
            </w:r>
            <w:r>
              <w:rPr>
                <w:rFonts w:ascii="宋体" w:hAnsi="宋体" w:eastAsia="宋体" w:cs="Times New Roman"/>
                <w:bCs/>
                <w:color w:val="auto"/>
                <w:spacing w:val="20"/>
                <w:sz w:val="24"/>
                <w:szCs w:val="24"/>
              </w:rPr>
              <w:t xml:space="preserve"> </w:t>
            </w:r>
            <w:r>
              <w:rPr>
                <w:rFonts w:hint="eastAsia" w:ascii="宋体" w:hAnsi="宋体" w:eastAsia="宋体" w:cs="Times New Roman"/>
                <w:bCs/>
                <w:color w:val="auto"/>
                <w:spacing w:val="20"/>
                <w:sz w:val="24"/>
                <w:szCs w:val="24"/>
              </w:rPr>
              <w:t xml:space="preserve"> </w:t>
            </w:r>
            <w:r>
              <w:rPr>
                <w:rFonts w:ascii="宋体" w:hAnsi="宋体" w:eastAsia="宋体" w:cs="Times New Roman"/>
                <w:bCs/>
                <w:color w:val="auto"/>
                <w:spacing w:val="20"/>
                <w:sz w:val="24"/>
                <w:szCs w:val="24"/>
              </w:rPr>
              <w:t>人民币</w:t>
            </w:r>
            <w:r>
              <w:rPr>
                <w:rFonts w:hint="eastAsia" w:ascii="宋体" w:hAnsi="宋体" w:eastAsia="宋体" w:cs="Times New Roman"/>
                <w:bCs/>
                <w:color w:val="auto"/>
                <w:spacing w:val="20"/>
                <w:sz w:val="24"/>
                <w:szCs w:val="24"/>
                <w:u w:val="single"/>
              </w:rPr>
              <w:t xml:space="preserve">         </w:t>
            </w:r>
            <w:r>
              <w:rPr>
                <w:rFonts w:hint="eastAsia" w:ascii="宋体" w:hAnsi="宋体" w:eastAsia="宋体" w:cs="Times New Roman"/>
                <w:bCs/>
                <w:color w:val="auto"/>
                <w:spacing w:val="20"/>
                <w:sz w:val="24"/>
                <w:szCs w:val="24"/>
              </w:rPr>
              <w:t>元整</w:t>
            </w:r>
          </w:p>
        </w:tc>
        <w:tc>
          <w:tcPr>
            <w:tcW w:w="1474" w:type="dxa"/>
            <w:tcBorders>
              <w:top w:val="nil"/>
              <w:left w:val="nil"/>
              <w:bottom w:val="single" w:color="auto" w:sz="8" w:space="0"/>
              <w:right w:val="single" w:color="auto" w:sz="8" w:space="0"/>
            </w:tcBorders>
            <w:shd w:val="clear" w:color="auto" w:fill="auto"/>
            <w:vAlign w:val="center"/>
          </w:tcPr>
          <w:p w14:paraId="4B106864">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bl>
    <w:p w14:paraId="3A055026">
      <w:pPr>
        <w:adjustRightInd w:val="0"/>
        <w:snapToGrid w:val="0"/>
        <w:spacing w:before="120" w:after="120"/>
        <w:ind w:firstLine="511" w:firstLineChars="213"/>
        <w:jc w:val="right"/>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 xml:space="preserve">金额单位：元 </w:t>
      </w:r>
    </w:p>
    <w:p w14:paraId="78E08F6D">
      <w:pPr>
        <w:snapToGrid w:val="0"/>
        <w:spacing w:before="120" w:after="120"/>
        <w:ind w:left="-178" w:leftChars="-85" w:firstLine="511" w:firstLineChars="213"/>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注：</w:t>
      </w:r>
      <w:r>
        <w:rPr>
          <w:rFonts w:hint="eastAsia" w:ascii="微软雅黑" w:hAnsi="微软雅黑" w:eastAsia="微软雅黑" w:cs="Times New Roman"/>
          <w:color w:val="auto"/>
          <w:sz w:val="24"/>
          <w:szCs w:val="24"/>
          <w:lang w:val="zh-CN"/>
        </w:rPr>
        <w:t>1</w:t>
      </w:r>
      <w:r>
        <w:rPr>
          <w:rFonts w:ascii="微软雅黑" w:hAnsi="微软雅黑" w:eastAsia="微软雅黑" w:cs="Times New Roman"/>
          <w:color w:val="auto"/>
          <w:sz w:val="24"/>
          <w:szCs w:val="24"/>
          <w:lang w:val="zh-CN"/>
        </w:rPr>
        <w:t>、</w:t>
      </w:r>
      <w:r>
        <w:rPr>
          <w:rFonts w:ascii="微软雅黑" w:hAnsi="微软雅黑" w:eastAsia="微软雅黑" w:cs="Times New Roman"/>
          <w:color w:val="auto"/>
          <w:sz w:val="24"/>
          <w:szCs w:val="20"/>
          <w:lang w:val="zh-CN"/>
        </w:rPr>
        <w:t>以上合同总价</w:t>
      </w:r>
      <w:r>
        <w:rPr>
          <w:rFonts w:hint="eastAsia" w:ascii="微软雅黑" w:hAnsi="微软雅黑" w:eastAsia="微软雅黑" w:cs="Times New Roman"/>
          <w:color w:val="auto"/>
          <w:sz w:val="24"/>
          <w:szCs w:val="20"/>
          <w:lang w:val="zh-CN"/>
        </w:rPr>
        <w:t>，</w:t>
      </w:r>
      <w:r>
        <w:rPr>
          <w:rFonts w:ascii="微软雅黑" w:hAnsi="微软雅黑" w:eastAsia="微软雅黑" w:cs="Times New Roman"/>
          <w:color w:val="auto"/>
          <w:sz w:val="24"/>
          <w:szCs w:val="20"/>
          <w:lang w:val="zh-CN"/>
        </w:rPr>
        <w:t>包含产品到达用户</w:t>
      </w:r>
      <w:r>
        <w:rPr>
          <w:rFonts w:hint="eastAsia" w:ascii="微软雅黑" w:hAnsi="微软雅黑" w:eastAsia="微软雅黑" w:cs="Times New Roman"/>
          <w:color w:val="auto"/>
          <w:sz w:val="24"/>
          <w:szCs w:val="20"/>
          <w:lang w:val="zh-CN"/>
        </w:rPr>
        <w:t>、达到用户要求的使用性能、</w:t>
      </w:r>
      <w:r>
        <w:rPr>
          <w:rFonts w:ascii="微软雅黑" w:hAnsi="微软雅黑" w:eastAsia="微软雅黑" w:cs="Times New Roman"/>
          <w:color w:val="auto"/>
          <w:sz w:val="24"/>
          <w:szCs w:val="20"/>
          <w:lang w:val="zh-CN"/>
        </w:rPr>
        <w:t>并能</w:t>
      </w:r>
      <w:r>
        <w:rPr>
          <w:rFonts w:hint="eastAsia" w:ascii="微软雅黑" w:hAnsi="微软雅黑" w:eastAsia="微软雅黑" w:cs="Times New Roman"/>
          <w:color w:val="auto"/>
          <w:sz w:val="24"/>
          <w:szCs w:val="20"/>
          <w:lang w:val="zh-CN"/>
        </w:rPr>
        <w:t>在用户要求的期限内</w:t>
      </w:r>
      <w:r>
        <w:rPr>
          <w:rFonts w:ascii="微软雅黑" w:hAnsi="微软雅黑" w:eastAsia="微软雅黑" w:cs="Times New Roman"/>
          <w:color w:val="auto"/>
          <w:sz w:val="24"/>
          <w:szCs w:val="20"/>
          <w:lang w:val="zh-CN"/>
        </w:rPr>
        <w:t>正常使用所需的一切费用。</w:t>
      </w:r>
    </w:p>
    <w:p w14:paraId="59EB4FB1">
      <w:pPr>
        <w:snapToGrid w:val="0"/>
        <w:spacing w:before="120" w:after="120"/>
        <w:ind w:left="-178" w:leftChars="-85" w:firstLine="511" w:firstLineChars="213"/>
        <w:rPr>
          <w:rFonts w:hint="eastAsia" w:ascii="微软雅黑" w:hAnsi="微软雅黑" w:eastAsia="微软雅黑" w:cs="Times New Roman"/>
          <w:color w:val="auto"/>
          <w:sz w:val="24"/>
          <w:szCs w:val="24"/>
          <w:u w:val="single"/>
          <w:lang w:val="zh-CN"/>
        </w:rPr>
      </w:pPr>
      <w:r>
        <w:rPr>
          <w:rFonts w:hint="eastAsia" w:ascii="微软雅黑" w:hAnsi="微软雅黑" w:eastAsia="微软雅黑" w:cs="Times New Roman"/>
          <w:color w:val="auto"/>
          <w:sz w:val="24"/>
          <w:szCs w:val="24"/>
          <w:lang w:val="zh-CN"/>
        </w:rPr>
        <w:tab/>
      </w:r>
      <w:r>
        <w:rPr>
          <w:rFonts w:hint="eastAsia" w:ascii="微软雅黑" w:hAnsi="微软雅黑" w:eastAsia="微软雅黑" w:cs="Times New Roman"/>
          <w:color w:val="auto"/>
          <w:sz w:val="24"/>
          <w:szCs w:val="24"/>
          <w:lang w:val="zh-CN"/>
        </w:rPr>
        <w:t xml:space="preserve">  2、招标文件、投标文件与本合同具有同等法律效力。</w:t>
      </w:r>
    </w:p>
    <w:p w14:paraId="335D2653">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二、技术资料</w:t>
      </w:r>
    </w:p>
    <w:p w14:paraId="1793FCA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1.乙方应按招标文件规定的时间</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向甲方提供</w:t>
      </w:r>
      <w:r>
        <w:rPr>
          <w:rFonts w:hint="eastAsia" w:ascii="微软雅黑" w:hAnsi="微软雅黑" w:eastAsia="微软雅黑" w:cs="Times New Roman"/>
          <w:snapToGrid w:val="0"/>
          <w:color w:val="auto"/>
          <w:kern w:val="0"/>
          <w:sz w:val="24"/>
          <w:szCs w:val="24"/>
          <w:lang w:val="zh-CN"/>
        </w:rPr>
        <w:t>全部合法有效</w:t>
      </w:r>
      <w:r>
        <w:rPr>
          <w:rFonts w:ascii="微软雅黑" w:hAnsi="微软雅黑" w:eastAsia="微软雅黑" w:cs="Times New Roman"/>
          <w:snapToGrid w:val="0"/>
          <w:color w:val="auto"/>
          <w:kern w:val="0"/>
          <w:sz w:val="24"/>
          <w:szCs w:val="24"/>
          <w:lang w:val="zh-CN"/>
        </w:rPr>
        <w:t>技术资料。</w:t>
      </w:r>
    </w:p>
    <w:p w14:paraId="23500C2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EEEF36">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三、知识产权</w:t>
      </w:r>
    </w:p>
    <w:p w14:paraId="795BC98C">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乙方应保证所提供的货物或其任何一部分</w:t>
      </w:r>
      <w:r>
        <w:rPr>
          <w:rFonts w:hint="eastAsia" w:ascii="微软雅黑" w:hAnsi="微软雅黑" w:eastAsia="微软雅黑" w:cs="Times New Roman"/>
          <w:snapToGrid w:val="0"/>
          <w:color w:val="auto"/>
          <w:kern w:val="0"/>
          <w:sz w:val="24"/>
          <w:szCs w:val="24"/>
          <w:lang w:val="zh-CN"/>
        </w:rPr>
        <w:t>包括软件等，</w:t>
      </w:r>
      <w:r>
        <w:rPr>
          <w:rFonts w:ascii="微软雅黑" w:hAnsi="微软雅黑" w:eastAsia="微软雅黑" w:cs="Times New Roman"/>
          <w:snapToGrid w:val="0"/>
          <w:color w:val="auto"/>
          <w:kern w:val="0"/>
          <w:sz w:val="24"/>
          <w:szCs w:val="24"/>
          <w:lang w:val="zh-CN"/>
        </w:rPr>
        <w:t>均不会侵犯任何第三方的知识产权</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任何第三方对本合同标的主张知识产权的，均由乙方承担全部责任。甲方先行承担责任的，有权向乙方追偿。</w:t>
      </w:r>
    </w:p>
    <w:p w14:paraId="51500562">
      <w:pPr>
        <w:adjustRightInd w:val="0"/>
        <w:snapToGrid w:val="0"/>
        <w:spacing w:before="120" w:after="120" w:line="360" w:lineRule="auto"/>
        <w:ind w:firstLine="475" w:firstLineChars="198"/>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b/>
          <w:snapToGrid w:val="0"/>
          <w:color w:val="auto"/>
          <w:kern w:val="0"/>
          <w:sz w:val="24"/>
          <w:szCs w:val="24"/>
          <w:lang w:val="zh-CN"/>
        </w:rPr>
        <w:t>四、产权担保</w:t>
      </w:r>
    </w:p>
    <w:p w14:paraId="05EB4E7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乙方保证所交付的</w:t>
      </w:r>
      <w:bookmarkStart w:id="14" w:name="_Hlk169698889"/>
      <w:r>
        <w:rPr>
          <w:rFonts w:ascii="微软雅黑" w:hAnsi="微软雅黑" w:eastAsia="微软雅黑" w:cs="Times New Roman"/>
          <w:snapToGrid w:val="0"/>
          <w:color w:val="auto"/>
          <w:kern w:val="0"/>
          <w:sz w:val="24"/>
          <w:szCs w:val="24"/>
          <w:lang w:val="zh-CN"/>
        </w:rPr>
        <w:t>货物</w:t>
      </w:r>
      <w:bookmarkEnd w:id="14"/>
      <w:r>
        <w:rPr>
          <w:rFonts w:ascii="微软雅黑" w:hAnsi="微软雅黑" w:eastAsia="微软雅黑" w:cs="Times New Roman"/>
          <w:snapToGrid w:val="0"/>
          <w:color w:val="auto"/>
          <w:kern w:val="0"/>
          <w:sz w:val="24"/>
          <w:szCs w:val="24"/>
          <w:lang w:val="zh-CN"/>
        </w:rPr>
        <w:t>所有权</w:t>
      </w:r>
      <w:r>
        <w:rPr>
          <w:rFonts w:hint="eastAsia" w:ascii="微软雅黑" w:hAnsi="微软雅黑" w:eastAsia="微软雅黑" w:cs="Times New Roman"/>
          <w:snapToGrid w:val="0"/>
          <w:color w:val="auto"/>
          <w:kern w:val="0"/>
          <w:sz w:val="24"/>
          <w:szCs w:val="24"/>
          <w:lang w:val="zh-CN"/>
        </w:rPr>
        <w:t>，在交付之时，</w:t>
      </w:r>
      <w:r>
        <w:rPr>
          <w:rFonts w:ascii="微软雅黑" w:hAnsi="微软雅黑" w:eastAsia="微软雅黑" w:cs="Times New Roman"/>
          <w:snapToGrid w:val="0"/>
          <w:color w:val="auto"/>
          <w:kern w:val="0"/>
          <w:sz w:val="24"/>
          <w:szCs w:val="24"/>
          <w:lang w:val="zh-CN"/>
        </w:rPr>
        <w:t>完全属于乙方且无任何抵押、查封等产权瑕疵。</w:t>
      </w:r>
    </w:p>
    <w:p w14:paraId="2F2D876B">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五、转包或分包</w:t>
      </w:r>
    </w:p>
    <w:p w14:paraId="00B0CE18">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本合同范围的货物，应由乙方直接供应，不得转让他人供应，否则，甲方有权解除合同并追究乙方的违约责任。</w:t>
      </w:r>
    </w:p>
    <w:p w14:paraId="19DF275E">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六、质保</w:t>
      </w:r>
      <w:r>
        <w:rPr>
          <w:rFonts w:hint="eastAsia" w:ascii="微软雅黑" w:hAnsi="微软雅黑" w:eastAsia="微软雅黑" w:cs="Times New Roman"/>
          <w:b/>
          <w:snapToGrid w:val="0"/>
          <w:color w:val="auto"/>
          <w:kern w:val="0"/>
          <w:sz w:val="24"/>
          <w:szCs w:val="24"/>
          <w:lang w:val="zh-CN"/>
        </w:rPr>
        <w:t>或维保周期</w:t>
      </w:r>
    </w:p>
    <w:p w14:paraId="20F600EA">
      <w:pPr>
        <w:adjustRightInd w:val="0"/>
        <w:snapToGrid w:val="0"/>
        <w:spacing w:before="120" w:after="120" w:line="360" w:lineRule="auto"/>
        <w:ind w:firstLine="480" w:firstLineChars="200"/>
        <w:jc w:val="left"/>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项目终验合格后</w:t>
      </w:r>
      <w:r>
        <w:rPr>
          <w:rFonts w:ascii="微软雅黑" w:hAnsi="微软雅黑" w:eastAsia="微软雅黑" w:cs="Times New Roman"/>
          <w:snapToGrid w:val="0"/>
          <w:color w:val="auto"/>
          <w:kern w:val="0"/>
          <w:sz w:val="24"/>
          <w:szCs w:val="24"/>
          <w:lang w:val="zh-CN"/>
        </w:rPr>
        <w:t>质保</w:t>
      </w:r>
      <w:r>
        <w:rPr>
          <w:rFonts w:hint="eastAsia" w:ascii="微软雅黑" w:hAnsi="微软雅黑" w:eastAsia="微软雅黑" w:cs="Times New Roman"/>
          <w:snapToGrid w:val="0"/>
          <w:color w:val="auto"/>
          <w:kern w:val="0"/>
          <w:sz w:val="24"/>
          <w:szCs w:val="24"/>
          <w:u w:val="single"/>
          <w:lang w:val="zh-CN"/>
        </w:rPr>
        <w:t xml:space="preserve"> </w:t>
      </w:r>
      <w:r>
        <w:rPr>
          <w:rFonts w:hint="eastAsia" w:ascii="微软雅黑" w:hAnsi="微软雅黑" w:eastAsia="微软雅黑" w:cs="Times New Roman"/>
          <w:b/>
          <w:snapToGrid w:val="0"/>
          <w:color w:val="auto"/>
          <w:kern w:val="0"/>
          <w:sz w:val="24"/>
          <w:szCs w:val="24"/>
          <w:u w:val="single"/>
          <w:lang w:val="en-US" w:eastAsia="zh-CN"/>
        </w:rPr>
        <w:t xml:space="preserve"> </w:t>
      </w:r>
      <w:r>
        <w:rPr>
          <w:rFonts w:hint="eastAsia" w:ascii="微软雅黑" w:hAnsi="微软雅黑" w:eastAsia="微软雅黑" w:cs="Times New Roman"/>
          <w:b/>
          <w:snapToGrid w:val="0"/>
          <w:color w:val="auto"/>
          <w:kern w:val="0"/>
          <w:sz w:val="24"/>
          <w:szCs w:val="24"/>
          <w:u w:val="single"/>
          <w:lang w:val="zh-CN"/>
        </w:rPr>
        <w:t xml:space="preserve"> </w:t>
      </w:r>
      <w:r>
        <w:rPr>
          <w:rFonts w:ascii="微软雅黑" w:hAnsi="微软雅黑" w:eastAsia="微软雅黑" w:cs="Times New Roman"/>
          <w:snapToGrid w:val="0"/>
          <w:color w:val="auto"/>
          <w:kern w:val="0"/>
          <w:sz w:val="24"/>
          <w:szCs w:val="24"/>
          <w:lang w:val="zh-CN"/>
        </w:rPr>
        <w:t>年。</w:t>
      </w:r>
    </w:p>
    <w:p w14:paraId="188DE617">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七、交货期、交货方式及地点</w:t>
      </w:r>
    </w:p>
    <w:p w14:paraId="16C0D0B8">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1. 交货期：</w:t>
      </w:r>
    </w:p>
    <w:p w14:paraId="7E13E231">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本合同签订之日起</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内，乙方将产品</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服务交付到甲方指定地点。</w:t>
      </w:r>
    </w:p>
    <w:p w14:paraId="5BD974F6">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2. 交货方式</w:t>
      </w:r>
      <w:r>
        <w:rPr>
          <w:rFonts w:hint="eastAsia" w:ascii="微软雅黑" w:hAnsi="微软雅黑" w:eastAsia="微软雅黑" w:cs="Times New Roman"/>
          <w:bCs/>
          <w:snapToGrid w:val="0"/>
          <w:color w:val="auto"/>
          <w:kern w:val="0"/>
          <w:sz w:val="24"/>
          <w:szCs w:val="24"/>
          <w:lang w:val="zh-CN"/>
        </w:rPr>
        <w:t>及</w:t>
      </w:r>
      <w:r>
        <w:rPr>
          <w:rFonts w:ascii="微软雅黑" w:hAnsi="微软雅黑" w:eastAsia="微软雅黑" w:cs="Times New Roman"/>
          <w:bCs/>
          <w:snapToGrid w:val="0"/>
          <w:color w:val="auto"/>
          <w:kern w:val="0"/>
          <w:sz w:val="24"/>
          <w:szCs w:val="24"/>
          <w:lang w:val="zh-CN"/>
        </w:rPr>
        <w:t>地点：</w:t>
      </w:r>
    </w:p>
    <w:p w14:paraId="4068ED0A">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乙方将产品交付到甲方指定地点，并在货物到货后</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内完成安装调试，确保可用。</w:t>
      </w:r>
    </w:p>
    <w:p w14:paraId="145A732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八、</w:t>
      </w:r>
      <w:r>
        <w:rPr>
          <w:rFonts w:hint="eastAsia" w:ascii="微软雅黑" w:hAnsi="微软雅黑" w:eastAsia="微软雅黑" w:cs="Times New Roman"/>
          <w:b/>
          <w:snapToGrid w:val="0"/>
          <w:color w:val="auto"/>
          <w:kern w:val="0"/>
          <w:sz w:val="24"/>
          <w:szCs w:val="24"/>
          <w:lang w:val="en-US" w:eastAsia="zh-CN"/>
        </w:rPr>
        <w:t>项目</w:t>
      </w:r>
      <w:r>
        <w:rPr>
          <w:rFonts w:ascii="微软雅黑" w:hAnsi="微软雅黑" w:eastAsia="微软雅黑" w:cs="Times New Roman"/>
          <w:b/>
          <w:snapToGrid w:val="0"/>
          <w:color w:val="auto"/>
          <w:kern w:val="0"/>
          <w:sz w:val="24"/>
          <w:szCs w:val="24"/>
          <w:lang w:val="zh-CN"/>
        </w:rPr>
        <w:t>款支付</w:t>
      </w:r>
    </w:p>
    <w:p w14:paraId="6D003C76">
      <w:pPr>
        <w:adjustRightInd w:val="0"/>
        <w:snapToGrid w:val="0"/>
        <w:spacing w:before="120" w:after="120" w:line="360" w:lineRule="auto"/>
        <w:ind w:firstLine="511" w:firstLineChars="213"/>
        <w:rPr>
          <w:rFonts w:hint="eastAsia" w:ascii="微软雅黑" w:hAnsi="微软雅黑" w:eastAsia="微软雅黑" w:cs="Times New Roman"/>
          <w:color w:val="auto"/>
          <w:sz w:val="24"/>
          <w:szCs w:val="21"/>
          <w:lang w:val="zh-CN"/>
        </w:rPr>
      </w:pPr>
      <w:r>
        <w:rPr>
          <w:rFonts w:ascii="微软雅黑" w:hAnsi="微软雅黑" w:eastAsia="微软雅黑" w:cs="Times New Roman"/>
          <w:bCs/>
          <w:snapToGrid w:val="0"/>
          <w:color w:val="auto"/>
          <w:kern w:val="0"/>
          <w:sz w:val="24"/>
          <w:szCs w:val="24"/>
          <w:lang w:val="zh-CN"/>
        </w:rPr>
        <w:t xml:space="preserve"> 付款方式：</w:t>
      </w:r>
      <w:r>
        <w:rPr>
          <w:rFonts w:hint="eastAsia" w:ascii="微软雅黑" w:hAnsi="微软雅黑" w:eastAsia="微软雅黑" w:cs="Times New Roman"/>
          <w:color w:val="auto"/>
          <w:sz w:val="24"/>
          <w:szCs w:val="21"/>
          <w:lang w:val="zh-CN"/>
        </w:rPr>
        <w:t>甲方采用银行转帐或电汇方式将款项汇入乙方指定账户，付款时间如下：</w:t>
      </w:r>
    </w:p>
    <w:p w14:paraId="250B538C">
      <w:pPr>
        <w:spacing w:line="360" w:lineRule="auto"/>
        <w:ind w:firstLine="480" w:firstLineChars="200"/>
        <w:rPr>
          <w:rFonts w:ascii="宋体" w:hAnsi="宋体"/>
          <w:bCs/>
          <w:snapToGrid w:val="0"/>
          <w:color w:val="auto"/>
          <w:kern w:val="0"/>
          <w:sz w:val="24"/>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按招标文件付款方式</w:t>
      </w:r>
      <w:r>
        <w:rPr>
          <w:rFonts w:hint="eastAsia" w:ascii="宋体" w:hAnsi="宋体"/>
          <w:bCs/>
          <w:snapToGrid w:val="0"/>
          <w:color w:val="auto"/>
          <w:kern w:val="0"/>
          <w:sz w:val="24"/>
          <w:highlight w:val="none"/>
          <w:lang w:val="zh-CN"/>
        </w:rPr>
        <w:t>）</w:t>
      </w:r>
    </w:p>
    <w:p w14:paraId="108BF8F7">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乙方指定账户：</w:t>
      </w:r>
    </w:p>
    <w:p w14:paraId="64DAE7DB">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账户名称：</w:t>
      </w:r>
      <w:r>
        <w:rPr>
          <w:rFonts w:ascii="微软雅黑" w:hAnsi="微软雅黑" w:eastAsia="微软雅黑" w:cs="Times New Roman"/>
          <w:color w:val="auto"/>
          <w:sz w:val="24"/>
          <w:szCs w:val="21"/>
          <w:lang w:val="zh-CN"/>
        </w:rPr>
        <w:t xml:space="preserve">  </w:t>
      </w:r>
      <w:r>
        <w:rPr>
          <w:rFonts w:hint="eastAsia" w:ascii="微软雅黑" w:hAnsi="微软雅黑" w:eastAsia="微软雅黑" w:cs="Times New Roman"/>
          <w:color w:val="auto"/>
          <w:sz w:val="24"/>
          <w:szCs w:val="21"/>
          <w:u w:val="single"/>
          <w:lang w:val="zh-CN"/>
        </w:rPr>
        <w:t xml:space="preserve">                          </w:t>
      </w:r>
      <w:r>
        <w:rPr>
          <w:rFonts w:ascii="微软雅黑" w:hAnsi="微软雅黑" w:eastAsia="微软雅黑" w:cs="Times New Roman"/>
          <w:color w:val="auto"/>
          <w:sz w:val="24"/>
          <w:szCs w:val="21"/>
          <w:lang w:val="zh-CN"/>
        </w:rPr>
        <w:t xml:space="preserve">  </w:t>
      </w:r>
    </w:p>
    <w:p w14:paraId="3CFDAB61">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账户开户银行：</w:t>
      </w:r>
      <w:r>
        <w:rPr>
          <w:rFonts w:hint="eastAsia" w:ascii="微软雅黑" w:hAnsi="微软雅黑" w:eastAsia="微软雅黑" w:cs="Times New Roman"/>
          <w:color w:val="auto"/>
          <w:sz w:val="24"/>
          <w:szCs w:val="21"/>
          <w:u w:val="single"/>
          <w:lang w:val="zh-CN"/>
        </w:rPr>
        <w:t xml:space="preserve">                           </w:t>
      </w:r>
    </w:p>
    <w:p w14:paraId="6AA47483">
      <w:pPr>
        <w:spacing w:line="360" w:lineRule="auto"/>
        <w:ind w:left="885"/>
        <w:rPr>
          <w:rFonts w:hint="eastAsia" w:ascii="微软雅黑" w:hAnsi="微软雅黑" w:eastAsia="微软雅黑" w:cs="Times New Roman"/>
          <w:color w:val="auto"/>
          <w:sz w:val="24"/>
          <w:szCs w:val="21"/>
          <w:u w:val="single"/>
          <w:lang w:val="zh-CN"/>
        </w:rPr>
      </w:pPr>
      <w:r>
        <w:rPr>
          <w:rFonts w:hint="eastAsia" w:ascii="微软雅黑" w:hAnsi="微软雅黑" w:eastAsia="微软雅黑" w:cs="Times New Roman"/>
          <w:color w:val="auto"/>
          <w:sz w:val="24"/>
          <w:szCs w:val="21"/>
          <w:lang w:val="zh-CN"/>
        </w:rPr>
        <w:t>账户银行账号：</w:t>
      </w:r>
      <w:r>
        <w:rPr>
          <w:rFonts w:hint="eastAsia" w:ascii="微软雅黑" w:hAnsi="微软雅黑" w:eastAsia="微软雅黑" w:cs="Times New Roman"/>
          <w:color w:val="auto"/>
          <w:sz w:val="24"/>
          <w:szCs w:val="21"/>
          <w:u w:val="single"/>
          <w:lang w:val="zh-CN"/>
        </w:rPr>
        <w:t xml:space="preserve">                           </w:t>
      </w:r>
    </w:p>
    <w:p w14:paraId="4216C258">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九</w:t>
      </w:r>
      <w:r>
        <w:rPr>
          <w:rFonts w:ascii="微软雅黑" w:hAnsi="微软雅黑" w:eastAsia="微软雅黑" w:cs="Times New Roman"/>
          <w:b/>
          <w:snapToGrid w:val="0"/>
          <w:color w:val="auto"/>
          <w:kern w:val="0"/>
          <w:sz w:val="24"/>
          <w:szCs w:val="24"/>
        </w:rPr>
        <w:t>、税费</w:t>
      </w:r>
    </w:p>
    <w:p w14:paraId="7E2A945D">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本合同执行中相关的一切税费均由乙方负担。</w:t>
      </w:r>
    </w:p>
    <w:p w14:paraId="428AB14A">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十、各方职责</w:t>
      </w:r>
    </w:p>
    <w:p w14:paraId="5DC04750">
      <w:pPr>
        <w:autoSpaceDE w:val="0"/>
        <w:autoSpaceDN w:val="0"/>
        <w:adjustRightInd w:val="0"/>
        <w:spacing w:line="360" w:lineRule="auto"/>
        <w:ind w:firstLine="360" w:firstLineChars="15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1、甲方职责：</w:t>
      </w:r>
    </w:p>
    <w:p w14:paraId="347CA354">
      <w:pPr>
        <w:numPr>
          <w:ilvl w:val="0"/>
          <w:numId w:val="11"/>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甲方应向乙方提供采购内容所需要的技术资料和数据，参与整个项目的全过程，协助配合乙方做好需求调研、方案设计及现场等工作，对各项业务的需求报告及时确认。</w:t>
      </w:r>
    </w:p>
    <w:p w14:paraId="2C928A22">
      <w:pPr>
        <w:numPr>
          <w:ilvl w:val="0"/>
          <w:numId w:val="11"/>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确保有专人负责软件的使用和管理，确保设施运行环境（包括计算机、打印机及相关硬件设备）的安全，为软件正常运行提供保障。</w:t>
      </w:r>
    </w:p>
    <w:p w14:paraId="0CCA122C">
      <w:pPr>
        <w:numPr>
          <w:ilvl w:val="0"/>
          <w:numId w:val="11"/>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在乙方进行维护与技术支持时，根据乙方要求，指定配合工作的员工，提供必要的设备,配合检查软件系统运行是否正常。</w:t>
      </w:r>
    </w:p>
    <w:p w14:paraId="3F27D0F7">
      <w:pPr>
        <w:autoSpaceDE w:val="0"/>
        <w:autoSpaceDN w:val="0"/>
        <w:adjustRightInd w:val="0"/>
        <w:spacing w:line="360" w:lineRule="auto"/>
        <w:ind w:firstLine="480" w:firstLineChars="20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2、乙方职责：</w:t>
      </w:r>
    </w:p>
    <w:p w14:paraId="7588694C">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乙方承诺按照本合同约定的服务内容和服务进度向甲方提供合格的服务，并做好项目管理，指定项目负责人。</w:t>
      </w:r>
    </w:p>
    <w:p w14:paraId="0D3C7316">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乙方保证提供的技术资料具有科学性，正确性，简明性，可操作性和规范性。乙方须进行必要的技术指导，并保证甲方能正确、安全、有效的使用服务成果。</w:t>
      </w:r>
      <w:r>
        <w:rPr>
          <w:rFonts w:ascii="微软雅黑" w:hAnsi="微软雅黑" w:eastAsia="微软雅黑" w:cs="Times New Roman"/>
          <w:snapToGrid w:val="0"/>
          <w:color w:val="auto"/>
          <w:kern w:val="0"/>
          <w:sz w:val="24"/>
          <w:szCs w:val="24"/>
        </w:rPr>
        <w:t xml:space="preserve"> </w:t>
      </w:r>
    </w:p>
    <w:p w14:paraId="6317CAD0">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乙方保证派驻甲方的人员遵守甲方的有关制度、工作纪律和规定，乙方服务人员应在甲方规定的工作场地范围内工作。</w:t>
      </w:r>
    </w:p>
    <w:p w14:paraId="22CC73C4">
      <w:pPr>
        <w:numPr>
          <w:ilvl w:val="0"/>
          <w:numId w:val="12"/>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乙方在履行合同过程中，对甲方的信息数据、软件源代码、有关文档保密，未经审批不得向第三方泄露，若有违反，经查证后根据情节轻重扣减合同款。</w:t>
      </w:r>
    </w:p>
    <w:p w14:paraId="1881F6C1">
      <w:pPr>
        <w:numPr>
          <w:ilvl w:val="0"/>
          <w:numId w:val="13"/>
        </w:numPr>
        <w:adjustRightInd w:val="0"/>
        <w:snapToGrid w:val="0"/>
        <w:spacing w:before="120" w:after="120"/>
        <w:ind w:left="420" w:leftChars="0" w:firstLine="0" w:firstLineChars="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color w:val="auto"/>
          <w:sz w:val="24"/>
          <w:szCs w:val="24"/>
          <w:lang w:val="zh-CN"/>
        </w:rPr>
        <w:t>项目内容说明</w:t>
      </w:r>
    </w:p>
    <w:p w14:paraId="0D7DA7FE">
      <w:pPr>
        <w:spacing w:line="360" w:lineRule="auto"/>
        <w:ind w:firstLine="480" w:firstLineChars="200"/>
        <w:rPr>
          <w:rFonts w:hint="eastAsia"/>
          <w:color w:val="auto"/>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投标文件项目内容</w:t>
      </w:r>
      <w:r>
        <w:rPr>
          <w:rFonts w:hint="eastAsia" w:ascii="宋体" w:hAnsi="宋体"/>
          <w:bCs/>
          <w:snapToGrid w:val="0"/>
          <w:color w:val="auto"/>
          <w:kern w:val="0"/>
          <w:sz w:val="24"/>
          <w:highlight w:val="none"/>
          <w:lang w:val="zh-CN"/>
        </w:rPr>
        <w:t>）</w:t>
      </w:r>
    </w:p>
    <w:p w14:paraId="63086A11">
      <w:pPr>
        <w:spacing w:line="360" w:lineRule="auto"/>
        <w:rPr>
          <w:rFonts w:hint="eastAsia" w:ascii="宋体" w:hAnsi="宋体" w:eastAsia="宋体" w:cs="Times New Roman"/>
          <w:b/>
          <w:color w:val="auto"/>
          <w:sz w:val="24"/>
          <w:szCs w:val="24"/>
        </w:rPr>
      </w:pPr>
    </w:p>
    <w:p w14:paraId="54D9FAAC">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bookmarkStart w:id="15" w:name="_Toc142970449"/>
      <w:bookmarkStart w:id="16" w:name="_Toc144721928"/>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二</w:t>
      </w:r>
      <w:r>
        <w:rPr>
          <w:rFonts w:ascii="微软雅黑" w:hAnsi="微软雅黑" w:eastAsia="微软雅黑" w:cs="Times New Roman"/>
          <w:b/>
          <w:snapToGrid w:val="0"/>
          <w:color w:val="auto"/>
          <w:kern w:val="0"/>
          <w:sz w:val="24"/>
          <w:szCs w:val="24"/>
          <w:lang w:val="zh-CN"/>
        </w:rPr>
        <w:t>、</w:t>
      </w:r>
      <w:r>
        <w:rPr>
          <w:rFonts w:hint="eastAsia" w:ascii="微软雅黑" w:hAnsi="微软雅黑" w:eastAsia="微软雅黑" w:cs="Times New Roman"/>
          <w:b/>
          <w:snapToGrid w:val="0"/>
          <w:color w:val="auto"/>
          <w:kern w:val="0"/>
          <w:sz w:val="24"/>
          <w:szCs w:val="24"/>
          <w:lang w:val="zh-CN"/>
        </w:rPr>
        <w:t>项目</w:t>
      </w:r>
      <w:r>
        <w:rPr>
          <w:rFonts w:hint="eastAsia" w:ascii="微软雅黑" w:hAnsi="微软雅黑" w:eastAsia="微软雅黑" w:cs="Times New Roman"/>
          <w:b/>
          <w:snapToGrid w:val="0"/>
          <w:color w:val="auto"/>
          <w:kern w:val="0"/>
          <w:sz w:val="24"/>
          <w:szCs w:val="24"/>
          <w:lang w:val="en-US" w:eastAsia="zh-CN"/>
        </w:rPr>
        <w:t>实施和</w:t>
      </w:r>
      <w:r>
        <w:rPr>
          <w:rFonts w:ascii="微软雅黑" w:hAnsi="微软雅黑" w:eastAsia="微软雅黑" w:cs="Times New Roman"/>
          <w:b/>
          <w:snapToGrid w:val="0"/>
          <w:color w:val="auto"/>
          <w:kern w:val="0"/>
          <w:sz w:val="24"/>
          <w:szCs w:val="24"/>
          <w:lang w:val="zh-CN"/>
        </w:rPr>
        <w:t>验收</w:t>
      </w:r>
    </w:p>
    <w:p w14:paraId="547FC280">
      <w:pPr>
        <w:adjustRightInd w:val="0"/>
        <w:snapToGrid w:val="0"/>
        <w:spacing w:before="120" w:after="120" w:line="360" w:lineRule="auto"/>
        <w:ind w:firstLine="511" w:firstLineChars="213"/>
        <w:jc w:val="left"/>
        <w:rPr>
          <w:rFonts w:hint="eastAsia"/>
          <w:color w:val="auto"/>
          <w:lang w:val="zh-CN"/>
        </w:rPr>
      </w:pPr>
      <w:r>
        <w:rPr>
          <w:rFonts w:ascii="微软雅黑" w:hAnsi="微软雅黑" w:eastAsia="微软雅黑" w:cs="Times New Roman"/>
          <w:snapToGrid w:val="0"/>
          <w:color w:val="auto"/>
          <w:kern w:val="0"/>
          <w:sz w:val="24"/>
          <w:szCs w:val="24"/>
          <w:lang w:val="zh-CN"/>
        </w:rPr>
        <w:t>1</w:t>
      </w:r>
      <w:r>
        <w:rPr>
          <w:rFonts w:hint="eastAsia" w:ascii="微软雅黑" w:hAnsi="微软雅黑" w:eastAsia="微软雅黑" w:cs="Times New Roman"/>
          <w:snapToGrid w:val="0"/>
          <w:color w:val="auto"/>
          <w:kern w:val="0"/>
          <w:sz w:val="24"/>
          <w:szCs w:val="24"/>
          <w:lang w:val="zh-CN"/>
        </w:rPr>
        <w:t>.乙方根据约定服务范围与内容提供技术资料和数据，确保能让甲方正常使用，完成服务内容后可提出</w:t>
      </w:r>
      <w:r>
        <w:rPr>
          <w:rFonts w:hint="eastAsia" w:ascii="微软雅黑" w:hAnsi="微软雅黑" w:eastAsia="微软雅黑" w:cs="Times New Roman"/>
          <w:snapToGrid w:val="0"/>
          <w:color w:val="auto"/>
          <w:kern w:val="0"/>
          <w:sz w:val="24"/>
          <w:szCs w:val="24"/>
          <w:highlight w:val="none"/>
          <w:lang w:val="en-US" w:eastAsia="zh-CN"/>
        </w:rPr>
        <w:t>初步</w:t>
      </w:r>
      <w:r>
        <w:rPr>
          <w:rFonts w:hint="eastAsia" w:ascii="微软雅黑" w:hAnsi="微软雅黑" w:eastAsia="微软雅黑" w:cs="Times New Roman"/>
          <w:snapToGrid w:val="0"/>
          <w:color w:val="auto"/>
          <w:kern w:val="0"/>
          <w:sz w:val="24"/>
          <w:szCs w:val="24"/>
          <w:highlight w:val="none"/>
          <w:lang w:val="zh-CN"/>
        </w:rPr>
        <w:t>验收</w:t>
      </w:r>
      <w:r>
        <w:rPr>
          <w:rFonts w:hint="eastAsia" w:ascii="微软雅黑" w:hAnsi="微软雅黑" w:eastAsia="微软雅黑" w:cs="Times New Roman"/>
          <w:snapToGrid w:val="0"/>
          <w:color w:val="auto"/>
          <w:kern w:val="0"/>
          <w:sz w:val="24"/>
          <w:szCs w:val="24"/>
          <w:highlight w:val="none"/>
          <w:lang w:val="en-US" w:eastAsia="zh-CN"/>
        </w:rPr>
        <w:t>申请，</w:t>
      </w:r>
      <w:r>
        <w:rPr>
          <w:rFonts w:hint="eastAsia" w:ascii="微软雅黑" w:hAnsi="微软雅黑" w:eastAsia="微软雅黑" w:cs="Times New Roman"/>
          <w:snapToGrid w:val="0"/>
          <w:color w:val="auto"/>
          <w:kern w:val="0"/>
          <w:sz w:val="24"/>
          <w:szCs w:val="24"/>
          <w:highlight w:val="none"/>
          <w:lang w:val="zh-CN"/>
        </w:rPr>
        <w:t>初验通过后进入试运行</w:t>
      </w:r>
      <w:r>
        <w:rPr>
          <w:rFonts w:hint="eastAsia" w:ascii="微软雅黑" w:hAnsi="微软雅黑" w:eastAsia="微软雅黑" w:cs="Times New Roman"/>
          <w:snapToGrid w:val="0"/>
          <w:color w:val="auto"/>
          <w:kern w:val="0"/>
          <w:sz w:val="24"/>
          <w:szCs w:val="24"/>
          <w:highlight w:val="none"/>
          <w:lang w:val="en-US" w:eastAsia="zh-CN"/>
        </w:rPr>
        <w:t>阶段</w:t>
      </w:r>
      <w:r>
        <w:rPr>
          <w:rFonts w:hint="eastAsia" w:ascii="微软雅黑" w:hAnsi="微软雅黑" w:eastAsia="微软雅黑" w:cs="Times New Roman"/>
          <w:snapToGrid w:val="0"/>
          <w:color w:val="auto"/>
          <w:kern w:val="0"/>
          <w:sz w:val="24"/>
          <w:szCs w:val="24"/>
          <w:highlight w:val="none"/>
          <w:lang w:val="zh-CN"/>
        </w:rPr>
        <w:t>，</w:t>
      </w:r>
      <w:r>
        <w:rPr>
          <w:rFonts w:hint="eastAsia" w:ascii="微软雅黑" w:hAnsi="微软雅黑" w:eastAsia="微软雅黑" w:cs="Times New Roman"/>
          <w:snapToGrid w:val="0"/>
          <w:color w:val="auto"/>
          <w:kern w:val="0"/>
          <w:sz w:val="24"/>
          <w:szCs w:val="24"/>
          <w:highlight w:val="none"/>
          <w:lang w:val="en-US" w:eastAsia="zh-CN"/>
        </w:rPr>
        <w:t>满一个月且整体稳定后，乙方可</w:t>
      </w:r>
      <w:r>
        <w:rPr>
          <w:rFonts w:hint="eastAsia" w:ascii="微软雅黑" w:hAnsi="微软雅黑" w:eastAsia="微软雅黑" w:cs="Times New Roman"/>
          <w:snapToGrid w:val="0"/>
          <w:color w:val="auto"/>
          <w:kern w:val="0"/>
          <w:sz w:val="24"/>
          <w:szCs w:val="24"/>
          <w:highlight w:val="none"/>
          <w:lang w:val="zh-CN"/>
        </w:rPr>
        <w:t>提出最终验收申请</w:t>
      </w:r>
      <w:r>
        <w:rPr>
          <w:rFonts w:hint="eastAsia" w:ascii="微软雅黑" w:hAnsi="微软雅黑" w:eastAsia="微软雅黑" w:cs="Times New Roman"/>
          <w:snapToGrid w:val="0"/>
          <w:color w:val="auto"/>
          <w:kern w:val="0"/>
          <w:sz w:val="24"/>
          <w:szCs w:val="24"/>
          <w:lang w:val="en-US" w:eastAsia="zh-CN"/>
        </w:rPr>
        <w:t>，</w:t>
      </w:r>
      <w:r>
        <w:rPr>
          <w:rFonts w:hint="eastAsia" w:ascii="微软雅黑" w:hAnsi="微软雅黑" w:eastAsia="微软雅黑" w:cs="Times New Roman"/>
          <w:snapToGrid w:val="0"/>
          <w:color w:val="auto"/>
          <w:kern w:val="0"/>
          <w:sz w:val="24"/>
          <w:szCs w:val="24"/>
          <w:lang w:val="zh-CN"/>
        </w:rPr>
        <w:t>甲方需在十个工作日内</w:t>
      </w:r>
      <w:r>
        <w:rPr>
          <w:rFonts w:hint="eastAsia" w:ascii="微软雅黑" w:hAnsi="微软雅黑" w:eastAsia="微软雅黑" w:cs="Times New Roman"/>
          <w:snapToGrid w:val="0"/>
          <w:color w:val="auto"/>
          <w:kern w:val="0"/>
          <w:sz w:val="24"/>
          <w:szCs w:val="24"/>
          <w:lang w:val="en-US" w:eastAsia="zh-CN"/>
        </w:rPr>
        <w:t>组织</w:t>
      </w:r>
      <w:r>
        <w:rPr>
          <w:rFonts w:hint="eastAsia" w:ascii="微软雅黑" w:hAnsi="微软雅黑" w:eastAsia="微软雅黑" w:cs="Times New Roman"/>
          <w:snapToGrid w:val="0"/>
          <w:color w:val="auto"/>
          <w:kern w:val="0"/>
          <w:sz w:val="24"/>
          <w:szCs w:val="24"/>
          <w:lang w:val="zh-CN"/>
        </w:rPr>
        <w:t>验收。</w:t>
      </w:r>
    </w:p>
    <w:p w14:paraId="46AFAA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2. </w:t>
      </w:r>
      <w:r>
        <w:rPr>
          <w:rFonts w:hint="eastAsia" w:ascii="微软雅黑" w:hAnsi="微软雅黑" w:eastAsia="微软雅黑" w:cs="Times New Roman"/>
          <w:snapToGrid w:val="0"/>
          <w:color w:val="auto"/>
          <w:kern w:val="0"/>
          <w:sz w:val="24"/>
          <w:szCs w:val="24"/>
          <w:lang w:val="zh-CN"/>
        </w:rPr>
        <w:t>验收前，</w:t>
      </w:r>
      <w:r>
        <w:rPr>
          <w:rFonts w:ascii="微软雅黑" w:hAnsi="微软雅黑" w:eastAsia="微软雅黑" w:cs="Times New Roman"/>
          <w:snapToGrid w:val="0"/>
          <w:color w:val="auto"/>
          <w:kern w:val="0"/>
          <w:sz w:val="24"/>
          <w:szCs w:val="24"/>
          <w:lang w:val="zh-CN"/>
        </w:rPr>
        <w:t>乙方应对产品作出全面检查和对验收文件进行整理，并列出清单，</w:t>
      </w:r>
      <w:r>
        <w:rPr>
          <w:rFonts w:hint="eastAsia" w:ascii="微软雅黑" w:hAnsi="微软雅黑" w:eastAsia="微软雅黑" w:cs="Times New Roman"/>
          <w:snapToGrid w:val="0"/>
          <w:color w:val="auto"/>
          <w:kern w:val="0"/>
          <w:sz w:val="24"/>
          <w:szCs w:val="24"/>
          <w:lang w:val="zh-CN"/>
        </w:rPr>
        <w:t>拟订验收报告</w:t>
      </w:r>
      <w:r>
        <w:rPr>
          <w:rFonts w:ascii="微软雅黑" w:hAnsi="微软雅黑" w:eastAsia="微软雅黑" w:cs="Times New Roman"/>
          <w:snapToGrid w:val="0"/>
          <w:color w:val="auto"/>
          <w:kern w:val="0"/>
          <w:sz w:val="24"/>
          <w:szCs w:val="24"/>
          <w:lang w:val="zh-CN"/>
        </w:rPr>
        <w:t>交</w:t>
      </w:r>
      <w:r>
        <w:rPr>
          <w:rFonts w:hint="eastAsia" w:ascii="微软雅黑" w:hAnsi="微软雅黑" w:eastAsia="微软雅黑" w:cs="Times New Roman"/>
          <w:snapToGrid w:val="0"/>
          <w:color w:val="auto"/>
          <w:kern w:val="0"/>
          <w:sz w:val="24"/>
          <w:szCs w:val="24"/>
          <w:lang w:val="zh-CN"/>
        </w:rPr>
        <w:t>与</w:t>
      </w:r>
      <w:r>
        <w:rPr>
          <w:rFonts w:ascii="微软雅黑" w:hAnsi="微软雅黑" w:eastAsia="微软雅黑" w:cs="Times New Roman"/>
          <w:snapToGrid w:val="0"/>
          <w:color w:val="auto"/>
          <w:kern w:val="0"/>
          <w:sz w:val="24"/>
          <w:szCs w:val="24"/>
          <w:lang w:val="zh-CN"/>
        </w:rPr>
        <w:t>甲方。</w:t>
      </w:r>
    </w:p>
    <w:p w14:paraId="5C37E62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snapToGrid w:val="0"/>
          <w:color w:val="auto"/>
          <w:kern w:val="0"/>
          <w:sz w:val="24"/>
          <w:szCs w:val="24"/>
          <w:lang w:val="zh-CN"/>
        </w:rPr>
        <w:t>3. 甲方</w:t>
      </w:r>
      <w:r>
        <w:rPr>
          <w:rFonts w:hint="eastAsia" w:ascii="微软雅黑" w:hAnsi="微软雅黑" w:eastAsia="微软雅黑" w:cs="Times New Roman"/>
          <w:snapToGrid w:val="0"/>
          <w:color w:val="auto"/>
          <w:kern w:val="0"/>
          <w:sz w:val="24"/>
          <w:szCs w:val="24"/>
          <w:lang w:val="zh-CN"/>
        </w:rPr>
        <w:t>根据合同约定审查项目完成情况</w:t>
      </w:r>
      <w:r>
        <w:rPr>
          <w:rFonts w:ascii="微软雅黑" w:hAnsi="微软雅黑" w:eastAsia="微软雅黑" w:cs="Times New Roman"/>
          <w:snapToGrid w:val="0"/>
          <w:color w:val="auto"/>
          <w:kern w:val="0"/>
          <w:sz w:val="24"/>
          <w:szCs w:val="24"/>
          <w:lang w:val="zh-CN"/>
        </w:rPr>
        <w:t>，直到符合技术要求，甲方才做最终验收。</w:t>
      </w:r>
    </w:p>
    <w:p w14:paraId="5B95E25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4</w:t>
      </w:r>
      <w:r>
        <w:rPr>
          <w:rFonts w:ascii="微软雅黑" w:hAnsi="微软雅黑" w:eastAsia="微软雅黑" w:cs="Times New Roman"/>
          <w:snapToGrid w:val="0"/>
          <w:color w:val="auto"/>
          <w:kern w:val="0"/>
          <w:sz w:val="24"/>
          <w:szCs w:val="24"/>
          <w:lang w:val="zh-CN"/>
        </w:rPr>
        <w:t>. 验收时乙方必须在现场，</w:t>
      </w:r>
      <w:r>
        <w:rPr>
          <w:rFonts w:hint="eastAsia" w:ascii="微软雅黑" w:hAnsi="微软雅黑" w:eastAsia="微软雅黑" w:cs="Times New Roman"/>
          <w:snapToGrid w:val="0"/>
          <w:color w:val="auto"/>
          <w:kern w:val="0"/>
          <w:sz w:val="24"/>
          <w:szCs w:val="24"/>
          <w:lang w:val="en-US" w:eastAsia="zh-CN"/>
        </w:rPr>
        <w:t>验收</w:t>
      </w:r>
      <w:r>
        <w:rPr>
          <w:rFonts w:ascii="微软雅黑" w:hAnsi="微软雅黑" w:eastAsia="微软雅黑" w:cs="Times New Roman"/>
          <w:snapToGrid w:val="0"/>
          <w:color w:val="auto"/>
          <w:kern w:val="0"/>
          <w:sz w:val="24"/>
          <w:szCs w:val="24"/>
          <w:lang w:val="zh-CN"/>
        </w:rPr>
        <w:t>完毕后</w:t>
      </w:r>
      <w:r>
        <w:rPr>
          <w:rFonts w:hint="eastAsia" w:ascii="微软雅黑" w:hAnsi="微软雅黑" w:eastAsia="微软雅黑" w:cs="Times New Roman"/>
          <w:snapToGrid w:val="0"/>
          <w:color w:val="auto"/>
          <w:kern w:val="0"/>
          <w:sz w:val="24"/>
          <w:szCs w:val="24"/>
          <w:lang w:val="zh-CN"/>
        </w:rPr>
        <w:t>十五个工作日内</w:t>
      </w:r>
      <w:r>
        <w:rPr>
          <w:rFonts w:ascii="微软雅黑" w:hAnsi="微软雅黑" w:eastAsia="微软雅黑" w:cs="Times New Roman"/>
          <w:snapToGrid w:val="0"/>
          <w:color w:val="auto"/>
          <w:kern w:val="0"/>
          <w:sz w:val="24"/>
          <w:szCs w:val="24"/>
          <w:lang w:val="zh-CN"/>
        </w:rPr>
        <w:t>作出验收结果报告；验收费用由乙方负责。</w:t>
      </w:r>
    </w:p>
    <w:p w14:paraId="13A9C46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十三、服务质量考核</w:t>
      </w:r>
    </w:p>
    <w:p w14:paraId="72E0D71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乙方须严格按照合同要求提供技术服务。为了确保服务工作得到有效监督，保证服务质量，甲方按照合同要求对乙方的服务进行考核评价，并约定如下：</w:t>
      </w:r>
    </w:p>
    <w:p w14:paraId="5F8D06C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1、维保服务到期或项目终验前，甲方根据服务内容要求</w:t>
      </w:r>
      <w:r>
        <w:rPr>
          <w:rFonts w:ascii="微软雅黑" w:hAnsi="微软雅黑" w:eastAsia="微软雅黑" w:cs="Times New Roman"/>
          <w:snapToGrid w:val="0"/>
          <w:color w:val="auto"/>
          <w:kern w:val="0"/>
          <w:sz w:val="24"/>
          <w:szCs w:val="24"/>
          <w:lang w:val="zh-CN"/>
        </w:rPr>
        <w:t>对</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方实行</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，评分结果作为衡量服务质量的依据。</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等级分为非常满意、满意、一般、不满意四档。如考核为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非常满意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或</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不扣服务费</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一般</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可扣除合同款的</w:t>
      </w:r>
      <w:r>
        <w:rPr>
          <w:rFonts w:hint="eastAsia" w:ascii="微软雅黑" w:hAnsi="微软雅黑" w:eastAsia="微软雅黑" w:cs="Times New Roman"/>
          <w:snapToGrid w:val="0"/>
          <w:color w:val="auto"/>
          <w:kern w:val="0"/>
          <w:sz w:val="24"/>
          <w:szCs w:val="24"/>
          <w:lang w:val="zh-CN"/>
        </w:rPr>
        <w:t>百分之五。</w:t>
      </w:r>
    </w:p>
    <w:p w14:paraId="36A8A396">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考核为‘不满意’的，</w:t>
      </w:r>
      <w:r>
        <w:rPr>
          <w:rFonts w:hint="eastAsia" w:ascii="微软雅黑" w:hAnsi="微软雅黑" w:eastAsia="微软雅黑" w:cs="Times New Roman"/>
          <w:snapToGrid w:val="0"/>
          <w:color w:val="auto"/>
          <w:kern w:val="0"/>
          <w:sz w:val="24"/>
          <w:szCs w:val="24"/>
          <w:lang w:val="zh-CN"/>
        </w:rPr>
        <w:t>甲方有权解除合同，同时乙方应向甲方支付合同总价百分之五的违约金，同时退回甲方已支付的全部款项。</w:t>
      </w:r>
      <w:r>
        <w:rPr>
          <w:rFonts w:ascii="微软雅黑" w:hAnsi="微软雅黑" w:eastAsia="微软雅黑" w:cs="Times New Roman"/>
          <w:snapToGrid w:val="0"/>
          <w:color w:val="auto"/>
          <w:kern w:val="0"/>
          <w:sz w:val="24"/>
          <w:szCs w:val="24"/>
          <w:lang w:val="zh-CN"/>
        </w:rPr>
        <w:t>由此产生的一切损失和费用由</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方承担。</w:t>
      </w:r>
    </w:p>
    <w:p w14:paraId="7E9892AC">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、若因</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方人员操作失误造成系统瘫痪超过一个工作日的，医院有权一次扣除合同金额的</w:t>
      </w:r>
      <w:r>
        <w:rPr>
          <w:rFonts w:hint="eastAsia" w:ascii="微软雅黑" w:hAnsi="微软雅黑" w:eastAsia="微软雅黑" w:cs="Times New Roman"/>
          <w:snapToGrid w:val="0"/>
          <w:color w:val="auto"/>
          <w:kern w:val="0"/>
          <w:sz w:val="24"/>
          <w:szCs w:val="24"/>
          <w:lang w:val="zh-CN"/>
        </w:rPr>
        <w:t>百分之五</w:t>
      </w:r>
      <w:r>
        <w:rPr>
          <w:rFonts w:ascii="微软雅黑" w:hAnsi="微软雅黑" w:eastAsia="微软雅黑" w:cs="Times New Roman"/>
          <w:snapToGrid w:val="0"/>
          <w:color w:val="auto"/>
          <w:kern w:val="0"/>
          <w:sz w:val="24"/>
          <w:szCs w:val="24"/>
          <w:lang w:val="zh-CN"/>
        </w:rPr>
        <w:t>。对蓄意破坏信息系统设施或泄密的，一经查证，医院有权即时终止合同，涉案人员</w:t>
      </w:r>
      <w:r>
        <w:rPr>
          <w:rFonts w:hint="eastAsia" w:ascii="微软雅黑" w:hAnsi="微软雅黑" w:eastAsia="微软雅黑" w:cs="Times New Roman"/>
          <w:snapToGrid w:val="0"/>
          <w:color w:val="auto"/>
          <w:kern w:val="0"/>
          <w:sz w:val="24"/>
          <w:szCs w:val="24"/>
          <w:lang w:val="zh-CN"/>
        </w:rPr>
        <w:t>移交司法机关</w:t>
      </w:r>
      <w:r>
        <w:rPr>
          <w:rFonts w:ascii="微软雅黑" w:hAnsi="微软雅黑" w:eastAsia="微软雅黑" w:cs="Times New Roman"/>
          <w:snapToGrid w:val="0"/>
          <w:color w:val="auto"/>
          <w:kern w:val="0"/>
          <w:sz w:val="24"/>
          <w:szCs w:val="24"/>
          <w:lang w:val="zh-CN"/>
        </w:rPr>
        <w:t>依法处理。</w:t>
      </w:r>
    </w:p>
    <w:p w14:paraId="3E3FC0E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、因</w:t>
      </w:r>
      <w:r>
        <w:rPr>
          <w:rFonts w:hint="eastAsia" w:ascii="微软雅黑" w:hAnsi="微软雅黑" w:eastAsia="微软雅黑" w:cs="Times New Roman"/>
          <w:snapToGrid w:val="0"/>
          <w:color w:val="auto"/>
          <w:kern w:val="0"/>
          <w:sz w:val="24"/>
          <w:szCs w:val="24"/>
        </w:rPr>
        <w:t>服务考核评价</w:t>
      </w:r>
      <w:r>
        <w:rPr>
          <w:rFonts w:ascii="微软雅黑" w:hAnsi="微软雅黑" w:eastAsia="微软雅黑" w:cs="Times New Roman"/>
          <w:snapToGrid w:val="0"/>
          <w:color w:val="auto"/>
          <w:kern w:val="0"/>
          <w:sz w:val="24"/>
          <w:szCs w:val="24"/>
          <w:lang w:val="zh-CN"/>
        </w:rPr>
        <w:t>而发生的扣罚款项，经双方项目负责人签字确认，交由医院财务部在服务款中扣除。</w:t>
      </w:r>
    </w:p>
    <w:p w14:paraId="2ED73CE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十四、违约责任</w:t>
      </w:r>
    </w:p>
    <w:p w14:paraId="1248102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乙方无正当理由逾期履行合同的，自逾期之日起，向甲方每日偿付合同总价万分之五的违约金；乙方无正当理由逾期30日不能交货的，应向甲方支付合同总价百分之五的违约金；乙方无正当理由逾期三个月不能交货的，应向甲方支付合同总价百分之十五的违约金；乙方无正当理由逾期六个月不能交货的，甲方有权解除合同，同时乙方应向甲方支付合同总价百分之三十的违约金，同时退回甲方已支付全部款项。如造成甲方损失超过违约金的，超出部分由乙方继续承担赔偿责任。</w:t>
      </w:r>
    </w:p>
    <w:p w14:paraId="719FB440">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甲方无正当理由逾期支付货款的，应向乙方每日偿付合同总价万分之五的违约金。甲方无正当理由而拒收货物、拒付货款的，应向乙方偿付合同总价百分之五的违约金。</w:t>
      </w:r>
    </w:p>
    <w:bookmarkEnd w:id="15"/>
    <w:bookmarkEnd w:id="16"/>
    <w:p w14:paraId="16D2FB88">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五</w:t>
      </w:r>
      <w:r>
        <w:rPr>
          <w:rFonts w:ascii="微软雅黑" w:hAnsi="微软雅黑" w:eastAsia="微软雅黑" w:cs="Times New Roman"/>
          <w:b/>
          <w:snapToGrid w:val="0"/>
          <w:color w:val="auto"/>
          <w:kern w:val="0"/>
          <w:sz w:val="24"/>
          <w:szCs w:val="24"/>
          <w:lang w:val="zh-CN"/>
        </w:rPr>
        <w:t>、不可抗力事件处理</w:t>
      </w:r>
    </w:p>
    <w:p w14:paraId="370842AF">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 xml:space="preserve">1. </w:t>
      </w:r>
      <w:r>
        <w:rPr>
          <w:rFonts w:ascii="微软雅黑" w:hAnsi="微软雅黑" w:eastAsia="微软雅黑" w:cs="Times New Roman"/>
          <w:snapToGrid w:val="0"/>
          <w:color w:val="auto"/>
          <w:kern w:val="0"/>
          <w:sz w:val="24"/>
          <w:szCs w:val="24"/>
          <w:lang w:val="zh-CN"/>
        </w:rPr>
        <w:t>合同有效期内，任何一方因不可抗力事件导致不能履行合同，则合同履行期可延长，其延长期与不可抗力影响期相同。</w:t>
      </w:r>
    </w:p>
    <w:p w14:paraId="52F308D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不可抗力事件发生后，应立即通知对方，并寄送有关权威机构出具的证明。</w:t>
      </w:r>
    </w:p>
    <w:p w14:paraId="50A7151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3. 不可抗力事件延续120天以上，双方应通过友好协商，确定是否继续履行合同。</w:t>
      </w:r>
    </w:p>
    <w:p w14:paraId="34E01BC5">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六</w:t>
      </w:r>
      <w:r>
        <w:rPr>
          <w:rFonts w:ascii="微软雅黑" w:hAnsi="微软雅黑" w:eastAsia="微软雅黑" w:cs="Times New Roman"/>
          <w:b/>
          <w:snapToGrid w:val="0"/>
          <w:color w:val="auto"/>
          <w:kern w:val="0"/>
          <w:sz w:val="24"/>
          <w:szCs w:val="24"/>
          <w:lang w:val="zh-CN"/>
        </w:rPr>
        <w:t>、诉讼</w:t>
      </w:r>
    </w:p>
    <w:p w14:paraId="1496324E">
      <w:pPr>
        <w:adjustRightInd w:val="0"/>
        <w:snapToGrid w:val="0"/>
        <w:spacing w:before="120" w:after="120" w:line="360" w:lineRule="auto"/>
        <w:ind w:left="2"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双方在执行合同中所发生的一切争议，应通过协商解决。如协商不成，可向甲方所在地法院起诉。</w:t>
      </w:r>
    </w:p>
    <w:p w14:paraId="611496B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七</w:t>
      </w:r>
      <w:r>
        <w:rPr>
          <w:rFonts w:ascii="微软雅黑" w:hAnsi="微软雅黑" w:eastAsia="微软雅黑" w:cs="Times New Roman"/>
          <w:b/>
          <w:snapToGrid w:val="0"/>
          <w:color w:val="auto"/>
          <w:kern w:val="0"/>
          <w:sz w:val="24"/>
          <w:szCs w:val="24"/>
          <w:lang w:val="zh-CN"/>
        </w:rPr>
        <w:t>、合同生效及其它</w:t>
      </w:r>
    </w:p>
    <w:p w14:paraId="6DE746D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 合同经甲、乙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方签字并盖章后生效。</w:t>
      </w:r>
    </w:p>
    <w:p w14:paraId="5C95AE2C">
      <w:pPr>
        <w:adjustRightInd w:val="0"/>
        <w:snapToGrid w:val="0"/>
        <w:spacing w:before="120" w:after="120" w:line="360" w:lineRule="auto"/>
        <w:ind w:firstLine="480" w:firstLineChars="200"/>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.本合同未尽事宜，遵照《</w:t>
      </w:r>
      <w:r>
        <w:rPr>
          <w:rFonts w:hint="eastAsia" w:ascii="微软雅黑" w:hAnsi="微软雅黑" w:eastAsia="微软雅黑" w:cs="Times New Roman"/>
          <w:snapToGrid w:val="0"/>
          <w:color w:val="auto"/>
          <w:kern w:val="0"/>
          <w:sz w:val="24"/>
          <w:szCs w:val="24"/>
          <w:lang w:val="zh-CN"/>
        </w:rPr>
        <w:t>中华人民共和国民法典</w:t>
      </w:r>
      <w:r>
        <w:rPr>
          <w:rFonts w:ascii="微软雅黑" w:hAnsi="微软雅黑" w:eastAsia="微软雅黑" w:cs="Times New Roman"/>
          <w:snapToGrid w:val="0"/>
          <w:color w:val="auto"/>
          <w:kern w:val="0"/>
          <w:sz w:val="24"/>
          <w:szCs w:val="24"/>
          <w:lang w:val="zh-CN"/>
        </w:rPr>
        <w:t>》有关</w:t>
      </w:r>
      <w:r>
        <w:rPr>
          <w:rFonts w:hint="eastAsia" w:ascii="微软雅黑" w:hAnsi="微软雅黑" w:eastAsia="微软雅黑" w:cs="Times New Roman"/>
          <w:snapToGrid w:val="0"/>
          <w:color w:val="auto"/>
          <w:kern w:val="0"/>
          <w:sz w:val="24"/>
          <w:szCs w:val="24"/>
          <w:lang w:val="zh-CN"/>
        </w:rPr>
        <w:t>规定</w:t>
      </w:r>
      <w:r>
        <w:rPr>
          <w:rFonts w:ascii="微软雅黑" w:hAnsi="微软雅黑" w:eastAsia="微软雅黑" w:cs="Times New Roman"/>
          <w:snapToGrid w:val="0"/>
          <w:color w:val="auto"/>
          <w:kern w:val="0"/>
          <w:sz w:val="24"/>
          <w:szCs w:val="24"/>
          <w:lang w:val="zh-CN"/>
        </w:rPr>
        <w:t>执行。</w:t>
      </w:r>
    </w:p>
    <w:p w14:paraId="7547C8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.本合同一式</w:t>
      </w:r>
      <w:r>
        <w:rPr>
          <w:rFonts w:hint="eastAsia" w:ascii="微软雅黑" w:hAnsi="微软雅黑" w:eastAsia="微软雅黑" w:cs="Times New Roman"/>
          <w:snapToGrid w:val="0"/>
          <w:color w:val="auto"/>
          <w:kern w:val="0"/>
          <w:sz w:val="24"/>
          <w:szCs w:val="24"/>
          <w:lang w:val="zh-CN"/>
        </w:rPr>
        <w:t>贰</w:t>
      </w:r>
      <w:r>
        <w:rPr>
          <w:rFonts w:ascii="微软雅黑" w:hAnsi="微软雅黑" w:eastAsia="微软雅黑" w:cs="Times New Roman"/>
          <w:snapToGrid w:val="0"/>
          <w:color w:val="auto"/>
          <w:kern w:val="0"/>
          <w:sz w:val="24"/>
          <w:szCs w:val="24"/>
          <w:lang w:val="zh-CN"/>
        </w:rPr>
        <w:t>份，具有同等法律效力，甲、乙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方各执</w:t>
      </w:r>
      <w:r>
        <w:rPr>
          <w:rFonts w:hint="eastAsia" w:ascii="微软雅黑" w:hAnsi="微软雅黑" w:eastAsia="微软雅黑" w:cs="Times New Roman"/>
          <w:snapToGrid w:val="0"/>
          <w:color w:val="auto"/>
          <w:kern w:val="0"/>
          <w:sz w:val="24"/>
          <w:szCs w:val="24"/>
          <w:lang w:val="zh-CN"/>
        </w:rPr>
        <w:t>壹</w:t>
      </w:r>
      <w:r>
        <w:rPr>
          <w:rFonts w:ascii="微软雅黑" w:hAnsi="微软雅黑" w:eastAsia="微软雅黑" w:cs="Times New Roman"/>
          <w:snapToGrid w:val="0"/>
          <w:color w:val="auto"/>
          <w:kern w:val="0"/>
          <w:sz w:val="24"/>
          <w:szCs w:val="24"/>
          <w:lang w:val="zh-CN"/>
        </w:rPr>
        <w:t>份。</w:t>
      </w:r>
    </w:p>
    <w:p w14:paraId="5DEEE26B">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p>
    <w:p w14:paraId="30711896">
      <w:pPr>
        <w:adjustRightInd w:val="0"/>
        <w:snapToGrid w:val="0"/>
        <w:spacing w:before="120" w:after="120"/>
        <w:ind w:left="1"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甲方（盖章）：</w:t>
      </w:r>
      <w:r>
        <w:rPr>
          <w:rFonts w:ascii="微软雅黑" w:hAnsi="微软雅黑" w:eastAsia="微软雅黑" w:cs="Times New Roman"/>
          <w:b/>
          <w:color w:val="auto"/>
          <w:sz w:val="24"/>
          <w:szCs w:val="20"/>
          <w:lang w:val="zh-CN"/>
        </w:rPr>
        <w:t>浙江大学医学院附属妇产科医院</w:t>
      </w:r>
    </w:p>
    <w:p w14:paraId="7DC8F3AD">
      <w:pPr>
        <w:adjustRightInd w:val="0"/>
        <w:snapToGrid w:val="0"/>
        <w:spacing w:before="120" w:after="120"/>
        <w:ind w:left="1"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地</w:t>
      </w:r>
      <w:r>
        <w:rPr>
          <w:rFonts w:ascii="微软雅黑" w:hAnsi="微软雅黑" w:eastAsia="微软雅黑" w:cs="Times New Roman"/>
          <w:color w:val="auto"/>
          <w:sz w:val="24"/>
          <w:szCs w:val="20"/>
          <w:lang w:val="zh-CN"/>
        </w:rPr>
        <w:t>址：浙江省杭州市学士路1号</w:t>
      </w:r>
    </w:p>
    <w:p w14:paraId="2139351A">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法定（授权）代表人：  </w:t>
      </w:r>
    </w:p>
    <w:p w14:paraId="2AB6E6A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  </w:t>
      </w:r>
    </w:p>
    <w:p w14:paraId="45BBAE6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4C1F3495">
      <w:pPr>
        <w:adjustRightInd w:val="0"/>
        <w:snapToGrid w:val="0"/>
        <w:spacing w:before="120" w:after="120"/>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乙方（盖章）：</w:t>
      </w:r>
      <w:r>
        <w:rPr>
          <w:rFonts w:hint="eastAsia" w:ascii="微软雅黑" w:hAnsi="微软雅黑" w:eastAsia="微软雅黑" w:cs="Times New Roman"/>
          <w:b/>
          <w:color w:val="auto"/>
          <w:sz w:val="24"/>
          <w:szCs w:val="20"/>
          <w:lang w:val="zh-CN"/>
        </w:rPr>
        <w:t xml:space="preserve"> </w:t>
      </w:r>
    </w:p>
    <w:p w14:paraId="64311FAE">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地址： </w:t>
      </w:r>
      <w:r>
        <w:rPr>
          <w:rFonts w:hint="eastAsia" w:ascii="微软雅黑" w:hAnsi="微软雅黑" w:eastAsia="微软雅黑" w:cs="Times New Roman"/>
          <w:snapToGrid w:val="0"/>
          <w:color w:val="auto"/>
          <w:kern w:val="0"/>
          <w:sz w:val="24"/>
          <w:szCs w:val="24"/>
          <w:lang w:val="zh-CN"/>
        </w:rPr>
        <w:t xml:space="preserve"> </w:t>
      </w:r>
    </w:p>
    <w:p w14:paraId="4B99311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开户行：</w:t>
      </w:r>
      <w:r>
        <w:rPr>
          <w:rFonts w:hint="eastAsia" w:ascii="微软雅黑" w:hAnsi="微软雅黑" w:eastAsia="微软雅黑" w:cs="Times New Roman"/>
          <w:color w:val="auto"/>
          <w:sz w:val="24"/>
          <w:szCs w:val="21"/>
          <w:lang w:val="zh-CN"/>
        </w:rPr>
        <w:t xml:space="preserve"> </w:t>
      </w:r>
    </w:p>
    <w:p w14:paraId="4EFD7295">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开户帐号：</w:t>
      </w:r>
      <w:r>
        <w:rPr>
          <w:rFonts w:hint="eastAsia" w:ascii="微软雅黑" w:hAnsi="微软雅黑" w:eastAsia="微软雅黑" w:cs="Times New Roman"/>
          <w:color w:val="auto"/>
          <w:sz w:val="24"/>
          <w:szCs w:val="21"/>
          <w:lang w:val="zh-CN"/>
        </w:rPr>
        <w:t xml:space="preserve"> </w:t>
      </w:r>
    </w:p>
    <w:p w14:paraId="6C21AA8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法定（授权）代表人：</w:t>
      </w:r>
    </w:p>
    <w:p w14:paraId="6298B6B1">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w:t>
      </w:r>
    </w:p>
    <w:p w14:paraId="324F648D">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2C13F64E">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519A8903">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0A3C9CCB">
      <w:pPr>
        <w:pStyle w:val="39"/>
        <w:spacing w:line="360" w:lineRule="auto"/>
        <w:jc w:val="both"/>
        <w:rPr>
          <w:rFonts w:hAnsi="宋体"/>
          <w:color w:val="auto"/>
          <w:sz w:val="21"/>
          <w:szCs w:val="21"/>
        </w:rPr>
      </w:pPr>
    </w:p>
    <w:p w14:paraId="48E7D54C">
      <w:pPr>
        <w:pStyle w:val="39"/>
        <w:spacing w:line="360" w:lineRule="auto"/>
        <w:jc w:val="both"/>
        <w:rPr>
          <w:rFonts w:hAnsi="宋体"/>
          <w:color w:val="auto"/>
          <w:sz w:val="21"/>
          <w:szCs w:val="21"/>
        </w:rPr>
      </w:pPr>
    </w:p>
    <w:p w14:paraId="4A61C426">
      <w:pPr>
        <w:pStyle w:val="39"/>
        <w:spacing w:line="360" w:lineRule="auto"/>
        <w:jc w:val="both"/>
        <w:rPr>
          <w:rFonts w:hAnsi="宋体"/>
          <w:color w:val="auto"/>
          <w:sz w:val="21"/>
          <w:szCs w:val="21"/>
        </w:rPr>
      </w:pPr>
    </w:p>
    <w:p w14:paraId="059CA128">
      <w:pPr>
        <w:pStyle w:val="39"/>
        <w:spacing w:line="360" w:lineRule="auto"/>
        <w:jc w:val="both"/>
        <w:rPr>
          <w:color w:val="auto"/>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2751">
    <w:pPr>
      <w:pStyle w:val="13"/>
      <w:jc w:val="center"/>
    </w:pPr>
  </w:p>
  <w:p w14:paraId="59BC947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sdtPr>
    <w:sdtContent>
      <w:p w14:paraId="32273F3E">
        <w:pPr>
          <w:pStyle w:val="13"/>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70F1F7D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7EC98"/>
    <w:multiLevelType w:val="singleLevel"/>
    <w:tmpl w:val="8557EC98"/>
    <w:lvl w:ilvl="0" w:tentative="0">
      <w:start w:val="2"/>
      <w:numFmt w:val="chineseCounting"/>
      <w:suff w:val="space"/>
      <w:lvlText w:val="第%1章"/>
      <w:lvlJc w:val="left"/>
      <w:rPr>
        <w:rFonts w:hint="eastAsia"/>
      </w:rPr>
    </w:lvl>
  </w:abstractNum>
  <w:abstractNum w:abstractNumId="1">
    <w:nsid w:val="A070FF2D"/>
    <w:multiLevelType w:val="singleLevel"/>
    <w:tmpl w:val="A070FF2D"/>
    <w:lvl w:ilvl="0" w:tentative="0">
      <w:start w:val="3"/>
      <w:numFmt w:val="chineseCounting"/>
      <w:suff w:val="space"/>
      <w:lvlText w:val="第%1章"/>
      <w:lvlJc w:val="left"/>
      <w:rPr>
        <w:rFonts w:hint="eastAsia"/>
      </w:rPr>
    </w:lvl>
  </w:abstractNum>
  <w:abstractNum w:abstractNumId="2">
    <w:nsid w:val="A0B2F24A"/>
    <w:multiLevelType w:val="singleLevel"/>
    <w:tmpl w:val="A0B2F24A"/>
    <w:lvl w:ilvl="0" w:tentative="0">
      <w:start w:val="1"/>
      <w:numFmt w:val="decimal"/>
      <w:lvlText w:val="%1."/>
      <w:lvlJc w:val="left"/>
      <w:pPr>
        <w:ind w:left="425" w:hanging="425"/>
      </w:pPr>
      <w:rPr>
        <w:rFonts w:hint="default"/>
      </w:rPr>
    </w:lvl>
  </w:abstractNum>
  <w:abstractNum w:abstractNumId="3">
    <w:nsid w:val="C8358C48"/>
    <w:multiLevelType w:val="singleLevel"/>
    <w:tmpl w:val="C8358C48"/>
    <w:lvl w:ilvl="0" w:tentative="0">
      <w:start w:val="11"/>
      <w:numFmt w:val="chineseCounting"/>
      <w:suff w:val="nothing"/>
      <w:lvlText w:val="%1、"/>
      <w:lvlJc w:val="left"/>
      <w:pPr>
        <w:ind w:left="420" w:firstLine="0"/>
      </w:pPr>
      <w:rPr>
        <w:rFonts w:hint="eastAsia"/>
      </w:rPr>
    </w:lvl>
  </w:abstractNum>
  <w:abstractNum w:abstractNumId="4">
    <w:nsid w:val="083F5C9B"/>
    <w:multiLevelType w:val="singleLevel"/>
    <w:tmpl w:val="083F5C9B"/>
    <w:lvl w:ilvl="0" w:tentative="0">
      <w:start w:val="1"/>
      <w:numFmt w:val="decimal"/>
      <w:lvlText w:val="%1."/>
      <w:lvlJc w:val="left"/>
      <w:pPr>
        <w:ind w:left="425" w:hanging="425"/>
      </w:pPr>
      <w:rPr>
        <w:rFonts w:hint="default"/>
      </w:rPr>
    </w:lvl>
  </w:abstractNum>
  <w:abstractNum w:abstractNumId="5">
    <w:nsid w:val="0C362FFE"/>
    <w:multiLevelType w:val="singleLevel"/>
    <w:tmpl w:val="0C362FFE"/>
    <w:lvl w:ilvl="0" w:tentative="0">
      <w:start w:val="1"/>
      <w:numFmt w:val="decimal"/>
      <w:lvlText w:val="%1."/>
      <w:lvlJc w:val="left"/>
      <w:pPr>
        <w:ind w:left="425" w:hanging="425"/>
      </w:pPr>
      <w:rPr>
        <w:rFonts w:hint="default"/>
      </w:rPr>
    </w:lvl>
  </w:abstractNum>
  <w:abstractNum w:abstractNumId="6">
    <w:nsid w:val="10BF2759"/>
    <w:multiLevelType w:val="multilevel"/>
    <w:tmpl w:val="10BF2759"/>
    <w:lvl w:ilvl="0" w:tentative="0">
      <w:start w:val="1"/>
      <w:numFmt w:val="decimal"/>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1D2660D"/>
    <w:multiLevelType w:val="singleLevel"/>
    <w:tmpl w:val="21D2660D"/>
    <w:lvl w:ilvl="0" w:tentative="0">
      <w:start w:val="1"/>
      <w:numFmt w:val="decimal"/>
      <w:lvlText w:val="(%1)"/>
      <w:lvlJc w:val="left"/>
      <w:pPr>
        <w:ind w:left="425" w:hanging="425"/>
      </w:pPr>
      <w:rPr>
        <w:rFonts w:hint="default"/>
      </w:rPr>
    </w:lvl>
  </w:abstractNum>
  <w:abstractNum w:abstractNumId="8">
    <w:nsid w:val="254DB84F"/>
    <w:multiLevelType w:val="singleLevel"/>
    <w:tmpl w:val="254DB84F"/>
    <w:lvl w:ilvl="0" w:tentative="0">
      <w:start w:val="1"/>
      <w:numFmt w:val="decimal"/>
      <w:lvlText w:val="%1."/>
      <w:lvlJc w:val="left"/>
      <w:pPr>
        <w:ind w:left="425" w:hanging="425"/>
      </w:pPr>
      <w:rPr>
        <w:rFonts w:hint="default"/>
      </w:rPr>
    </w:lvl>
  </w:abstractNum>
  <w:abstractNum w:abstractNumId="9">
    <w:nsid w:val="2C130A52"/>
    <w:multiLevelType w:val="multilevel"/>
    <w:tmpl w:val="2C130A52"/>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B2526DC"/>
    <w:multiLevelType w:val="multilevel"/>
    <w:tmpl w:val="6B2526DC"/>
    <w:lvl w:ilvl="0" w:tentative="0">
      <w:start w:val="1"/>
      <w:numFmt w:val="decimal"/>
      <w:lvlText w:val="（%1）"/>
      <w:lvlJc w:val="left"/>
      <w:pPr>
        <w:ind w:left="420" w:hanging="420"/>
      </w:pPr>
      <w:rPr>
        <w:rFonts w:hint="eastAsia"/>
        <w:sz w:val="24"/>
      </w:rPr>
    </w:lvl>
    <w:lvl w:ilvl="1" w:tentative="0">
      <w:start w:val="1"/>
      <w:numFmt w:val="decimal"/>
      <w:lvlText w:val="(%2)"/>
      <w:lvlJc w:val="left"/>
      <w:pPr>
        <w:ind w:left="1545" w:hanging="112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ED070F4"/>
    <w:multiLevelType w:val="multilevel"/>
    <w:tmpl w:val="6ED070F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46F1DD8"/>
    <w:multiLevelType w:val="multilevel"/>
    <w:tmpl w:val="746F1DD8"/>
    <w:lvl w:ilvl="0" w:tentative="0">
      <w:start w:val="1"/>
      <w:numFmt w:val="chineseCountingThousand"/>
      <w:lvlText w:val="(%1)"/>
      <w:lvlJc w:val="left"/>
      <w:pPr>
        <w:ind w:left="420" w:hanging="420"/>
      </w:p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1"/>
  </w:num>
  <w:num w:numId="3">
    <w:abstractNumId w:val="12"/>
  </w:num>
  <w:num w:numId="4">
    <w:abstractNumId w:val="9"/>
  </w:num>
  <w:num w:numId="5">
    <w:abstractNumId w:val="4"/>
  </w:num>
  <w:num w:numId="6">
    <w:abstractNumId w:val="2"/>
  </w:num>
  <w:num w:numId="7">
    <w:abstractNumId w:val="5"/>
  </w:num>
  <w:num w:numId="8">
    <w:abstractNumId w:val="8"/>
  </w:num>
  <w:num w:numId="9">
    <w:abstractNumId w:val="7"/>
  </w:num>
  <w:num w:numId="10">
    <w:abstractNumId w:val="1"/>
  </w:num>
  <w:num w:numId="11">
    <w:abstractNumId w:val="10"/>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A98"/>
    <w:rsid w:val="001A6847"/>
    <w:rsid w:val="001B020B"/>
    <w:rsid w:val="001B1935"/>
    <w:rsid w:val="001B474C"/>
    <w:rsid w:val="001B7C87"/>
    <w:rsid w:val="001B7E63"/>
    <w:rsid w:val="001C0D02"/>
    <w:rsid w:val="001C12A0"/>
    <w:rsid w:val="001C31F8"/>
    <w:rsid w:val="001C35E1"/>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5D7D"/>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1F0D"/>
    <w:rsid w:val="00322244"/>
    <w:rsid w:val="00323833"/>
    <w:rsid w:val="0032408B"/>
    <w:rsid w:val="003240B6"/>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618"/>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6AB3"/>
    <w:rsid w:val="005D6D46"/>
    <w:rsid w:val="005D6E69"/>
    <w:rsid w:val="005D7E0C"/>
    <w:rsid w:val="005E1353"/>
    <w:rsid w:val="005E27CD"/>
    <w:rsid w:val="005F0825"/>
    <w:rsid w:val="005F0EEF"/>
    <w:rsid w:val="005F2045"/>
    <w:rsid w:val="005F5748"/>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8F"/>
    <w:rsid w:val="006E1798"/>
    <w:rsid w:val="006E235B"/>
    <w:rsid w:val="006E2BD0"/>
    <w:rsid w:val="006E2D1D"/>
    <w:rsid w:val="006F0C73"/>
    <w:rsid w:val="006F4D88"/>
    <w:rsid w:val="006F56A8"/>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5C22"/>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082"/>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ACA"/>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58FB"/>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F20"/>
    <w:rsid w:val="00C61021"/>
    <w:rsid w:val="00C6147B"/>
    <w:rsid w:val="00C6204E"/>
    <w:rsid w:val="00C6229C"/>
    <w:rsid w:val="00C628EB"/>
    <w:rsid w:val="00C62A34"/>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4150"/>
    <w:rsid w:val="00D368D9"/>
    <w:rsid w:val="00D36A8C"/>
    <w:rsid w:val="00D374AF"/>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45B9"/>
    <w:rsid w:val="00EB5E12"/>
    <w:rsid w:val="00EB6226"/>
    <w:rsid w:val="00EC0B68"/>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35A"/>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59126E"/>
    <w:rsid w:val="02811C50"/>
    <w:rsid w:val="02CB7B00"/>
    <w:rsid w:val="03822CFE"/>
    <w:rsid w:val="038C592B"/>
    <w:rsid w:val="03F977BD"/>
    <w:rsid w:val="0411260F"/>
    <w:rsid w:val="04154B1B"/>
    <w:rsid w:val="042E69E2"/>
    <w:rsid w:val="04582D83"/>
    <w:rsid w:val="052B1173"/>
    <w:rsid w:val="053C0C8A"/>
    <w:rsid w:val="05FF0420"/>
    <w:rsid w:val="06224FEE"/>
    <w:rsid w:val="06376942"/>
    <w:rsid w:val="076517D2"/>
    <w:rsid w:val="078A03D3"/>
    <w:rsid w:val="079815C8"/>
    <w:rsid w:val="081A339A"/>
    <w:rsid w:val="090D306A"/>
    <w:rsid w:val="092071F7"/>
    <w:rsid w:val="0949237B"/>
    <w:rsid w:val="098A2D84"/>
    <w:rsid w:val="09B060FC"/>
    <w:rsid w:val="0ADA132B"/>
    <w:rsid w:val="0BE70350"/>
    <w:rsid w:val="0C724374"/>
    <w:rsid w:val="0CB101B0"/>
    <w:rsid w:val="0CEA5470"/>
    <w:rsid w:val="0D692839"/>
    <w:rsid w:val="0DD30A2B"/>
    <w:rsid w:val="0E3C7F4D"/>
    <w:rsid w:val="0EAF7832"/>
    <w:rsid w:val="0F87344A"/>
    <w:rsid w:val="0F955B67"/>
    <w:rsid w:val="103A048B"/>
    <w:rsid w:val="112B402D"/>
    <w:rsid w:val="11A82642"/>
    <w:rsid w:val="11D84F6D"/>
    <w:rsid w:val="12771554"/>
    <w:rsid w:val="128E0A5B"/>
    <w:rsid w:val="12C64289"/>
    <w:rsid w:val="12D04739"/>
    <w:rsid w:val="131E2DE2"/>
    <w:rsid w:val="133D454B"/>
    <w:rsid w:val="13963C5C"/>
    <w:rsid w:val="139F03F6"/>
    <w:rsid w:val="13BF042A"/>
    <w:rsid w:val="14BF6149"/>
    <w:rsid w:val="14D56CBC"/>
    <w:rsid w:val="14DA2F92"/>
    <w:rsid w:val="1525798D"/>
    <w:rsid w:val="153B2D0D"/>
    <w:rsid w:val="18DE45A6"/>
    <w:rsid w:val="19196D44"/>
    <w:rsid w:val="19435583"/>
    <w:rsid w:val="19771B7E"/>
    <w:rsid w:val="1AE06FED"/>
    <w:rsid w:val="1B211512"/>
    <w:rsid w:val="1B4E4DE8"/>
    <w:rsid w:val="1B566579"/>
    <w:rsid w:val="1BD468A2"/>
    <w:rsid w:val="1BD866B3"/>
    <w:rsid w:val="1BDE3743"/>
    <w:rsid w:val="1CA0088A"/>
    <w:rsid w:val="1DBF0627"/>
    <w:rsid w:val="1DC32EB5"/>
    <w:rsid w:val="1DCD2970"/>
    <w:rsid w:val="1EB61656"/>
    <w:rsid w:val="1FE04BDC"/>
    <w:rsid w:val="20084116"/>
    <w:rsid w:val="204A184E"/>
    <w:rsid w:val="205D447F"/>
    <w:rsid w:val="20971013"/>
    <w:rsid w:val="21A61FC4"/>
    <w:rsid w:val="220A3C81"/>
    <w:rsid w:val="220A4192"/>
    <w:rsid w:val="22AC349C"/>
    <w:rsid w:val="22B91715"/>
    <w:rsid w:val="22BE5A7C"/>
    <w:rsid w:val="22F22F30"/>
    <w:rsid w:val="24961D0D"/>
    <w:rsid w:val="24997A50"/>
    <w:rsid w:val="24D6105D"/>
    <w:rsid w:val="24E567F1"/>
    <w:rsid w:val="24FE1558"/>
    <w:rsid w:val="26040EF9"/>
    <w:rsid w:val="263A33A2"/>
    <w:rsid w:val="264F486A"/>
    <w:rsid w:val="27BA3F65"/>
    <w:rsid w:val="281573ED"/>
    <w:rsid w:val="2852643E"/>
    <w:rsid w:val="288D1B1B"/>
    <w:rsid w:val="29505072"/>
    <w:rsid w:val="29555DD1"/>
    <w:rsid w:val="29B42C36"/>
    <w:rsid w:val="2A816FBC"/>
    <w:rsid w:val="2AA05E26"/>
    <w:rsid w:val="2B350611"/>
    <w:rsid w:val="2B705E2B"/>
    <w:rsid w:val="2B836D64"/>
    <w:rsid w:val="2BC96E6C"/>
    <w:rsid w:val="2BDF3837"/>
    <w:rsid w:val="2BEE541D"/>
    <w:rsid w:val="2E1A39AF"/>
    <w:rsid w:val="2E304F81"/>
    <w:rsid w:val="2E374561"/>
    <w:rsid w:val="2E4875C6"/>
    <w:rsid w:val="2EE1627B"/>
    <w:rsid w:val="2F074EA2"/>
    <w:rsid w:val="2FD41752"/>
    <w:rsid w:val="30194126"/>
    <w:rsid w:val="304070FC"/>
    <w:rsid w:val="305B3700"/>
    <w:rsid w:val="30890978"/>
    <w:rsid w:val="32777E7D"/>
    <w:rsid w:val="330A0424"/>
    <w:rsid w:val="33453773"/>
    <w:rsid w:val="33CB2BCE"/>
    <w:rsid w:val="33DD1D36"/>
    <w:rsid w:val="33F702EF"/>
    <w:rsid w:val="34170D13"/>
    <w:rsid w:val="3507468B"/>
    <w:rsid w:val="35C85566"/>
    <w:rsid w:val="35F16F3F"/>
    <w:rsid w:val="369E2CA4"/>
    <w:rsid w:val="36D63FF5"/>
    <w:rsid w:val="37394099"/>
    <w:rsid w:val="37BF6F64"/>
    <w:rsid w:val="382E5B98"/>
    <w:rsid w:val="38547ABE"/>
    <w:rsid w:val="38D1110E"/>
    <w:rsid w:val="3992552F"/>
    <w:rsid w:val="39AD3929"/>
    <w:rsid w:val="3A283FE8"/>
    <w:rsid w:val="3A4D6EBA"/>
    <w:rsid w:val="3A695373"/>
    <w:rsid w:val="3A6B1889"/>
    <w:rsid w:val="3A7B026E"/>
    <w:rsid w:val="3A8066BC"/>
    <w:rsid w:val="3B9F1750"/>
    <w:rsid w:val="3BE64ED1"/>
    <w:rsid w:val="3C0B4340"/>
    <w:rsid w:val="3C3C79E8"/>
    <w:rsid w:val="3C595371"/>
    <w:rsid w:val="3CC14813"/>
    <w:rsid w:val="3CCF3BB7"/>
    <w:rsid w:val="3D6562C9"/>
    <w:rsid w:val="3DCC7A7C"/>
    <w:rsid w:val="3DD1766F"/>
    <w:rsid w:val="3EB05C6A"/>
    <w:rsid w:val="3F00274D"/>
    <w:rsid w:val="3F5039A5"/>
    <w:rsid w:val="3F564F2A"/>
    <w:rsid w:val="3F5E7474"/>
    <w:rsid w:val="3FA8312C"/>
    <w:rsid w:val="3FCB58CB"/>
    <w:rsid w:val="404A47AA"/>
    <w:rsid w:val="407A5B77"/>
    <w:rsid w:val="40B93AD3"/>
    <w:rsid w:val="40ED0E46"/>
    <w:rsid w:val="41132024"/>
    <w:rsid w:val="419329F4"/>
    <w:rsid w:val="426254CD"/>
    <w:rsid w:val="42666D6B"/>
    <w:rsid w:val="428B64A2"/>
    <w:rsid w:val="42EC47AF"/>
    <w:rsid w:val="43193DDE"/>
    <w:rsid w:val="43675A04"/>
    <w:rsid w:val="43D877F5"/>
    <w:rsid w:val="43E10162"/>
    <w:rsid w:val="444F611F"/>
    <w:rsid w:val="44760A9D"/>
    <w:rsid w:val="44B4311E"/>
    <w:rsid w:val="44F248E6"/>
    <w:rsid w:val="45CC5137"/>
    <w:rsid w:val="45FF375F"/>
    <w:rsid w:val="46162856"/>
    <w:rsid w:val="46362EF9"/>
    <w:rsid w:val="46A20569"/>
    <w:rsid w:val="46EE732F"/>
    <w:rsid w:val="476B0980"/>
    <w:rsid w:val="47CC2624"/>
    <w:rsid w:val="48AB372A"/>
    <w:rsid w:val="48CB3DCC"/>
    <w:rsid w:val="48D27FF8"/>
    <w:rsid w:val="48D569F9"/>
    <w:rsid w:val="497A3D4B"/>
    <w:rsid w:val="498D1081"/>
    <w:rsid w:val="49AA35CE"/>
    <w:rsid w:val="4A5611F5"/>
    <w:rsid w:val="4C8B180D"/>
    <w:rsid w:val="4CA037FA"/>
    <w:rsid w:val="4D0E24D9"/>
    <w:rsid w:val="4D401909"/>
    <w:rsid w:val="4D73058E"/>
    <w:rsid w:val="4D7F33D7"/>
    <w:rsid w:val="4D820F72"/>
    <w:rsid w:val="4E546612"/>
    <w:rsid w:val="4E824F2D"/>
    <w:rsid w:val="5085694D"/>
    <w:rsid w:val="509D0B67"/>
    <w:rsid w:val="50DE21C3"/>
    <w:rsid w:val="50E33C7D"/>
    <w:rsid w:val="51172D37"/>
    <w:rsid w:val="51552685"/>
    <w:rsid w:val="51644DBE"/>
    <w:rsid w:val="523F22A3"/>
    <w:rsid w:val="524C784D"/>
    <w:rsid w:val="525E70D8"/>
    <w:rsid w:val="52685679"/>
    <w:rsid w:val="526E7374"/>
    <w:rsid w:val="52A42F98"/>
    <w:rsid w:val="52AA4A52"/>
    <w:rsid w:val="53477874"/>
    <w:rsid w:val="536D782E"/>
    <w:rsid w:val="542B1BC3"/>
    <w:rsid w:val="54B020C8"/>
    <w:rsid w:val="5524472E"/>
    <w:rsid w:val="55E262B1"/>
    <w:rsid w:val="55FA2598"/>
    <w:rsid w:val="5653294C"/>
    <w:rsid w:val="56666EE2"/>
    <w:rsid w:val="568B3E88"/>
    <w:rsid w:val="579B178C"/>
    <w:rsid w:val="58C04746"/>
    <w:rsid w:val="59194316"/>
    <w:rsid w:val="596A6026"/>
    <w:rsid w:val="599364B0"/>
    <w:rsid w:val="5A492DA3"/>
    <w:rsid w:val="5A6645C8"/>
    <w:rsid w:val="5B912A21"/>
    <w:rsid w:val="5D891708"/>
    <w:rsid w:val="5D9702C9"/>
    <w:rsid w:val="5DCC7F73"/>
    <w:rsid w:val="5E0D40E7"/>
    <w:rsid w:val="5E190CDE"/>
    <w:rsid w:val="5E7B5E08"/>
    <w:rsid w:val="5E7D74BF"/>
    <w:rsid w:val="5EC724E8"/>
    <w:rsid w:val="5F543E6A"/>
    <w:rsid w:val="5F8C6C68"/>
    <w:rsid w:val="5FB7255D"/>
    <w:rsid w:val="5FE1582B"/>
    <w:rsid w:val="5FE62E42"/>
    <w:rsid w:val="5FF34165"/>
    <w:rsid w:val="5FFC4A99"/>
    <w:rsid w:val="6078146D"/>
    <w:rsid w:val="60996056"/>
    <w:rsid w:val="61446072"/>
    <w:rsid w:val="615D1AB0"/>
    <w:rsid w:val="6185307B"/>
    <w:rsid w:val="61A43138"/>
    <w:rsid w:val="61C176C2"/>
    <w:rsid w:val="61DD1805"/>
    <w:rsid w:val="624D07DC"/>
    <w:rsid w:val="6280132C"/>
    <w:rsid w:val="63144A9E"/>
    <w:rsid w:val="631A5FB8"/>
    <w:rsid w:val="63400343"/>
    <w:rsid w:val="638D1FEC"/>
    <w:rsid w:val="65794AEE"/>
    <w:rsid w:val="65817895"/>
    <w:rsid w:val="658F0953"/>
    <w:rsid w:val="65FC33BF"/>
    <w:rsid w:val="66096397"/>
    <w:rsid w:val="665F7549"/>
    <w:rsid w:val="66A54D49"/>
    <w:rsid w:val="66AD46B9"/>
    <w:rsid w:val="66F8107D"/>
    <w:rsid w:val="673254E5"/>
    <w:rsid w:val="675C70C8"/>
    <w:rsid w:val="67980EC5"/>
    <w:rsid w:val="67B76A68"/>
    <w:rsid w:val="680D2FC5"/>
    <w:rsid w:val="69A04061"/>
    <w:rsid w:val="69D95C63"/>
    <w:rsid w:val="69DD1606"/>
    <w:rsid w:val="69E2467A"/>
    <w:rsid w:val="6A8C2674"/>
    <w:rsid w:val="6AB9187F"/>
    <w:rsid w:val="6B737C7F"/>
    <w:rsid w:val="6BD67A5C"/>
    <w:rsid w:val="6BEC4054"/>
    <w:rsid w:val="6C0542C4"/>
    <w:rsid w:val="6C1256EA"/>
    <w:rsid w:val="6C134FBF"/>
    <w:rsid w:val="6C14399B"/>
    <w:rsid w:val="6C4D779E"/>
    <w:rsid w:val="6C5D623A"/>
    <w:rsid w:val="6C8934D3"/>
    <w:rsid w:val="6DD703B2"/>
    <w:rsid w:val="6E22686A"/>
    <w:rsid w:val="6E8F4B8F"/>
    <w:rsid w:val="6EC802E2"/>
    <w:rsid w:val="6EFE3D04"/>
    <w:rsid w:val="6F776FE8"/>
    <w:rsid w:val="709938DD"/>
    <w:rsid w:val="712A6EE7"/>
    <w:rsid w:val="714F6A99"/>
    <w:rsid w:val="7185070D"/>
    <w:rsid w:val="71B6488D"/>
    <w:rsid w:val="72255A4C"/>
    <w:rsid w:val="724F1D63"/>
    <w:rsid w:val="734F56A1"/>
    <w:rsid w:val="739C6BE4"/>
    <w:rsid w:val="73B01345"/>
    <w:rsid w:val="73B726D3"/>
    <w:rsid w:val="74523DBE"/>
    <w:rsid w:val="74D379E1"/>
    <w:rsid w:val="75410DEE"/>
    <w:rsid w:val="756C46A5"/>
    <w:rsid w:val="75EF1A41"/>
    <w:rsid w:val="76624C20"/>
    <w:rsid w:val="76807428"/>
    <w:rsid w:val="76C25A93"/>
    <w:rsid w:val="76EC08E6"/>
    <w:rsid w:val="77AD62C7"/>
    <w:rsid w:val="78C379AE"/>
    <w:rsid w:val="795B332D"/>
    <w:rsid w:val="7A304B42"/>
    <w:rsid w:val="7A5213A8"/>
    <w:rsid w:val="7AD41AC7"/>
    <w:rsid w:val="7AF56BAC"/>
    <w:rsid w:val="7B486307"/>
    <w:rsid w:val="7C0A19EF"/>
    <w:rsid w:val="7C31689A"/>
    <w:rsid w:val="7C4116D4"/>
    <w:rsid w:val="7C460A98"/>
    <w:rsid w:val="7C513427"/>
    <w:rsid w:val="7C8F0691"/>
    <w:rsid w:val="7CF443A8"/>
    <w:rsid w:val="7D015BC5"/>
    <w:rsid w:val="7D79528C"/>
    <w:rsid w:val="7E0D3C64"/>
    <w:rsid w:val="7E4C610E"/>
    <w:rsid w:val="7E5F22E5"/>
    <w:rsid w:val="7F672815"/>
    <w:rsid w:val="7FAD6D9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unhideWhenUsed/>
    <w:qFormat/>
    <w:uiPriority w:val="0"/>
    <w:pPr>
      <w:keepNext/>
      <w:keepLines/>
      <w:outlineLvl w:val="1"/>
    </w:pPr>
    <w:rPr>
      <w:rFonts w:asciiTheme="majorHAnsi" w:hAnsiTheme="majorHAnsi" w:cstheme="majorBidi"/>
      <w:b/>
      <w:bCs/>
      <w:sz w:val="30"/>
      <w:szCs w:val="32"/>
      <w:lang w:eastAsia="ja-JP"/>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6">
    <w:name w:val="annotation text"/>
    <w:basedOn w:val="1"/>
    <w:link w:val="50"/>
    <w:semiHidden/>
    <w:unhideWhenUsed/>
    <w:qFormat/>
    <w:uiPriority w:val="0"/>
    <w:pPr>
      <w:jc w:val="left"/>
    </w:pPr>
  </w:style>
  <w:style w:type="paragraph" w:styleId="7">
    <w:name w:val="Body Text"/>
    <w:basedOn w:val="1"/>
    <w:next w:val="8"/>
    <w:link w:val="41"/>
    <w:qFormat/>
    <w:uiPriority w:val="0"/>
    <w:pPr>
      <w:widowControl/>
      <w:jc w:val="left"/>
    </w:pPr>
    <w:rPr>
      <w:rFonts w:eastAsia="PMingLiU"/>
      <w:kern w:val="0"/>
      <w:sz w:val="24"/>
      <w:szCs w:val="20"/>
      <w:lang w:eastAsia="en-US"/>
    </w:rPr>
  </w:style>
  <w:style w:type="paragraph" w:styleId="8">
    <w:name w:val="Body Text First Indent"/>
    <w:basedOn w:val="7"/>
    <w:next w:val="1"/>
    <w:unhideWhenUsed/>
    <w:qFormat/>
    <w:uiPriority w:val="99"/>
    <w:pPr>
      <w:ind w:firstLine="420" w:firstLineChars="100"/>
    </w:pPr>
    <w:rPr>
      <w:kern w:val="2"/>
      <w:sz w:val="21"/>
    </w:rPr>
  </w:style>
  <w:style w:type="paragraph" w:styleId="9">
    <w:name w:val="Body Text Indent"/>
    <w:basedOn w:val="1"/>
    <w:link w:val="40"/>
    <w:qFormat/>
    <w:uiPriority w:val="0"/>
    <w:pPr>
      <w:widowControl/>
      <w:ind w:left="-270" w:firstLine="270"/>
      <w:jc w:val="left"/>
    </w:pPr>
    <w:rPr>
      <w:rFonts w:eastAsia="PMingLiU"/>
      <w:kern w:val="0"/>
      <w:sz w:val="24"/>
      <w:szCs w:val="20"/>
      <w:lang w:val="en-GB" w:eastAsia="en-US"/>
    </w:rPr>
  </w:style>
  <w:style w:type="paragraph" w:styleId="10">
    <w:name w:val="toc 3"/>
    <w:basedOn w:val="1"/>
    <w:next w:val="1"/>
    <w:semiHidden/>
    <w:unhideWhenUsed/>
    <w:qFormat/>
    <w:uiPriority w:val="0"/>
    <w:pPr>
      <w:ind w:left="840" w:leftChars="400"/>
    </w:pPr>
  </w:style>
  <w:style w:type="paragraph" w:styleId="11">
    <w:name w:val="Plain Text"/>
    <w:basedOn w:val="1"/>
    <w:link w:val="38"/>
    <w:qFormat/>
    <w:uiPriority w:val="0"/>
    <w:rPr>
      <w:rFonts w:ascii="宋体" w:hAnsi="Courier New"/>
      <w:szCs w:val="20"/>
    </w:rPr>
  </w:style>
  <w:style w:type="paragraph" w:styleId="12">
    <w:name w:val="Balloon Text"/>
    <w:basedOn w:val="1"/>
    <w:semiHidden/>
    <w:qFormat/>
    <w:uiPriority w:val="0"/>
    <w:rPr>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7">
    <w:name w:val="toc 2"/>
    <w:basedOn w:val="1"/>
    <w:next w:val="1"/>
    <w:semiHidden/>
    <w:unhideWhenUsed/>
    <w:qFormat/>
    <w:uiPriority w:val="0"/>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9">
    <w:name w:val="Title"/>
    <w:basedOn w:val="1"/>
    <w:next w:val="1"/>
    <w:link w:val="56"/>
    <w:qFormat/>
    <w:uiPriority w:val="0"/>
    <w:pPr>
      <w:spacing w:before="240" w:after="60"/>
      <w:jc w:val="center"/>
      <w:outlineLvl w:val="0"/>
    </w:pPr>
    <w:rPr>
      <w:rFonts w:asciiTheme="majorHAnsi" w:hAnsiTheme="majorHAnsi" w:cstheme="majorBidi"/>
      <w:b/>
      <w:bCs/>
      <w:sz w:val="32"/>
      <w:szCs w:val="32"/>
    </w:rPr>
  </w:style>
  <w:style w:type="paragraph" w:styleId="20">
    <w:name w:val="annotation subject"/>
    <w:basedOn w:val="6"/>
    <w:next w:val="6"/>
    <w:link w:val="51"/>
    <w:semiHidden/>
    <w:unhideWhenUsed/>
    <w:qFormat/>
    <w:uiPriority w:val="0"/>
    <w:rPr>
      <w:b/>
      <w:bCs/>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qFormat/>
    <w:uiPriority w:val="20"/>
    <w:rPr>
      <w:color w:val="DD4B39"/>
    </w:rPr>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首行缩进"/>
    <w:basedOn w:val="1"/>
    <w:qFormat/>
    <w:uiPriority w:val="0"/>
    <w:pPr>
      <w:widowControl/>
      <w:tabs>
        <w:tab w:val="left" w:pos="822"/>
      </w:tabs>
      <w:snapToGrid w:val="0"/>
      <w:spacing w:before="40" w:after="40" w:line="300" w:lineRule="atLeast"/>
      <w:ind w:left="2940" w:hanging="420"/>
    </w:pPr>
    <w:rPr>
      <w:rFonts w:ascii="Arial" w:hAnsi="Arial"/>
      <w:kern w:val="0"/>
      <w:szCs w:val="20"/>
    </w:rPr>
  </w:style>
  <w:style w:type="paragraph" w:customStyle="1" w:styleId="29">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30">
    <w:name w:val="页眉 Char"/>
    <w:link w:val="14"/>
    <w:qFormat/>
    <w:uiPriority w:val="0"/>
    <w:rPr>
      <w:kern w:val="2"/>
      <w:sz w:val="18"/>
      <w:szCs w:val="18"/>
    </w:rPr>
  </w:style>
  <w:style w:type="character" w:customStyle="1" w:styleId="31">
    <w:name w:val="页脚 Char"/>
    <w:link w:val="13"/>
    <w:qFormat/>
    <w:uiPriority w:val="99"/>
    <w:rPr>
      <w:kern w:val="2"/>
      <w:sz w:val="18"/>
      <w:szCs w:val="18"/>
    </w:rPr>
  </w:style>
  <w:style w:type="paragraph" w:styleId="32">
    <w:name w:val="List Paragraph"/>
    <w:basedOn w:val="1"/>
    <w:qFormat/>
    <w:uiPriority w:val="99"/>
    <w:pPr>
      <w:ind w:firstLine="420" w:firstLineChars="200"/>
    </w:pPr>
    <w:rPr>
      <w:rFonts w:ascii="Calibri" w:hAnsi="Calibri"/>
      <w:szCs w:val="22"/>
    </w:rPr>
  </w:style>
  <w:style w:type="paragraph" w:customStyle="1" w:styleId="33">
    <w:name w:val="Char"/>
    <w:basedOn w:val="1"/>
    <w:qFormat/>
    <w:uiPriority w:val="0"/>
    <w:pPr>
      <w:spacing w:line="360" w:lineRule="auto"/>
      <w:ind w:firstLine="200" w:firstLineChars="200"/>
    </w:pPr>
    <w:rPr>
      <w:rFonts w:ascii="宋体" w:hAnsi="宋体" w:cs="宋体"/>
      <w:sz w:val="24"/>
    </w:r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apple-style-span"/>
    <w:basedOn w:val="23"/>
    <w:qFormat/>
    <w:uiPriority w:val="0"/>
  </w:style>
  <w:style w:type="paragraph" w:customStyle="1" w:styleId="36">
    <w:name w:val="列出段落1"/>
    <w:basedOn w:val="1"/>
    <w:qFormat/>
    <w:uiPriority w:val="0"/>
    <w:pPr>
      <w:ind w:firstLine="420" w:firstLineChars="200"/>
    </w:pPr>
  </w:style>
  <w:style w:type="character" w:customStyle="1" w:styleId="37">
    <w:name w:val="bumpedfont20"/>
    <w:basedOn w:val="23"/>
    <w:qFormat/>
    <w:uiPriority w:val="0"/>
  </w:style>
  <w:style w:type="character" w:customStyle="1" w:styleId="38">
    <w:name w:val="纯文本 Char"/>
    <w:link w:val="11"/>
    <w:qFormat/>
    <w:uiPriority w:val="0"/>
    <w:rPr>
      <w:rFonts w:ascii="宋体" w:hAnsi="Courier New"/>
      <w:kern w:val="2"/>
      <w:sz w:val="21"/>
    </w:rPr>
  </w:style>
  <w:style w:type="paragraph" w:styleId="39">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40">
    <w:name w:val="正文文本缩进 Char"/>
    <w:link w:val="9"/>
    <w:qFormat/>
    <w:uiPriority w:val="0"/>
    <w:rPr>
      <w:rFonts w:eastAsia="PMingLiU"/>
      <w:sz w:val="24"/>
      <w:lang w:val="en-GB" w:eastAsia="en-US"/>
    </w:rPr>
  </w:style>
  <w:style w:type="character" w:customStyle="1" w:styleId="41">
    <w:name w:val="正文文本 Char"/>
    <w:link w:val="7"/>
    <w:qFormat/>
    <w:uiPriority w:val="0"/>
    <w:rPr>
      <w:rFonts w:eastAsia="PMingLiU"/>
      <w:sz w:val="24"/>
      <w:lang w:eastAsia="en-US"/>
    </w:rPr>
  </w:style>
  <w:style w:type="character" w:customStyle="1" w:styleId="42">
    <w:name w:val="short_text"/>
    <w:qFormat/>
    <w:uiPriority w:val="0"/>
  </w:style>
  <w:style w:type="character" w:customStyle="1" w:styleId="43">
    <w:name w:val="st1"/>
    <w:qFormat/>
    <w:uiPriority w:val="0"/>
  </w:style>
  <w:style w:type="character" w:customStyle="1" w:styleId="44">
    <w:name w:val="apple-converted-space"/>
    <w:basedOn w:val="23"/>
    <w:qFormat/>
    <w:uiPriority w:val="99"/>
  </w:style>
  <w:style w:type="paragraph" w:customStyle="1" w:styleId="45">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6">
    <w:name w:val="网格型1"/>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7">
    <w:name w:val="_Style 2"/>
    <w:basedOn w:val="1"/>
    <w:qFormat/>
    <w:uiPriority w:val="34"/>
    <w:pPr>
      <w:ind w:firstLine="420" w:firstLineChars="200"/>
    </w:pPr>
  </w:style>
  <w:style w:type="character" w:customStyle="1" w:styleId="48">
    <w:name w:val="标题 1 Char"/>
    <w:basedOn w:val="23"/>
    <w:link w:val="2"/>
    <w:qFormat/>
    <w:uiPriority w:val="9"/>
    <w:rPr>
      <w:rFonts w:asciiTheme="minorHAnsi" w:hAnsiTheme="minorHAnsi" w:eastAsiaTheme="minorEastAsia" w:cstheme="minorBidi"/>
      <w:b/>
      <w:bCs/>
      <w:kern w:val="44"/>
      <w:sz w:val="44"/>
      <w:szCs w:val="44"/>
    </w:rPr>
  </w:style>
  <w:style w:type="paragraph" w:customStyle="1" w:styleId="49">
    <w:name w:val="列出段落2"/>
    <w:basedOn w:val="1"/>
    <w:qFormat/>
    <w:uiPriority w:val="0"/>
    <w:pPr>
      <w:ind w:firstLine="420" w:firstLineChars="200"/>
    </w:pPr>
    <w:rPr>
      <w:rFonts w:ascii="Calibri" w:hAnsi="Calibri"/>
      <w:szCs w:val="22"/>
    </w:rPr>
  </w:style>
  <w:style w:type="character" w:customStyle="1" w:styleId="50">
    <w:name w:val="批注文字 Char"/>
    <w:basedOn w:val="23"/>
    <w:link w:val="6"/>
    <w:semiHidden/>
    <w:qFormat/>
    <w:uiPriority w:val="0"/>
    <w:rPr>
      <w:kern w:val="2"/>
      <w:sz w:val="21"/>
      <w:szCs w:val="24"/>
    </w:rPr>
  </w:style>
  <w:style w:type="character" w:customStyle="1" w:styleId="51">
    <w:name w:val="批注主题 Char"/>
    <w:basedOn w:val="50"/>
    <w:link w:val="20"/>
    <w:semiHidden/>
    <w:qFormat/>
    <w:uiPriority w:val="0"/>
    <w:rPr>
      <w:b/>
      <w:bCs/>
      <w:kern w:val="2"/>
      <w:sz w:val="21"/>
      <w:szCs w:val="24"/>
    </w:rPr>
  </w:style>
  <w:style w:type="table" w:customStyle="1" w:styleId="52">
    <w:name w:val="网格型2"/>
    <w:basedOn w:val="2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3">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56">
    <w:name w:val="标题 Char"/>
    <w:basedOn w:val="23"/>
    <w:link w:val="19"/>
    <w:qFormat/>
    <w:uiPriority w:val="0"/>
    <w:rPr>
      <w:rFonts w:asciiTheme="majorHAnsi" w:hAnsiTheme="majorHAnsi" w:cstheme="majorBidi"/>
      <w:b/>
      <w:bCs/>
      <w:kern w:val="2"/>
      <w:sz w:val="32"/>
      <w:szCs w:val="32"/>
    </w:rPr>
  </w:style>
  <w:style w:type="paragraph" w:customStyle="1" w:styleId="57">
    <w:name w:val="Body Text Indent 31"/>
    <w:basedOn w:val="1"/>
    <w:qFormat/>
    <w:uiPriority w:val="0"/>
    <w:pPr>
      <w:spacing w:line="300" w:lineRule="auto"/>
      <w:ind w:firstLine="600"/>
    </w:pPr>
    <w:rPr>
      <w:rFonts w:ascii="仿宋_GB2312" w:eastAsia="仿宋_GB2312"/>
      <w:b/>
      <w:spacing w:val="4"/>
      <w:kern w:val="0"/>
      <w:sz w:val="28"/>
      <w:szCs w:val="20"/>
    </w:rPr>
  </w:style>
  <w:style w:type="paragraph" w:customStyle="1" w:styleId="58">
    <w:name w:val="我的正文"/>
    <w:basedOn w:val="1"/>
    <w:qFormat/>
    <w:uiPriority w:val="0"/>
    <w:pPr>
      <w:widowControl/>
      <w:adjustRightInd w:val="0"/>
      <w:snapToGrid w:val="0"/>
      <w:ind w:firstLine="200" w:firstLineChars="200"/>
      <w:jc w:val="left"/>
    </w:pPr>
    <w:rPr>
      <w:rFonts w:ascii="仿宋" w:hAnsi="仿宋" w:eastAsia="仿宋"/>
      <w:kern w:val="0"/>
      <w:sz w:val="24"/>
      <w:szCs w:val="30"/>
      <w:lang w:val="zh-CN"/>
    </w:rPr>
  </w:style>
  <w:style w:type="paragraph" w:customStyle="1" w:styleId="59">
    <w:name w:val="p1"/>
    <w:basedOn w:val="1"/>
    <w:qFormat/>
    <w:uiPriority w:val="0"/>
    <w:pPr>
      <w:jc w:val="left"/>
    </w:pPr>
    <w:rPr>
      <w:rFonts w:ascii="Helvetica" w:hAnsi="Helvetica" w:eastAsia="Helvetica"/>
      <w:kern w:val="0"/>
      <w:sz w:val="24"/>
    </w:rPr>
  </w:style>
  <w:style w:type="paragraph" w:customStyle="1" w:styleId="60">
    <w:name w:val="Table Paragraph"/>
    <w:basedOn w:val="1"/>
    <w:unhideWhenUsed/>
    <w:qFormat/>
    <w:uiPriority w:val="1"/>
    <w:rPr>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21</Pages>
  <Words>8173</Words>
  <Characters>8467</Characters>
  <Lines>60</Lines>
  <Paragraphs>16</Paragraphs>
  <TotalTime>9</TotalTime>
  <ScaleCrop>false</ScaleCrop>
  <LinksUpToDate>false</LinksUpToDate>
  <CharactersWithSpaces>8684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jolin</dc:creator>
  <cp:lastModifiedBy>周琳颖</cp:lastModifiedBy>
  <cp:lastPrinted>2026-06-25T02:12:00Z</cp:lastPrinted>
  <dcterms:modified xsi:type="dcterms:W3CDTF">2026-07-22T06:02:18Z</dcterms:modified>
  <cp:revision>670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58E5C2A9DD7A4340B35AEBFC7DE98184_13</vt:lpwstr>
  </property>
  <property fmtid="{D5CDD505-2E9C-101B-9397-08002B2CF9AE}" pid="4" name="KSOTemplateDocerSaveRecord">
    <vt:lpwstr>eyJoZGlkIjoiYTYwMmM2YTUyODc3MGZhODIyZTQ5MTVkYzcwMjY2YTQiLCJ1c2VySWQiOiIxODA2ODM5NjI4In0=</vt:lpwstr>
  </property>
</Properties>
</file>