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扫码读卡器</w:t>
      </w:r>
    </w:p>
    <w:p w14:paraId="77C7A350">
      <w:pPr>
        <w:spacing w:line="360" w:lineRule="auto"/>
        <w:jc w:val="center"/>
        <w:rPr>
          <w:rFonts w:hint="default"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CGZX-XXXM-20260730</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七</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14098997">
          <w:pPr>
            <w:pStyle w:val="15"/>
            <w:tabs>
              <w:tab w:val="right" w:leader="dot" w:pos="8306"/>
            </w:tabs>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Cs w:val="28"/>
            </w:rPr>
            <w:fldChar w:fldCharType="begin"/>
          </w:r>
          <w:r>
            <w:rPr>
              <w:rFonts w:asciiTheme="minorEastAsia" w:hAnsiTheme="minorEastAsia" w:eastAsiaTheme="minorEastAsia"/>
              <w:szCs w:val="28"/>
            </w:rPr>
            <w:instrText xml:space="preserve"> HYPERLINK \l _Toc14525 </w:instrText>
          </w:r>
          <w:r>
            <w:rPr>
              <w:rFonts w:asciiTheme="minorEastAsia" w:hAnsiTheme="minorEastAsia" w:eastAsiaTheme="minorEastAsia"/>
              <w:szCs w:val="28"/>
            </w:rPr>
            <w:fldChar w:fldCharType="separate"/>
          </w:r>
          <w:r>
            <w:rPr>
              <w:rFonts w:hint="eastAsia"/>
            </w:rPr>
            <w:t xml:space="preserve">第一章 </w:t>
          </w:r>
          <w:r>
            <w:t>采购公告</w:t>
          </w:r>
          <w:r>
            <w:tab/>
          </w:r>
          <w:r>
            <w:fldChar w:fldCharType="begin"/>
          </w:r>
          <w:r>
            <w:instrText xml:space="preserve"> PAGEREF _Toc14525 \h </w:instrText>
          </w:r>
          <w:r>
            <w:fldChar w:fldCharType="separate"/>
          </w:r>
          <w:r>
            <w:t>- 1 -</w:t>
          </w:r>
          <w:r>
            <w:fldChar w:fldCharType="end"/>
          </w:r>
          <w:r>
            <w:rPr>
              <w:rFonts w:asciiTheme="minorEastAsia" w:hAnsiTheme="minorEastAsia" w:eastAsiaTheme="minorEastAsia"/>
              <w:color w:val="auto"/>
              <w:szCs w:val="28"/>
            </w:rPr>
            <w:fldChar w:fldCharType="end"/>
          </w:r>
        </w:p>
        <w:p w14:paraId="49377228">
          <w:pPr>
            <w:pStyle w:val="15"/>
            <w:tabs>
              <w:tab w:val="right" w:leader="dot" w:pos="8306"/>
            </w:tabs>
          </w:pPr>
          <w:r>
            <w:rPr>
              <w:rFonts w:asciiTheme="minorEastAsia" w:hAnsiTheme="minorEastAsia" w:eastAsiaTheme="minorEastAsia"/>
              <w:bCs/>
              <w:color w:val="auto"/>
              <w:szCs w:val="28"/>
              <w:lang w:val="zh-CN"/>
            </w:rPr>
            <w:fldChar w:fldCharType="begin"/>
          </w:r>
          <w:r>
            <w:rPr>
              <w:rFonts w:asciiTheme="minorEastAsia" w:hAnsiTheme="minorEastAsia" w:eastAsiaTheme="minorEastAsia"/>
              <w:bCs/>
              <w:szCs w:val="28"/>
              <w:lang w:val="zh-CN"/>
            </w:rPr>
            <w:instrText xml:space="preserve"> HYPERLINK \l _Toc20383 </w:instrText>
          </w:r>
          <w:r>
            <w:rPr>
              <w:rFonts w:asciiTheme="minorEastAsia" w:hAnsiTheme="minorEastAsia" w:eastAsiaTheme="minorEastAsia"/>
              <w:bCs/>
              <w:szCs w:val="28"/>
              <w:lang w:val="zh-CN"/>
            </w:rPr>
            <w:fldChar w:fldCharType="separate"/>
          </w:r>
          <w:r>
            <w:rPr>
              <w:rFonts w:hint="eastAsia"/>
            </w:rPr>
            <w:t xml:space="preserve">第二章 </w:t>
          </w:r>
          <w:r>
            <w:t>采购内容</w:t>
          </w:r>
          <w:r>
            <w:rPr>
              <w:rFonts w:hint="eastAsia"/>
            </w:rPr>
            <w:t>及</w:t>
          </w:r>
          <w:r>
            <w:t>需求</w:t>
          </w:r>
          <w:r>
            <w:tab/>
          </w:r>
          <w:r>
            <w:fldChar w:fldCharType="begin"/>
          </w:r>
          <w:r>
            <w:instrText xml:space="preserve"> PAGEREF _Toc20383 \h </w:instrText>
          </w:r>
          <w:r>
            <w:fldChar w:fldCharType="separate"/>
          </w:r>
          <w:r>
            <w:t>- 2 -</w:t>
          </w:r>
          <w:r>
            <w:fldChar w:fldCharType="end"/>
          </w:r>
          <w:r>
            <w:rPr>
              <w:rFonts w:asciiTheme="minorEastAsia" w:hAnsiTheme="minorEastAsia" w:eastAsiaTheme="minorEastAsia"/>
              <w:bCs/>
              <w:color w:val="auto"/>
              <w:szCs w:val="28"/>
              <w:lang w:val="zh-CN"/>
            </w:rPr>
            <w:fldChar w:fldCharType="end"/>
          </w:r>
        </w:p>
        <w:p w14:paraId="68691AEF">
          <w:pPr>
            <w:pStyle w:val="15"/>
            <w:tabs>
              <w:tab w:val="right" w:leader="dot" w:pos="8306"/>
            </w:tabs>
          </w:pPr>
          <w:r>
            <w:rPr>
              <w:rFonts w:asciiTheme="minorEastAsia" w:hAnsiTheme="minorEastAsia" w:eastAsiaTheme="minorEastAsia"/>
              <w:bCs/>
              <w:color w:val="auto"/>
              <w:szCs w:val="28"/>
              <w:lang w:val="zh-CN"/>
            </w:rPr>
            <w:fldChar w:fldCharType="begin"/>
          </w:r>
          <w:r>
            <w:rPr>
              <w:rFonts w:asciiTheme="minorEastAsia" w:hAnsiTheme="minorEastAsia" w:eastAsiaTheme="minorEastAsia"/>
              <w:bCs/>
              <w:szCs w:val="28"/>
              <w:lang w:val="zh-CN"/>
            </w:rPr>
            <w:instrText xml:space="preserve"> HYPERLINK \l _Toc24092 </w:instrText>
          </w:r>
          <w:r>
            <w:rPr>
              <w:rFonts w:asciiTheme="minorEastAsia" w:hAnsiTheme="minorEastAsia" w:eastAsiaTheme="minorEastAsia"/>
              <w:bCs/>
              <w:szCs w:val="28"/>
              <w:lang w:val="zh-CN"/>
            </w:rPr>
            <w:fldChar w:fldCharType="separate"/>
          </w:r>
          <w:r>
            <w:rPr>
              <w:rFonts w:hint="eastAsia" w:eastAsia="宋体"/>
            </w:rPr>
            <w:t>第三章 评审办法</w:t>
          </w:r>
          <w:r>
            <w:tab/>
          </w:r>
          <w:r>
            <w:fldChar w:fldCharType="begin"/>
          </w:r>
          <w:r>
            <w:instrText xml:space="preserve"> PAGEREF _Toc24092 \h </w:instrText>
          </w:r>
          <w:r>
            <w:fldChar w:fldCharType="separate"/>
          </w:r>
          <w:r>
            <w:t>- 4 -</w:t>
          </w:r>
          <w:r>
            <w:fldChar w:fldCharType="end"/>
          </w:r>
          <w:r>
            <w:rPr>
              <w:rFonts w:asciiTheme="minorEastAsia" w:hAnsiTheme="minorEastAsia" w:eastAsiaTheme="minorEastAsia"/>
              <w:bCs/>
              <w:color w:val="auto"/>
              <w:szCs w:val="28"/>
              <w:lang w:val="zh-CN"/>
            </w:rPr>
            <w:fldChar w:fldCharType="end"/>
          </w:r>
        </w:p>
        <w:p w14:paraId="135878DE">
          <w:pPr>
            <w:pStyle w:val="15"/>
            <w:tabs>
              <w:tab w:val="right" w:leader="dot" w:pos="8306"/>
            </w:tabs>
          </w:pPr>
          <w:r>
            <w:rPr>
              <w:rFonts w:asciiTheme="minorEastAsia" w:hAnsiTheme="minorEastAsia" w:eastAsiaTheme="minorEastAsia"/>
              <w:bCs/>
              <w:color w:val="auto"/>
              <w:szCs w:val="28"/>
              <w:lang w:val="zh-CN"/>
            </w:rPr>
            <w:fldChar w:fldCharType="begin"/>
          </w:r>
          <w:r>
            <w:rPr>
              <w:rFonts w:asciiTheme="minorEastAsia" w:hAnsiTheme="minorEastAsia" w:eastAsiaTheme="minorEastAsia"/>
              <w:bCs/>
              <w:szCs w:val="28"/>
              <w:lang w:val="zh-CN"/>
            </w:rPr>
            <w:instrText xml:space="preserve"> HYPERLINK \l _Toc30120 </w:instrText>
          </w:r>
          <w:r>
            <w:rPr>
              <w:rFonts w:asciiTheme="minorEastAsia" w:hAnsiTheme="minorEastAsia" w:eastAsiaTheme="minorEastAsia"/>
              <w:bCs/>
              <w:szCs w:val="28"/>
              <w:lang w:val="zh-CN"/>
            </w:rPr>
            <w:fldChar w:fldCharType="separate"/>
          </w:r>
          <w:r>
            <w:rPr>
              <w:rFonts w:hint="eastAsia" w:eastAsia="宋体"/>
            </w:rPr>
            <w:t>第四章 响应文件格式</w:t>
          </w:r>
          <w:r>
            <w:tab/>
          </w:r>
          <w:r>
            <w:fldChar w:fldCharType="begin"/>
          </w:r>
          <w:r>
            <w:instrText xml:space="preserve"> PAGEREF _Toc30120 \h </w:instrText>
          </w:r>
          <w:r>
            <w:fldChar w:fldCharType="separate"/>
          </w:r>
          <w:r>
            <w:t>- 5 -</w:t>
          </w:r>
          <w:r>
            <w:fldChar w:fldCharType="end"/>
          </w:r>
          <w:r>
            <w:rPr>
              <w:rFonts w:asciiTheme="minorEastAsia" w:hAnsiTheme="minorEastAsia" w:eastAsiaTheme="minorEastAsia"/>
              <w:bCs/>
              <w:color w:val="auto"/>
              <w:szCs w:val="28"/>
              <w:lang w:val="zh-CN"/>
            </w:rPr>
            <w:fldChar w:fldCharType="end"/>
          </w:r>
        </w:p>
        <w:p w14:paraId="47509EFD">
          <w:pPr>
            <w:pStyle w:val="15"/>
            <w:tabs>
              <w:tab w:val="right" w:leader="dot" w:pos="8306"/>
            </w:tabs>
          </w:pPr>
          <w:r>
            <w:rPr>
              <w:rFonts w:asciiTheme="minorEastAsia" w:hAnsiTheme="minorEastAsia" w:eastAsiaTheme="minorEastAsia"/>
              <w:bCs/>
              <w:color w:val="auto"/>
              <w:szCs w:val="28"/>
              <w:lang w:val="zh-CN"/>
            </w:rPr>
            <w:fldChar w:fldCharType="begin"/>
          </w:r>
          <w:r>
            <w:rPr>
              <w:rFonts w:asciiTheme="minorEastAsia" w:hAnsiTheme="minorEastAsia" w:eastAsiaTheme="minorEastAsia"/>
              <w:bCs/>
              <w:szCs w:val="28"/>
              <w:lang w:val="zh-CN"/>
            </w:rPr>
            <w:instrText xml:space="preserve"> HYPERLINK \l _Toc28845 </w:instrText>
          </w:r>
          <w:r>
            <w:rPr>
              <w:rFonts w:asciiTheme="minorEastAsia" w:hAnsiTheme="minorEastAsia" w:eastAsiaTheme="minorEastAsia"/>
              <w:bCs/>
              <w:szCs w:val="28"/>
              <w:lang w:val="zh-CN"/>
            </w:rPr>
            <w:fldChar w:fldCharType="separate"/>
          </w:r>
          <w:r>
            <w:rPr>
              <w:rFonts w:hint="eastAsia" w:eastAsia="宋体"/>
            </w:rPr>
            <w:t>第五章 合同主要条款</w:t>
          </w:r>
          <w:r>
            <w:tab/>
          </w:r>
          <w:r>
            <w:fldChar w:fldCharType="begin"/>
          </w:r>
          <w:r>
            <w:instrText xml:space="preserve"> PAGEREF _Toc28845 \h </w:instrText>
          </w:r>
          <w:r>
            <w:fldChar w:fldCharType="separate"/>
          </w:r>
          <w:r>
            <w:t>- 11 -</w:t>
          </w:r>
          <w:r>
            <w:fldChar w:fldCharType="end"/>
          </w:r>
          <w:r>
            <w:rPr>
              <w:rFonts w:asciiTheme="minorEastAsia" w:hAnsiTheme="minorEastAsia" w:eastAsiaTheme="minorEastAsia"/>
              <w:bCs/>
              <w:color w:val="auto"/>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4525"/>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项目编号：CGZX-XXXM-202607</w:t>
      </w:r>
      <w:r>
        <w:rPr>
          <w:rFonts w:hint="eastAsia"/>
          <w:b/>
          <w:color w:val="auto"/>
          <w:sz w:val="24"/>
          <w:lang w:val="en-US" w:eastAsia="zh-CN"/>
        </w:rPr>
        <w:t>30</w:t>
      </w:r>
      <w:r>
        <w:rPr>
          <w:rFonts w:hint="eastAsia"/>
          <w:b/>
          <w:color w:val="auto"/>
          <w:sz w:val="24"/>
        </w:rPr>
        <w:t>）</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扫码读卡器，</w:t>
      </w:r>
      <w:r>
        <w:rPr>
          <w:rFonts w:hint="eastAsia"/>
          <w:color w:val="FF0000"/>
          <w:sz w:val="24"/>
          <w:lang w:val="en-US" w:eastAsia="zh-CN"/>
        </w:rPr>
        <w:t>数量80台</w:t>
      </w:r>
      <w:r>
        <w:rPr>
          <w:rFonts w:hint="eastAsia"/>
          <w:color w:val="FF0000"/>
          <w:sz w:val="24"/>
        </w:rPr>
        <w:t>，预算金额</w:t>
      </w:r>
      <w:r>
        <w:rPr>
          <w:rFonts w:hint="eastAsia"/>
          <w:color w:val="FF0000"/>
          <w:sz w:val="24"/>
          <w:lang w:val="en-US" w:eastAsia="zh-CN"/>
        </w:rPr>
        <w:t>5.7</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ascii="宋体" w:hAnsi="宋体" w:eastAsia="宋体" w:cs="宋体"/>
          <w:i w:val="0"/>
          <w:iCs w:val="0"/>
          <w:caps w:val="0"/>
          <w:color w:val="212121"/>
          <w:spacing w:val="0"/>
          <w:sz w:val="24"/>
          <w:szCs w:val="24"/>
          <w:shd w:val="clear" w:fill="FFFFFF"/>
        </w:rPr>
        <w:t>采购时间初步定于</w:t>
      </w:r>
      <w:r>
        <w:rPr>
          <w:rStyle w:val="24"/>
          <w:rFonts w:hint="eastAsia" w:ascii="宋体" w:hAnsi="宋体" w:eastAsia="宋体" w:cs="宋体"/>
          <w:b/>
          <w:bCs/>
          <w:i w:val="0"/>
          <w:iCs w:val="0"/>
          <w:caps w:val="0"/>
          <w:color w:val="FF0000"/>
          <w:spacing w:val="0"/>
          <w:sz w:val="24"/>
          <w:szCs w:val="24"/>
          <w:shd w:val="clear" w:fill="FFFFFF"/>
        </w:rPr>
        <w:t>2026年0</w:t>
      </w:r>
      <w:r>
        <w:rPr>
          <w:rStyle w:val="24"/>
          <w:rFonts w:hint="eastAsia" w:ascii="宋体" w:hAnsi="宋体" w:eastAsia="宋体" w:cs="宋体"/>
          <w:b/>
          <w:bCs/>
          <w:i w:val="0"/>
          <w:iCs w:val="0"/>
          <w:caps w:val="0"/>
          <w:color w:val="FF0000"/>
          <w:spacing w:val="0"/>
          <w:sz w:val="24"/>
          <w:szCs w:val="24"/>
          <w:shd w:val="clear" w:fill="FFFFFF"/>
          <w:lang w:val="en-US" w:eastAsia="zh-CN"/>
        </w:rPr>
        <w:t>8</w:t>
      </w:r>
      <w:r>
        <w:rPr>
          <w:rStyle w:val="24"/>
          <w:rFonts w:hint="eastAsia" w:ascii="宋体" w:hAnsi="宋体" w:eastAsia="宋体" w:cs="宋体"/>
          <w:b/>
          <w:bCs/>
          <w:i w:val="0"/>
          <w:iCs w:val="0"/>
          <w:caps w:val="0"/>
          <w:color w:val="FF0000"/>
          <w:spacing w:val="0"/>
          <w:sz w:val="24"/>
          <w:szCs w:val="24"/>
          <w:shd w:val="clear" w:fill="FFFFFF"/>
        </w:rPr>
        <w:t>月</w:t>
      </w:r>
      <w:r>
        <w:rPr>
          <w:rStyle w:val="24"/>
          <w:rFonts w:hint="eastAsia" w:ascii="宋体" w:hAnsi="宋体" w:cs="宋体"/>
          <w:b/>
          <w:bCs/>
          <w:i w:val="0"/>
          <w:iCs w:val="0"/>
          <w:caps w:val="0"/>
          <w:color w:val="FF0000"/>
          <w:spacing w:val="0"/>
          <w:sz w:val="24"/>
          <w:szCs w:val="24"/>
          <w:shd w:val="clear" w:fill="FFFFFF"/>
          <w:lang w:val="en-US" w:eastAsia="zh-CN"/>
        </w:rPr>
        <w:t>14</w:t>
      </w:r>
      <w:r>
        <w:rPr>
          <w:rStyle w:val="24"/>
          <w:rFonts w:hint="eastAsia" w:ascii="宋体" w:hAnsi="宋体" w:eastAsia="宋体" w:cs="宋体"/>
          <w:b/>
          <w:bCs/>
          <w:i w:val="0"/>
          <w:iCs w:val="0"/>
          <w:caps w:val="0"/>
          <w:color w:val="FF0000"/>
          <w:spacing w:val="0"/>
          <w:sz w:val="24"/>
          <w:szCs w:val="24"/>
          <w:shd w:val="clear" w:fill="FFFFFF"/>
        </w:rPr>
        <w:t>日下午14点</w:t>
      </w:r>
      <w:r>
        <w:rPr>
          <w:rFonts w:hint="eastAsia" w:ascii="宋体" w:hAnsi="宋体" w:eastAsia="宋体" w:cs="宋体"/>
          <w:i w:val="0"/>
          <w:iCs w:val="0"/>
          <w:caps w:val="0"/>
          <w:color w:val="212121"/>
          <w:spacing w:val="0"/>
          <w:sz w:val="24"/>
          <w:szCs w:val="24"/>
          <w:shd w:val="clear" w:fill="FFFFFF"/>
        </w:rPr>
        <w:t>，地点：浙江大学医学院附属妇产科医院（杭州市学士路1号）</w:t>
      </w:r>
      <w:r>
        <w:rPr>
          <w:rStyle w:val="24"/>
          <w:rFonts w:hint="eastAsia" w:ascii="宋体" w:hAnsi="宋体" w:eastAsia="宋体" w:cs="宋体"/>
          <w:b/>
          <w:bCs/>
          <w:i w:val="0"/>
          <w:iCs w:val="0"/>
          <w:caps w:val="0"/>
          <w:color w:val="FF0000"/>
          <w:spacing w:val="0"/>
          <w:sz w:val="24"/>
          <w:szCs w:val="24"/>
          <w:shd w:val="clear" w:fill="FFFFFF"/>
        </w:rPr>
        <w:t>1号楼13楼1305会议室</w:t>
      </w:r>
      <w:r>
        <w:rPr>
          <w:rStyle w:val="24"/>
          <w:rFonts w:hint="eastAsia" w:ascii="宋体" w:hAnsi="宋体" w:eastAsia="宋体" w:cs="宋体"/>
          <w:b/>
          <w:bCs/>
          <w:i w:val="0"/>
          <w:iCs w:val="0"/>
          <w:caps w:val="0"/>
          <w:color w:val="212121"/>
          <w:spacing w:val="0"/>
          <w:sz w:val="24"/>
          <w:szCs w:val="24"/>
          <w:shd w:val="clear" w:fill="FFFFFF"/>
        </w:rPr>
        <w:t>，</w:t>
      </w:r>
      <w:r>
        <w:rPr>
          <w:b/>
          <w:bCs/>
          <w:color w:val="FF0000"/>
          <w:sz w:val="24"/>
        </w:rPr>
        <w:t>报名截</w:t>
      </w:r>
      <w:r>
        <w:rPr>
          <w:b/>
          <w:color w:val="FF0000"/>
          <w:sz w:val="24"/>
        </w:rPr>
        <w:t>止</w:t>
      </w:r>
      <w:r>
        <w:rPr>
          <w:rFonts w:hint="eastAsia"/>
          <w:b/>
          <w:color w:val="FF0000"/>
          <w:sz w:val="24"/>
          <w:lang w:val="en-US" w:eastAsia="zh-CN"/>
        </w:rPr>
        <w:t>时间2026年8月6日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投标产品品牌型号等，附件提供营业执照、信用中国查询、法人代表授权委托函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r>
        <w:rPr>
          <w:rFonts w:hint="eastAsia"/>
          <w:color w:val="auto"/>
          <w:lang w:val="en-US" w:eastAsia="zh-CN"/>
        </w:rPr>
        <w:t xml:space="preserve"> </w:t>
      </w:r>
      <w:bookmarkStart w:id="1" w:name="_Toc20383"/>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4F4D310A">
      <w:pPr>
        <w:numPr>
          <w:ilvl w:val="0"/>
          <w:numId w:val="2"/>
        </w:numPr>
        <w:spacing w:line="360" w:lineRule="auto"/>
        <w:ind w:left="0" w:leftChars="0" w:firstLine="420" w:firstLineChars="0"/>
        <w:rPr>
          <w:rFonts w:hint="eastAsia"/>
          <w:b/>
          <w:bCs/>
        </w:rPr>
      </w:pPr>
      <w:r>
        <w:rPr>
          <w:rFonts w:hint="eastAsia"/>
          <w:b/>
          <w:bCs/>
        </w:rPr>
        <w:t>项目概况</w:t>
      </w:r>
    </w:p>
    <w:p w14:paraId="7BF93BC1">
      <w:pPr>
        <w:spacing w:line="360" w:lineRule="auto"/>
        <w:ind w:firstLine="424" w:firstLineChars="202"/>
      </w:pPr>
      <w:r>
        <w:rPr>
          <w:rFonts w:hint="eastAsia"/>
        </w:rPr>
        <w:t>我院拟采购</w:t>
      </w:r>
      <w:r>
        <w:rPr>
          <w:rFonts w:hint="eastAsia" w:ascii="宋体" w:hAnsi="宋体" w:cs="宋体"/>
          <w:bCs/>
          <w:iCs/>
          <w:szCs w:val="21"/>
        </w:rPr>
        <w:t>扫码读卡器</w:t>
      </w:r>
      <w:r>
        <w:rPr>
          <w:rFonts w:hint="eastAsia"/>
        </w:rPr>
        <w:t>，用于</w:t>
      </w:r>
      <w:r>
        <w:rPr>
          <w:rFonts w:hint="eastAsia"/>
          <w:lang w:val="en-US" w:eastAsia="zh-CN"/>
        </w:rPr>
        <w:t>全院区，主要涉及</w:t>
      </w:r>
      <w:r>
        <w:rPr>
          <w:rFonts w:hint="eastAsia"/>
        </w:rPr>
        <w:t>所有医生办公桌面，综合服务中心，门诊护士台读卡和医保结算。</w:t>
      </w:r>
    </w:p>
    <w:p w14:paraId="36BF4531">
      <w:pPr>
        <w:numPr>
          <w:ilvl w:val="0"/>
          <w:numId w:val="2"/>
        </w:numPr>
        <w:spacing w:line="360" w:lineRule="auto"/>
        <w:ind w:left="0" w:leftChars="0" w:firstLine="420" w:firstLineChars="0"/>
        <w:rPr>
          <w:rFonts w:hint="eastAsia"/>
          <w:b/>
          <w:bCs/>
          <w:lang w:val="en-US" w:eastAsia="zh-CN"/>
        </w:rPr>
      </w:pPr>
      <w:r>
        <w:rPr>
          <w:rFonts w:hint="eastAsia"/>
          <w:b/>
          <w:bCs/>
          <w:lang w:val="en-US" w:eastAsia="zh-CN"/>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2213"/>
        <w:gridCol w:w="2602"/>
        <w:gridCol w:w="2602"/>
      </w:tblGrid>
      <w:tr w14:paraId="5981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B42F8F0">
            <w:pPr>
              <w:spacing w:line="440" w:lineRule="exact"/>
              <w:jc w:val="center"/>
              <w:rPr>
                <w:rFonts w:ascii="宋体" w:hAnsi="宋体" w:cs="宋体"/>
                <w:b/>
                <w:bCs/>
                <w:szCs w:val="21"/>
              </w:rPr>
            </w:pPr>
            <w:r>
              <w:rPr>
                <w:rFonts w:hint="eastAsia" w:ascii="宋体" w:hAnsi="宋体" w:cs="宋体"/>
                <w:b/>
                <w:bCs/>
                <w:szCs w:val="21"/>
              </w:rPr>
              <w:t>序号</w:t>
            </w:r>
          </w:p>
        </w:tc>
        <w:tc>
          <w:tcPr>
            <w:tcW w:w="1298" w:type="pct"/>
            <w:vAlign w:val="center"/>
          </w:tcPr>
          <w:p w14:paraId="56C60500">
            <w:pPr>
              <w:spacing w:line="440" w:lineRule="exact"/>
              <w:jc w:val="center"/>
              <w:rPr>
                <w:rFonts w:ascii="宋体" w:hAnsi="宋体" w:cs="宋体"/>
                <w:b/>
                <w:bCs/>
                <w:szCs w:val="21"/>
              </w:rPr>
            </w:pPr>
            <w:r>
              <w:rPr>
                <w:rFonts w:hint="eastAsia" w:ascii="宋体" w:hAnsi="宋体" w:cs="宋体"/>
                <w:b/>
                <w:bCs/>
                <w:szCs w:val="21"/>
              </w:rPr>
              <w:t>内容</w:t>
            </w:r>
          </w:p>
        </w:tc>
        <w:tc>
          <w:tcPr>
            <w:tcW w:w="1525" w:type="pct"/>
            <w:vAlign w:val="center"/>
          </w:tcPr>
          <w:p w14:paraId="08733BF7">
            <w:pPr>
              <w:spacing w:line="440" w:lineRule="exact"/>
              <w:jc w:val="center"/>
              <w:rPr>
                <w:rFonts w:ascii="宋体" w:hAnsi="宋体" w:cs="宋体"/>
                <w:b/>
                <w:bCs/>
                <w:szCs w:val="21"/>
              </w:rPr>
            </w:pPr>
            <w:r>
              <w:rPr>
                <w:rFonts w:hint="eastAsia" w:ascii="宋体" w:hAnsi="宋体" w:cs="宋体"/>
                <w:b/>
                <w:bCs/>
                <w:szCs w:val="21"/>
              </w:rPr>
              <w:t>数量</w:t>
            </w:r>
          </w:p>
        </w:tc>
        <w:tc>
          <w:tcPr>
            <w:tcW w:w="1526" w:type="pct"/>
            <w:vAlign w:val="center"/>
          </w:tcPr>
          <w:p w14:paraId="5AA63234">
            <w:pPr>
              <w:spacing w:line="440" w:lineRule="exact"/>
              <w:jc w:val="center"/>
              <w:rPr>
                <w:rFonts w:ascii="宋体" w:hAnsi="宋体" w:cs="宋体"/>
                <w:b/>
                <w:bCs/>
                <w:szCs w:val="21"/>
              </w:rPr>
            </w:pPr>
            <w:r>
              <w:rPr>
                <w:rFonts w:hint="eastAsia" w:ascii="宋体" w:hAnsi="宋体" w:cs="宋体"/>
                <w:b/>
                <w:bCs/>
                <w:szCs w:val="21"/>
              </w:rPr>
              <w:t>预算</w:t>
            </w:r>
          </w:p>
        </w:tc>
      </w:tr>
      <w:tr w14:paraId="5EF9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9" w:type="pct"/>
            <w:vAlign w:val="center"/>
          </w:tcPr>
          <w:p w14:paraId="52663440">
            <w:pPr>
              <w:spacing w:line="440" w:lineRule="exact"/>
              <w:jc w:val="center"/>
              <w:rPr>
                <w:rFonts w:ascii="宋体" w:hAnsi="宋体" w:cs="宋体"/>
                <w:szCs w:val="21"/>
              </w:rPr>
            </w:pPr>
            <w:r>
              <w:rPr>
                <w:rFonts w:hint="eastAsia" w:ascii="宋体" w:hAnsi="宋体" w:cs="宋体"/>
                <w:kern w:val="0"/>
                <w:szCs w:val="21"/>
              </w:rPr>
              <w:t>1</w:t>
            </w:r>
          </w:p>
        </w:tc>
        <w:tc>
          <w:tcPr>
            <w:tcW w:w="1298" w:type="pct"/>
            <w:vAlign w:val="center"/>
          </w:tcPr>
          <w:p w14:paraId="3B24ED4A">
            <w:pPr>
              <w:widowControl/>
              <w:spacing w:line="440" w:lineRule="exact"/>
              <w:rPr>
                <w:rFonts w:ascii="宋体" w:hAnsi="宋体" w:cs="宋体"/>
                <w:bCs/>
                <w:iCs/>
                <w:szCs w:val="21"/>
              </w:rPr>
            </w:pPr>
            <w:r>
              <w:rPr>
                <w:rFonts w:hint="eastAsia" w:ascii="宋体" w:hAnsi="宋体" w:cs="宋体"/>
                <w:bCs/>
                <w:iCs/>
                <w:color w:val="auto"/>
                <w:szCs w:val="21"/>
              </w:rPr>
              <w:t>扫码读卡器</w:t>
            </w:r>
          </w:p>
        </w:tc>
        <w:tc>
          <w:tcPr>
            <w:tcW w:w="1526" w:type="pct"/>
            <w:vAlign w:val="center"/>
          </w:tcPr>
          <w:p w14:paraId="679919AC">
            <w:pPr>
              <w:spacing w:line="440" w:lineRule="exact"/>
              <w:jc w:val="center"/>
              <w:rPr>
                <w:rFonts w:ascii="宋体" w:hAnsi="宋体" w:cs="宋体"/>
                <w:bCs/>
                <w:iCs/>
                <w:szCs w:val="21"/>
              </w:rPr>
            </w:pPr>
            <w:r>
              <w:rPr>
                <w:rStyle w:val="61"/>
                <w:rFonts w:hint="eastAsia" w:ascii="宋体" w:hAnsi="宋体" w:eastAsia="等线" w:cs="宋体"/>
                <w:bCs/>
                <w:iCs/>
                <w:color w:val="auto"/>
                <w:sz w:val="21"/>
                <w:szCs w:val="21"/>
                <w:lang w:val="en-US" w:eastAsia="zh-CN"/>
              </w:rPr>
              <w:t>8</w:t>
            </w:r>
            <w:r>
              <w:rPr>
                <w:rStyle w:val="61"/>
                <w:rFonts w:hint="default" w:ascii="宋体" w:hAnsi="宋体" w:cs="宋体"/>
                <w:bCs/>
                <w:iCs/>
                <w:color w:val="auto"/>
                <w:sz w:val="21"/>
                <w:szCs w:val="21"/>
              </w:rPr>
              <w:t>0</w:t>
            </w:r>
            <w:r>
              <w:rPr>
                <w:rStyle w:val="61"/>
                <w:rFonts w:ascii="宋体" w:hAnsi="宋体" w:cs="宋体"/>
                <w:bCs/>
                <w:iCs/>
                <w:color w:val="auto"/>
                <w:sz w:val="21"/>
                <w:szCs w:val="21"/>
              </w:rPr>
              <w:t>台</w:t>
            </w:r>
          </w:p>
        </w:tc>
        <w:tc>
          <w:tcPr>
            <w:tcW w:w="1526" w:type="pct"/>
            <w:vAlign w:val="center"/>
          </w:tcPr>
          <w:p w14:paraId="37AF4F55">
            <w:pPr>
              <w:spacing w:line="440" w:lineRule="exact"/>
              <w:jc w:val="center"/>
              <w:rPr>
                <w:rStyle w:val="61"/>
                <w:rFonts w:hint="default" w:ascii="宋体" w:hAnsi="宋体" w:eastAsia="宋体" w:cs="宋体"/>
                <w:bCs/>
                <w:iCs/>
                <w:color w:val="auto"/>
                <w:sz w:val="21"/>
                <w:szCs w:val="21"/>
              </w:rPr>
            </w:pPr>
            <w:r>
              <w:rPr>
                <w:rStyle w:val="61"/>
                <w:rFonts w:hint="eastAsia" w:ascii="宋体" w:hAnsi="宋体" w:eastAsia="等线" w:cs="宋体"/>
                <w:bCs/>
                <w:iCs/>
                <w:color w:val="auto"/>
                <w:sz w:val="21"/>
                <w:szCs w:val="21"/>
                <w:lang w:val="en-US" w:eastAsia="zh-CN"/>
              </w:rPr>
              <w:t>57</w:t>
            </w:r>
            <w:r>
              <w:rPr>
                <w:rStyle w:val="61"/>
                <w:rFonts w:hint="default" w:ascii="宋体" w:hAnsi="宋体" w:cs="宋体"/>
                <w:bCs/>
                <w:iCs/>
                <w:color w:val="auto"/>
                <w:sz w:val="21"/>
                <w:szCs w:val="21"/>
              </w:rPr>
              <w:t>000</w:t>
            </w:r>
            <w:r>
              <w:rPr>
                <w:rStyle w:val="61"/>
                <w:rFonts w:ascii="宋体" w:hAnsi="宋体" w:cs="宋体"/>
                <w:bCs/>
                <w:iCs/>
                <w:color w:val="auto"/>
                <w:sz w:val="21"/>
                <w:szCs w:val="21"/>
              </w:rPr>
              <w:t>元</w:t>
            </w:r>
          </w:p>
        </w:tc>
      </w:tr>
    </w:tbl>
    <w:p w14:paraId="7E7F8D46">
      <w:pPr>
        <w:numPr>
          <w:ilvl w:val="0"/>
          <w:numId w:val="2"/>
        </w:numPr>
        <w:spacing w:line="360" w:lineRule="auto"/>
        <w:ind w:left="0" w:leftChars="0" w:firstLine="420" w:firstLineChars="0"/>
        <w:rPr>
          <w:rFonts w:hint="eastAsia"/>
          <w:b/>
          <w:bCs/>
        </w:rPr>
      </w:pPr>
      <w:r>
        <w:rPr>
          <w:rFonts w:hint="eastAsia"/>
          <w:b/>
          <w:bCs/>
        </w:rPr>
        <w:t>技术规格要求</w:t>
      </w:r>
      <w:r>
        <w:rPr>
          <w:rFonts w:hint="eastAsia"/>
          <w:b/>
          <w:bCs/>
          <w:lang w:eastAsia="zh-CN"/>
        </w:rPr>
        <w:t>。</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7380"/>
      </w:tblGrid>
      <w:tr w14:paraId="2150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vAlign w:val="center"/>
          </w:tcPr>
          <w:p w14:paraId="52AE5B26">
            <w:pPr>
              <w:spacing w:line="440" w:lineRule="exact"/>
              <w:jc w:val="center"/>
              <w:rPr>
                <w:rFonts w:ascii="宋体" w:hAnsi="宋体" w:cs="宋体"/>
                <w:b/>
                <w:bCs/>
                <w:szCs w:val="21"/>
              </w:rPr>
            </w:pPr>
            <w:r>
              <w:rPr>
                <w:rFonts w:hint="eastAsia" w:ascii="宋体" w:hAnsi="宋体" w:cs="宋体"/>
                <w:b/>
                <w:bCs/>
                <w:szCs w:val="21"/>
              </w:rPr>
              <w:t>序号</w:t>
            </w:r>
          </w:p>
        </w:tc>
        <w:tc>
          <w:tcPr>
            <w:tcW w:w="4329" w:type="pct"/>
            <w:vAlign w:val="center"/>
          </w:tcPr>
          <w:p w14:paraId="394136B9">
            <w:pPr>
              <w:spacing w:line="440" w:lineRule="exact"/>
              <w:jc w:val="center"/>
              <w:rPr>
                <w:rFonts w:ascii="宋体" w:hAnsi="宋体" w:cs="宋体"/>
                <w:b/>
                <w:bCs/>
                <w:szCs w:val="21"/>
              </w:rPr>
            </w:pPr>
            <w:r>
              <w:rPr>
                <w:rFonts w:hint="eastAsia" w:ascii="宋体" w:hAnsi="宋体" w:cs="宋体"/>
                <w:b/>
                <w:bCs/>
                <w:szCs w:val="21"/>
              </w:rPr>
              <w:t>功能与技术说明</w:t>
            </w:r>
          </w:p>
        </w:tc>
      </w:tr>
      <w:tr w14:paraId="23F7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5AFAD6E2">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1</w:t>
            </w:r>
          </w:p>
        </w:tc>
        <w:tc>
          <w:tcPr>
            <w:tcW w:w="4329" w:type="pct"/>
            <w:shd w:val="clear" w:color="auto" w:fill="auto"/>
            <w:vAlign w:val="center"/>
          </w:tcPr>
          <w:p w14:paraId="22C6A59F">
            <w:pPr>
              <w:pStyle w:val="32"/>
              <w:widowControl/>
              <w:adjustRightInd w:val="0"/>
              <w:spacing w:before="100" w:beforeAutospacing="1" w:after="100" w:afterAutospacing="1" w:line="320" w:lineRule="exact"/>
              <w:ind w:left="780" w:firstLine="0" w:firstLineChars="0"/>
              <w:jc w:val="left"/>
              <w:rPr>
                <w:rFonts w:ascii="等线" w:hAnsi="等线" w:eastAsia="等线" w:cs="等线"/>
                <w:kern w:val="0"/>
                <w:sz w:val="18"/>
                <w:szCs w:val="18"/>
              </w:rPr>
            </w:pPr>
            <w:r>
              <w:rPr>
                <w:rFonts w:hint="eastAsia" w:ascii="等线" w:hAnsi="等线" w:eastAsia="等线" w:cs="等线"/>
                <w:kern w:val="0"/>
                <w:sz w:val="18"/>
                <w:szCs w:val="18"/>
              </w:rPr>
              <w:t>★技术规格要求支持电子医保凭证，付款码，结算码及本院现有使用的一维码、二维码和自定义条码；</w:t>
            </w:r>
          </w:p>
        </w:tc>
      </w:tr>
      <w:tr w14:paraId="5898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65E907F1">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2</w:t>
            </w:r>
          </w:p>
        </w:tc>
        <w:tc>
          <w:tcPr>
            <w:tcW w:w="4329" w:type="pct"/>
            <w:shd w:val="clear" w:color="auto" w:fill="auto"/>
            <w:vAlign w:val="center"/>
          </w:tcPr>
          <w:p w14:paraId="64EA60EC">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扫描屏幕/纸质条码</w:t>
            </w:r>
          </w:p>
        </w:tc>
      </w:tr>
      <w:tr w14:paraId="1784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0D7B717A">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3</w:t>
            </w:r>
          </w:p>
        </w:tc>
        <w:tc>
          <w:tcPr>
            <w:tcW w:w="4329" w:type="pct"/>
            <w:shd w:val="clear" w:color="auto" w:fill="auto"/>
            <w:vAlign w:val="center"/>
          </w:tcPr>
          <w:p w14:paraId="73735B14">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w:t>
            </w:r>
            <w:r>
              <w:rPr>
                <w:rFonts w:ascii="等线" w:hAnsi="等线" w:eastAsia="等线" w:cs="等线"/>
                <w:kern w:val="0"/>
                <w:sz w:val="18"/>
                <w:szCs w:val="18"/>
              </w:rPr>
              <w:t>可</w:t>
            </w:r>
            <w:r>
              <w:rPr>
                <w:rFonts w:hint="eastAsia" w:ascii="等线" w:hAnsi="等线" w:eastAsia="等线" w:cs="等线"/>
                <w:kern w:val="0"/>
                <w:sz w:val="18"/>
                <w:szCs w:val="18"/>
              </w:rPr>
              <w:t>支持实体医保卡，</w:t>
            </w:r>
            <w:r>
              <w:rPr>
                <w:rFonts w:ascii="等线" w:hAnsi="等线" w:eastAsia="等线" w:cs="等线"/>
                <w:kern w:val="0"/>
                <w:sz w:val="18"/>
                <w:szCs w:val="18"/>
              </w:rPr>
              <w:t>社保卡、</w:t>
            </w:r>
            <w:r>
              <w:rPr>
                <w:rFonts w:hint="eastAsia" w:ascii="等线" w:hAnsi="等线" w:eastAsia="等线" w:cs="等线"/>
                <w:kern w:val="0"/>
                <w:sz w:val="18"/>
                <w:szCs w:val="18"/>
              </w:rPr>
              <w:t>市民</w:t>
            </w:r>
            <w:r>
              <w:rPr>
                <w:rFonts w:ascii="等线" w:hAnsi="等线" w:eastAsia="等线" w:cs="等线"/>
                <w:kern w:val="0"/>
                <w:sz w:val="18"/>
                <w:szCs w:val="18"/>
              </w:rPr>
              <w:t>卡、</w:t>
            </w:r>
            <w:r>
              <w:rPr>
                <w:rFonts w:hint="eastAsia" w:ascii="等线" w:hAnsi="等线" w:eastAsia="等线" w:cs="等线"/>
                <w:kern w:val="0"/>
                <w:sz w:val="18"/>
                <w:szCs w:val="18"/>
              </w:rPr>
              <w:t>院内门诊卡。</w:t>
            </w:r>
          </w:p>
        </w:tc>
      </w:tr>
      <w:tr w14:paraId="23D2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4673475B">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4</w:t>
            </w:r>
          </w:p>
        </w:tc>
        <w:tc>
          <w:tcPr>
            <w:tcW w:w="4329" w:type="pct"/>
            <w:shd w:val="clear" w:color="auto" w:fill="auto"/>
            <w:vAlign w:val="center"/>
          </w:tcPr>
          <w:p w14:paraId="56FDEEEA">
            <w:pPr>
              <w:widowControl/>
              <w:adjustRightInd w:val="0"/>
              <w:spacing w:before="100" w:beforeAutospacing="1" w:after="100" w:afterAutospacing="1" w:line="320" w:lineRule="exact"/>
              <w:ind w:left="780"/>
              <w:jc w:val="left"/>
              <w:rPr>
                <w:rFonts w:ascii="等线" w:hAnsi="等线" w:eastAsia="等线" w:cs="等线"/>
                <w:kern w:val="0"/>
                <w:sz w:val="18"/>
                <w:szCs w:val="18"/>
              </w:rPr>
            </w:pPr>
            <w:r>
              <w:rPr>
                <w:rFonts w:ascii="等线" w:hAnsi="等线" w:eastAsia="等线" w:cs="等线"/>
                <w:kern w:val="0"/>
                <w:sz w:val="18"/>
                <w:szCs w:val="18"/>
              </w:rPr>
              <w:t>支持应用程序扩展，充分满足</w:t>
            </w:r>
            <w:r>
              <w:rPr>
                <w:rFonts w:hint="eastAsia" w:ascii="等线" w:hAnsi="等线" w:eastAsia="等线" w:cs="等线"/>
                <w:kern w:val="0"/>
                <w:sz w:val="18"/>
                <w:szCs w:val="18"/>
              </w:rPr>
              <w:t>本院现有</w:t>
            </w:r>
            <w:r>
              <w:rPr>
                <w:rFonts w:ascii="等线" w:hAnsi="等线" w:eastAsia="等线" w:cs="等线"/>
                <w:kern w:val="0"/>
                <w:sz w:val="18"/>
                <w:szCs w:val="18"/>
              </w:rPr>
              <w:t>应用需求</w:t>
            </w:r>
            <w:r>
              <w:rPr>
                <w:rFonts w:hint="eastAsia" w:ascii="等线" w:hAnsi="等线" w:eastAsia="等线" w:cs="等线"/>
                <w:kern w:val="0"/>
                <w:sz w:val="18"/>
                <w:szCs w:val="18"/>
              </w:rPr>
              <w:t>，</w:t>
            </w:r>
            <w:r>
              <w:rPr>
                <w:rFonts w:ascii="等线" w:hAnsi="等线" w:eastAsia="等线" w:cs="等线"/>
                <w:kern w:val="0"/>
                <w:sz w:val="18"/>
                <w:szCs w:val="18"/>
              </w:rPr>
              <w:t>提供USB或RS232接口等多种接口类型，适用度更为广泛</w:t>
            </w:r>
          </w:p>
        </w:tc>
      </w:tr>
      <w:tr w14:paraId="4BD9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42C2259C">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5</w:t>
            </w:r>
          </w:p>
        </w:tc>
        <w:tc>
          <w:tcPr>
            <w:tcW w:w="4329" w:type="pct"/>
            <w:shd w:val="clear" w:color="auto" w:fill="auto"/>
            <w:vAlign w:val="center"/>
          </w:tcPr>
          <w:p w14:paraId="76214358">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数据传输使用商用加密，安全可靠，设计精良，防撞耐摔，防护等级高</w:t>
            </w:r>
          </w:p>
        </w:tc>
      </w:tr>
      <w:tr w14:paraId="57E9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19931836">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6</w:t>
            </w:r>
          </w:p>
        </w:tc>
        <w:tc>
          <w:tcPr>
            <w:tcW w:w="4329" w:type="pct"/>
            <w:shd w:val="clear" w:color="auto" w:fill="auto"/>
            <w:vAlign w:val="center"/>
          </w:tcPr>
          <w:p w14:paraId="65152643">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声音提示,灯光</w:t>
            </w:r>
            <w:r>
              <w:rPr>
                <w:rFonts w:ascii="等线" w:hAnsi="等线" w:eastAsia="等线" w:cs="等线"/>
                <w:kern w:val="0"/>
                <w:sz w:val="18"/>
                <w:szCs w:val="18"/>
              </w:rPr>
              <w:t>提示</w:t>
            </w:r>
          </w:p>
        </w:tc>
      </w:tr>
      <w:tr w14:paraId="4724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6F1C8757">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7</w:t>
            </w:r>
          </w:p>
        </w:tc>
        <w:tc>
          <w:tcPr>
            <w:tcW w:w="4329" w:type="pct"/>
            <w:shd w:val="clear" w:color="auto" w:fill="auto"/>
            <w:vAlign w:val="center"/>
          </w:tcPr>
          <w:p w14:paraId="4864BFA0">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★支持浙江智慧医疗系统。能支持本院现有使用系统,支持信创适配，支持商用加密，有社保卡读卡应用软件配套支持，有杭州市民卡密钥授权</w:t>
            </w:r>
          </w:p>
        </w:tc>
      </w:tr>
      <w:tr w14:paraId="1644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68EDAA37">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8</w:t>
            </w:r>
          </w:p>
        </w:tc>
        <w:tc>
          <w:tcPr>
            <w:tcW w:w="4329" w:type="pct"/>
            <w:shd w:val="clear" w:color="auto" w:fill="auto"/>
            <w:vAlign w:val="center"/>
          </w:tcPr>
          <w:p w14:paraId="1C737024">
            <w:pPr>
              <w:widowControl/>
              <w:jc w:val="center"/>
              <w:textAlignment w:val="center"/>
              <w:rPr>
                <w:rFonts w:ascii="等线" w:hAnsi="等线" w:eastAsia="等线" w:cs="等线"/>
                <w:kern w:val="0"/>
                <w:sz w:val="18"/>
                <w:szCs w:val="18"/>
              </w:rPr>
            </w:pPr>
            <w:r>
              <w:rPr>
                <w:rFonts w:hint="eastAsia" w:ascii="等线" w:hAnsi="等线" w:eastAsia="等线" w:cs="等线"/>
                <w:kern w:val="0"/>
                <w:sz w:val="18"/>
                <w:szCs w:val="18"/>
              </w:rPr>
              <w:t>USB连接线长度≥1.8M</w:t>
            </w:r>
          </w:p>
        </w:tc>
      </w:tr>
      <w:tr w14:paraId="3DAC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pct"/>
            <w:shd w:val="clear" w:color="auto" w:fill="auto"/>
            <w:vAlign w:val="center"/>
          </w:tcPr>
          <w:p w14:paraId="138F6EC9">
            <w:pPr>
              <w:widowControl/>
              <w:jc w:val="center"/>
              <w:textAlignment w:val="center"/>
              <w:rPr>
                <w:rFonts w:ascii="等线" w:hAnsi="等线" w:eastAsia="等线" w:cs="等线"/>
                <w:color w:val="000000"/>
                <w:sz w:val="18"/>
                <w:szCs w:val="18"/>
              </w:rPr>
            </w:pPr>
            <w:r>
              <w:rPr>
                <w:rFonts w:hint="eastAsia" w:ascii="等线" w:hAnsi="等线" w:eastAsia="等线" w:cs="等线"/>
                <w:color w:val="000000"/>
                <w:sz w:val="18"/>
                <w:szCs w:val="18"/>
              </w:rPr>
              <w:t>9</w:t>
            </w:r>
          </w:p>
        </w:tc>
        <w:tc>
          <w:tcPr>
            <w:tcW w:w="4329" w:type="pct"/>
            <w:shd w:val="clear" w:color="auto" w:fill="auto"/>
            <w:vAlign w:val="center"/>
          </w:tcPr>
          <w:p w14:paraId="30E6DD8B">
            <w:pPr>
              <w:widowControl/>
              <w:jc w:val="center"/>
              <w:textAlignment w:val="center"/>
              <w:rPr>
                <w:rFonts w:ascii="等线" w:hAnsi="等线" w:eastAsia="等线" w:cs="等线"/>
                <w:color w:val="000000"/>
                <w:sz w:val="18"/>
                <w:szCs w:val="18"/>
              </w:rPr>
            </w:pPr>
            <w:r>
              <w:rPr>
                <w:rFonts w:hint="eastAsia" w:ascii="等线" w:hAnsi="等线" w:eastAsia="等线" w:cs="等线"/>
                <w:kern w:val="0"/>
                <w:sz w:val="18"/>
                <w:szCs w:val="18"/>
              </w:rPr>
              <w:t>有信创适配证书，有社保卡读卡应用软件专利，国密证书</w:t>
            </w:r>
          </w:p>
        </w:tc>
      </w:tr>
    </w:tbl>
    <w:p w14:paraId="46550205">
      <w:pPr>
        <w:numPr>
          <w:ilvl w:val="0"/>
          <w:numId w:val="0"/>
        </w:numPr>
        <w:spacing w:line="360" w:lineRule="auto"/>
        <w:rPr>
          <w:rFonts w:hAnsi="宋体" w:cs="宋体"/>
          <w:sz w:val="21"/>
          <w:szCs w:val="21"/>
        </w:rPr>
      </w:pPr>
    </w:p>
    <w:p w14:paraId="4B4A8F09">
      <w:pPr>
        <w:numPr>
          <w:ilvl w:val="0"/>
          <w:numId w:val="2"/>
        </w:numPr>
        <w:spacing w:line="360" w:lineRule="auto"/>
        <w:ind w:left="0" w:leftChars="0" w:firstLine="420" w:firstLineChars="0"/>
        <w:rPr>
          <w:rFonts w:hint="eastAsia"/>
          <w:b/>
          <w:bCs/>
        </w:rPr>
      </w:pPr>
      <w:r>
        <w:rPr>
          <w:rFonts w:hint="eastAsia"/>
          <w:b/>
          <w:bCs/>
          <w:lang w:eastAsia="zh-CN"/>
        </w:rPr>
        <w:t>▲国产化要求</w:t>
      </w:r>
    </w:p>
    <w:p w14:paraId="634752E9">
      <w:r>
        <w:rPr>
          <w:rFonts w:hint="eastAsia" w:ascii="宋体" w:hAnsi="宋体" w:cs="宋体"/>
          <w:szCs w:val="21"/>
        </w:rPr>
        <w:t>本次招标不允许采购进口产品，参选产品需满足国产化要求：</w:t>
      </w:r>
      <w:r>
        <w:rPr>
          <w:rFonts w:hint="eastAsia" w:ascii="宋体" w:hAnsi="宋体" w:cs="宋体"/>
          <w:bCs/>
          <w:szCs w:val="21"/>
        </w:rPr>
        <w:t>芯片，主板，核心技术国产，产品生产地为国内。▲为必要条件。</w:t>
      </w:r>
    </w:p>
    <w:p w14:paraId="30D65554">
      <w:pPr>
        <w:numPr>
          <w:ilvl w:val="0"/>
          <w:numId w:val="2"/>
        </w:numPr>
        <w:spacing w:line="360" w:lineRule="auto"/>
        <w:ind w:left="0" w:leftChars="0" w:firstLine="420" w:firstLineChars="0"/>
        <w:rPr>
          <w:rFonts w:hint="eastAsia"/>
          <w:b/>
          <w:bCs/>
        </w:rPr>
      </w:pPr>
      <w:r>
        <w:rPr>
          <w:rFonts w:hint="eastAsia"/>
          <w:b/>
          <w:bCs/>
        </w:rPr>
        <w:t>商务要求</w:t>
      </w:r>
    </w:p>
    <w:tbl>
      <w:tblPr>
        <w:tblStyle w:val="22"/>
        <w:tblW w:w="9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121"/>
        <w:gridCol w:w="7425"/>
      </w:tblGrid>
      <w:tr w14:paraId="0E99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49A3A2E7">
            <w:pPr>
              <w:spacing w:line="360" w:lineRule="auto"/>
              <w:rPr>
                <w:color w:val="000000"/>
              </w:rPr>
            </w:pPr>
            <w:r>
              <w:rPr>
                <w:rFonts w:hint="eastAsia"/>
                <w:color w:val="000000"/>
              </w:rPr>
              <w:t>序号</w:t>
            </w:r>
          </w:p>
        </w:tc>
        <w:tc>
          <w:tcPr>
            <w:tcW w:w="1121" w:type="dxa"/>
            <w:tcBorders>
              <w:tl2br w:val="nil"/>
              <w:tr2bl w:val="nil"/>
            </w:tcBorders>
            <w:noWrap/>
            <w:vAlign w:val="center"/>
          </w:tcPr>
          <w:p w14:paraId="7EE9CDED">
            <w:pPr>
              <w:spacing w:line="360" w:lineRule="auto"/>
              <w:rPr>
                <w:rFonts w:ascii="宋体" w:hAnsi="宋体"/>
                <w:color w:val="000000"/>
                <w:kern w:val="0"/>
                <w:szCs w:val="21"/>
              </w:rPr>
            </w:pPr>
            <w:r>
              <w:rPr>
                <w:rFonts w:hint="eastAsia" w:ascii="宋体" w:hAnsi="宋体"/>
                <w:color w:val="000000"/>
                <w:kern w:val="0"/>
                <w:szCs w:val="21"/>
              </w:rPr>
              <w:t>内容</w:t>
            </w:r>
          </w:p>
        </w:tc>
        <w:tc>
          <w:tcPr>
            <w:tcW w:w="7425" w:type="dxa"/>
            <w:tcBorders>
              <w:tl2br w:val="nil"/>
              <w:tr2bl w:val="nil"/>
            </w:tcBorders>
            <w:noWrap/>
            <w:vAlign w:val="center"/>
          </w:tcPr>
          <w:p w14:paraId="443F26FF">
            <w:pPr>
              <w:spacing w:line="360" w:lineRule="auto"/>
              <w:rPr>
                <w:rFonts w:ascii="宋体" w:hAnsi="宋体"/>
                <w:color w:val="000000"/>
                <w:kern w:val="0"/>
                <w:szCs w:val="21"/>
              </w:rPr>
            </w:pPr>
            <w:r>
              <w:rPr>
                <w:rFonts w:hint="eastAsia" w:ascii="宋体" w:hAnsi="宋体"/>
                <w:color w:val="000000"/>
                <w:kern w:val="0"/>
                <w:szCs w:val="21"/>
              </w:rPr>
              <w:t>要求</w:t>
            </w:r>
          </w:p>
        </w:tc>
      </w:tr>
      <w:tr w14:paraId="565E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4DB5B93E">
            <w:pPr>
              <w:spacing w:line="360" w:lineRule="auto"/>
              <w:rPr>
                <w:color w:val="000000"/>
              </w:rPr>
            </w:pPr>
            <w:r>
              <w:rPr>
                <w:rFonts w:hint="eastAsia"/>
                <w:color w:val="000000"/>
              </w:rPr>
              <w:t>1</w:t>
            </w:r>
          </w:p>
        </w:tc>
        <w:tc>
          <w:tcPr>
            <w:tcW w:w="1121" w:type="dxa"/>
            <w:tcBorders>
              <w:tl2br w:val="nil"/>
              <w:tr2bl w:val="nil"/>
            </w:tcBorders>
            <w:noWrap/>
            <w:vAlign w:val="center"/>
          </w:tcPr>
          <w:p w14:paraId="4151606B">
            <w:pPr>
              <w:spacing w:line="360" w:lineRule="auto"/>
              <w:rPr>
                <w:rFonts w:ascii="Times New Roman" w:hAnsi="Times New Roman" w:cs="Times New Roman"/>
                <w:color w:val="000000"/>
                <w:szCs w:val="21"/>
              </w:rPr>
            </w:pPr>
            <w:r>
              <w:rPr>
                <w:rFonts w:ascii="Times New Roman" w:hAnsi="Times New Roman" w:cs="Times New Roman"/>
                <w:color w:val="000000"/>
                <w:szCs w:val="21"/>
              </w:rPr>
              <w:t>安装地点</w:t>
            </w:r>
          </w:p>
        </w:tc>
        <w:tc>
          <w:tcPr>
            <w:tcW w:w="7425" w:type="dxa"/>
            <w:tcBorders>
              <w:tl2br w:val="nil"/>
              <w:tr2bl w:val="nil"/>
            </w:tcBorders>
            <w:noWrap/>
            <w:vAlign w:val="center"/>
          </w:tcPr>
          <w:p w14:paraId="66AA6CC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浙江大学医学院附属</w:t>
            </w:r>
            <w:r>
              <w:rPr>
                <w:rFonts w:hint="eastAsia" w:ascii="Times New Roman" w:hAnsi="Times New Roman" w:cs="Times New Roman"/>
                <w:color w:val="000000"/>
                <w:szCs w:val="21"/>
              </w:rPr>
              <w:t>妇产科医院</w:t>
            </w:r>
            <w:r>
              <w:rPr>
                <w:rFonts w:ascii="Times New Roman" w:hAnsi="Times New Roman" w:cs="Times New Roman"/>
                <w:color w:val="000000"/>
                <w:szCs w:val="21"/>
              </w:rPr>
              <w:t>指定地点</w:t>
            </w:r>
          </w:p>
        </w:tc>
      </w:tr>
      <w:tr w14:paraId="7CCD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shd w:val="clear" w:color="auto" w:fill="auto"/>
            <w:noWrap/>
            <w:vAlign w:val="center"/>
          </w:tcPr>
          <w:p w14:paraId="671A4698">
            <w:pPr>
              <w:spacing w:line="360" w:lineRule="auto"/>
              <w:rPr>
                <w:color w:val="000000"/>
              </w:rPr>
            </w:pPr>
            <w:r>
              <w:rPr>
                <w:rFonts w:hint="eastAsia"/>
                <w:color w:val="000000"/>
              </w:rPr>
              <w:t>2</w:t>
            </w:r>
          </w:p>
        </w:tc>
        <w:tc>
          <w:tcPr>
            <w:tcW w:w="1121" w:type="dxa"/>
            <w:tcBorders>
              <w:tl2br w:val="nil"/>
              <w:tr2bl w:val="nil"/>
            </w:tcBorders>
            <w:shd w:val="clear" w:color="auto" w:fill="auto"/>
            <w:noWrap/>
            <w:vAlign w:val="center"/>
          </w:tcPr>
          <w:p w14:paraId="2DD0D510">
            <w:pPr>
              <w:spacing w:line="360" w:lineRule="auto"/>
              <w:rPr>
                <w:rFonts w:ascii="Times New Roman" w:hAnsi="Times New Roman" w:cs="Times New Roman"/>
                <w:color w:val="000000"/>
                <w:szCs w:val="21"/>
              </w:rPr>
            </w:pPr>
            <w:r>
              <w:rPr>
                <w:rFonts w:ascii="Times New Roman" w:hAnsi="Times New Roman" w:cs="Times New Roman"/>
                <w:color w:val="000000"/>
                <w:szCs w:val="21"/>
              </w:rPr>
              <w:t>质量保证</w:t>
            </w:r>
          </w:p>
        </w:tc>
        <w:tc>
          <w:tcPr>
            <w:tcW w:w="7425" w:type="dxa"/>
            <w:tcBorders>
              <w:tl2br w:val="nil"/>
              <w:tr2bl w:val="nil"/>
            </w:tcBorders>
            <w:shd w:val="clear" w:color="auto" w:fill="auto"/>
            <w:noWrap/>
            <w:vAlign w:val="center"/>
          </w:tcPr>
          <w:p w14:paraId="5C0B3D0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1、每台设备都应提供完整的出厂资料，包括使用说明书、出厂检验报告、质量合格证书等；</w:t>
            </w:r>
          </w:p>
          <w:p w14:paraId="2F6770D9">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2、设备验收合格后，按要求提供质保维护期，包括原厂硬件保修、软件升级服务、</w:t>
            </w:r>
            <w:r>
              <w:rPr>
                <w:rFonts w:hint="eastAsia" w:ascii="Times New Roman" w:hAnsi="Times New Roman" w:cs="Times New Roman"/>
                <w:color w:val="000000"/>
                <w:szCs w:val="21"/>
              </w:rPr>
              <w:t>上门</w:t>
            </w:r>
            <w:r>
              <w:rPr>
                <w:rFonts w:ascii="Times New Roman" w:hAnsi="Times New Roman" w:cs="Times New Roman"/>
                <w:color w:val="000000"/>
                <w:szCs w:val="21"/>
              </w:rPr>
              <w:t>人工及</w:t>
            </w:r>
            <w:r>
              <w:rPr>
                <w:rFonts w:hint="eastAsia" w:ascii="Times New Roman" w:hAnsi="Times New Roman" w:cs="Times New Roman"/>
                <w:color w:val="000000"/>
                <w:szCs w:val="21"/>
              </w:rPr>
              <w:t>配</w:t>
            </w:r>
            <w:r>
              <w:rPr>
                <w:rFonts w:ascii="Times New Roman" w:hAnsi="Times New Roman" w:cs="Times New Roman"/>
                <w:color w:val="000000"/>
                <w:szCs w:val="21"/>
              </w:rPr>
              <w:t>件。</w:t>
            </w:r>
          </w:p>
        </w:tc>
      </w:tr>
      <w:tr w14:paraId="39BD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7D9119C1">
            <w:pPr>
              <w:spacing w:line="360" w:lineRule="auto"/>
              <w:rPr>
                <w:color w:val="000000"/>
              </w:rPr>
            </w:pPr>
            <w:r>
              <w:rPr>
                <w:rFonts w:hint="eastAsia"/>
                <w:color w:val="000000"/>
              </w:rPr>
              <w:t>3</w:t>
            </w:r>
          </w:p>
        </w:tc>
        <w:tc>
          <w:tcPr>
            <w:tcW w:w="1121" w:type="dxa"/>
            <w:tcBorders>
              <w:tl2br w:val="nil"/>
              <w:tr2bl w:val="nil"/>
            </w:tcBorders>
            <w:noWrap/>
            <w:vAlign w:val="center"/>
          </w:tcPr>
          <w:p w14:paraId="0AE349D4">
            <w:pPr>
              <w:spacing w:line="360" w:lineRule="auto"/>
              <w:rPr>
                <w:rFonts w:ascii="Times New Roman" w:hAnsi="Times New Roman" w:cs="Times New Roman"/>
                <w:color w:val="000000"/>
                <w:szCs w:val="21"/>
              </w:rPr>
            </w:pPr>
            <w:r>
              <w:rPr>
                <w:rFonts w:ascii="Times New Roman" w:hAnsi="Times New Roman" w:cs="Times New Roman"/>
                <w:color w:val="000000"/>
                <w:szCs w:val="21"/>
              </w:rPr>
              <w:t>质保期</w:t>
            </w:r>
          </w:p>
        </w:tc>
        <w:tc>
          <w:tcPr>
            <w:tcW w:w="7425" w:type="dxa"/>
            <w:tcBorders>
              <w:tl2br w:val="nil"/>
              <w:tr2bl w:val="nil"/>
            </w:tcBorders>
            <w:noWrap/>
            <w:vAlign w:val="center"/>
          </w:tcPr>
          <w:p w14:paraId="5E07CA6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kern w:val="0"/>
                <w:szCs w:val="21"/>
              </w:rPr>
              <w:t>质保期：提供3</w:t>
            </w:r>
            <w:r>
              <w:rPr>
                <w:rFonts w:hint="eastAsia" w:ascii="Times New Roman" w:hAnsi="Times New Roman" w:cs="Times New Roman"/>
                <w:color w:val="000000"/>
                <w:kern w:val="0"/>
                <w:szCs w:val="21"/>
              </w:rPr>
              <w:t>年</w:t>
            </w:r>
            <w:r>
              <w:rPr>
                <w:rFonts w:ascii="Times New Roman" w:hAnsi="Times New Roman" w:cs="Times New Roman"/>
                <w:color w:val="000000"/>
                <w:kern w:val="0"/>
                <w:szCs w:val="21"/>
              </w:rPr>
              <w:t>原厂保修，提供承诺函</w:t>
            </w:r>
          </w:p>
        </w:tc>
      </w:tr>
      <w:tr w14:paraId="2196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793D17D7">
            <w:pPr>
              <w:spacing w:line="360" w:lineRule="auto"/>
              <w:rPr>
                <w:color w:val="000000"/>
              </w:rPr>
            </w:pPr>
            <w:r>
              <w:rPr>
                <w:rFonts w:hint="eastAsia"/>
                <w:color w:val="000000"/>
              </w:rPr>
              <w:t>4</w:t>
            </w:r>
          </w:p>
        </w:tc>
        <w:tc>
          <w:tcPr>
            <w:tcW w:w="1121" w:type="dxa"/>
            <w:tcBorders>
              <w:tl2br w:val="nil"/>
              <w:tr2bl w:val="nil"/>
            </w:tcBorders>
            <w:noWrap/>
            <w:vAlign w:val="center"/>
          </w:tcPr>
          <w:p w14:paraId="734887ED">
            <w:pPr>
              <w:spacing w:line="360" w:lineRule="auto"/>
              <w:rPr>
                <w:rFonts w:ascii="Times New Roman" w:hAnsi="Times New Roman" w:cs="Times New Roman"/>
                <w:color w:val="000000"/>
                <w:szCs w:val="21"/>
              </w:rPr>
            </w:pPr>
            <w:r>
              <w:rPr>
                <w:rFonts w:ascii="Times New Roman" w:hAnsi="Times New Roman" w:cs="Times New Roman"/>
                <w:color w:val="000000"/>
                <w:szCs w:val="21"/>
              </w:rPr>
              <w:t>售后服务</w:t>
            </w:r>
          </w:p>
        </w:tc>
        <w:tc>
          <w:tcPr>
            <w:tcW w:w="7425" w:type="dxa"/>
            <w:tcBorders>
              <w:tl2br w:val="nil"/>
              <w:tr2bl w:val="nil"/>
            </w:tcBorders>
            <w:noWrap/>
            <w:vAlign w:val="center"/>
          </w:tcPr>
          <w:p w14:paraId="72C5E790">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w:t>
            </w:r>
            <w:r>
              <w:rPr>
                <w:rFonts w:ascii="Times New Roman" w:hAnsi="Times New Roman" w:cs="Times New Roman"/>
                <w:color w:val="000000"/>
                <w:szCs w:val="21"/>
              </w:rPr>
              <w:t>质保期内的服务要求</w:t>
            </w:r>
          </w:p>
          <w:p w14:paraId="25D99B8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供应商需提供7×24小时支持维护服务，包括邮件、电话、远程维护、现场服务等方式。</w:t>
            </w:r>
            <w:r>
              <w:rPr>
                <w:rFonts w:hint="eastAsia" w:ascii="Times New Roman" w:hAnsi="Times New Roman" w:cs="Times New Roman"/>
                <w:color w:val="000000"/>
                <w:szCs w:val="21"/>
              </w:rPr>
              <w:t>接到需求</w:t>
            </w:r>
            <w:r>
              <w:rPr>
                <w:rFonts w:ascii="Times New Roman" w:hAnsi="Times New Roman" w:cs="Times New Roman"/>
                <w:color w:val="000000"/>
                <w:szCs w:val="21"/>
              </w:rPr>
              <w:t>在30分钟内响应，</w:t>
            </w:r>
            <w:r>
              <w:rPr>
                <w:rFonts w:hint="eastAsia" w:ascii="Times New Roman" w:hAnsi="Times New Roman" w:cs="Times New Roman"/>
                <w:color w:val="000000"/>
                <w:szCs w:val="21"/>
              </w:rPr>
              <w:t>3个日工作时间内</w:t>
            </w:r>
            <w:r>
              <w:rPr>
                <w:rFonts w:ascii="Times New Roman" w:hAnsi="Times New Roman" w:cs="Times New Roman"/>
                <w:color w:val="000000"/>
                <w:szCs w:val="21"/>
              </w:rPr>
              <w:t>无法解决故障的，</w:t>
            </w:r>
            <w:r>
              <w:rPr>
                <w:rFonts w:hint="eastAsia" w:ascii="Times New Roman" w:hAnsi="Times New Roman" w:cs="Times New Roman"/>
                <w:color w:val="000000"/>
                <w:szCs w:val="21"/>
              </w:rPr>
              <w:t>需更换备用机替换。</w:t>
            </w:r>
          </w:p>
          <w:p w14:paraId="0997E3E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w:t>
            </w:r>
            <w:r>
              <w:rPr>
                <w:rFonts w:ascii="Times New Roman" w:hAnsi="Times New Roman" w:cs="Times New Roman"/>
                <w:color w:val="000000"/>
                <w:szCs w:val="21"/>
              </w:rPr>
              <w:t>质保期内的技术服务</w:t>
            </w:r>
          </w:p>
          <w:p w14:paraId="5CFF9B07">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提供在保证</w:t>
            </w:r>
            <w:r>
              <w:rPr>
                <w:rFonts w:hint="eastAsia" w:ascii="Times New Roman" w:hAnsi="Times New Roman" w:cs="Times New Roman"/>
                <w:color w:val="000000"/>
                <w:szCs w:val="21"/>
              </w:rPr>
              <w:t>设备</w:t>
            </w:r>
            <w:r>
              <w:rPr>
                <w:rFonts w:ascii="Times New Roman" w:hAnsi="Times New Roman" w:cs="Times New Roman"/>
                <w:color w:val="000000"/>
                <w:szCs w:val="21"/>
              </w:rPr>
              <w:t>正常稳定运行</w:t>
            </w:r>
            <w:r>
              <w:rPr>
                <w:rFonts w:hint="eastAsia" w:ascii="Times New Roman" w:hAnsi="Times New Roman" w:cs="Times New Roman"/>
                <w:color w:val="000000"/>
                <w:szCs w:val="21"/>
              </w:rPr>
              <w:t>下</w:t>
            </w:r>
            <w:r>
              <w:rPr>
                <w:rFonts w:ascii="Times New Roman" w:hAnsi="Times New Roman" w:cs="Times New Roman"/>
                <w:color w:val="000000"/>
                <w:szCs w:val="21"/>
              </w:rPr>
              <w:t>的</w:t>
            </w:r>
            <w:r>
              <w:rPr>
                <w:rFonts w:hint="eastAsia" w:ascii="Times New Roman" w:hAnsi="Times New Roman" w:cs="Times New Roman"/>
                <w:color w:val="000000"/>
                <w:szCs w:val="21"/>
              </w:rPr>
              <w:t>设备功能更新</w:t>
            </w:r>
            <w:r>
              <w:rPr>
                <w:rFonts w:ascii="Times New Roman" w:hAnsi="Times New Roman" w:cs="Times New Roman"/>
                <w:color w:val="000000"/>
                <w:szCs w:val="21"/>
              </w:rPr>
              <w:t>、</w:t>
            </w:r>
            <w:r>
              <w:rPr>
                <w:rFonts w:hint="eastAsia" w:ascii="Times New Roman" w:hAnsi="Times New Roman" w:cs="Times New Roman"/>
                <w:color w:val="000000"/>
                <w:szCs w:val="21"/>
              </w:rPr>
              <w:t>驱动</w:t>
            </w:r>
            <w:r>
              <w:rPr>
                <w:rFonts w:ascii="Times New Roman" w:hAnsi="Times New Roman" w:cs="Times New Roman"/>
                <w:color w:val="000000"/>
                <w:szCs w:val="21"/>
              </w:rPr>
              <w:t>版本升级</w:t>
            </w:r>
            <w:r>
              <w:rPr>
                <w:rFonts w:hint="eastAsia" w:ascii="Times New Roman" w:hAnsi="Times New Roman" w:cs="Times New Roman"/>
                <w:color w:val="000000"/>
                <w:szCs w:val="21"/>
              </w:rPr>
              <w:t>等</w:t>
            </w:r>
            <w:r>
              <w:rPr>
                <w:rFonts w:ascii="Times New Roman" w:hAnsi="Times New Roman" w:cs="Times New Roman"/>
                <w:color w:val="000000"/>
                <w:szCs w:val="21"/>
              </w:rPr>
              <w:t>服务。在质保期内提供系统软件应用和维护</w:t>
            </w:r>
            <w:r>
              <w:rPr>
                <w:rFonts w:hint="eastAsia" w:ascii="Times New Roman" w:hAnsi="Times New Roman" w:cs="Times New Roman"/>
                <w:color w:val="000000"/>
                <w:szCs w:val="21"/>
              </w:rPr>
              <w:t>的</w:t>
            </w:r>
            <w:r>
              <w:rPr>
                <w:rFonts w:ascii="Times New Roman" w:hAnsi="Times New Roman" w:cs="Times New Roman"/>
                <w:color w:val="000000"/>
                <w:szCs w:val="21"/>
              </w:rPr>
              <w:t>技术咨询服务。在质保期内提供电话或</w:t>
            </w:r>
            <w:r>
              <w:rPr>
                <w:rFonts w:hint="eastAsia" w:ascii="Times New Roman" w:hAnsi="Times New Roman" w:cs="Times New Roman"/>
                <w:color w:val="000000"/>
                <w:szCs w:val="21"/>
              </w:rPr>
              <w:t>上门</w:t>
            </w:r>
            <w:r>
              <w:rPr>
                <w:rFonts w:ascii="Times New Roman" w:hAnsi="Times New Roman" w:cs="Times New Roman"/>
                <w:color w:val="000000"/>
                <w:szCs w:val="21"/>
              </w:rPr>
              <w:t>技术服务。</w:t>
            </w:r>
          </w:p>
        </w:tc>
      </w:tr>
      <w:tr w14:paraId="4AE9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11551DB3">
            <w:pPr>
              <w:spacing w:line="360" w:lineRule="auto"/>
              <w:rPr>
                <w:color w:val="000000"/>
              </w:rPr>
            </w:pPr>
            <w:r>
              <w:rPr>
                <w:rFonts w:hint="eastAsia"/>
                <w:color w:val="000000"/>
              </w:rPr>
              <w:t>5</w:t>
            </w:r>
          </w:p>
        </w:tc>
        <w:tc>
          <w:tcPr>
            <w:tcW w:w="1121" w:type="dxa"/>
            <w:tcBorders>
              <w:tl2br w:val="nil"/>
              <w:tr2bl w:val="nil"/>
            </w:tcBorders>
            <w:noWrap/>
            <w:vAlign w:val="center"/>
          </w:tcPr>
          <w:p w14:paraId="1D661164">
            <w:pPr>
              <w:spacing w:line="360" w:lineRule="auto"/>
              <w:rPr>
                <w:rFonts w:ascii="Times New Roman" w:hAnsi="Times New Roman" w:cs="Times New Roman"/>
                <w:color w:val="000000"/>
                <w:szCs w:val="21"/>
              </w:rPr>
            </w:pPr>
            <w:r>
              <w:rPr>
                <w:rFonts w:ascii="Times New Roman" w:hAnsi="Times New Roman" w:cs="Times New Roman"/>
                <w:color w:val="000000"/>
                <w:szCs w:val="21"/>
              </w:rPr>
              <w:t>交货期</w:t>
            </w:r>
          </w:p>
        </w:tc>
        <w:tc>
          <w:tcPr>
            <w:tcW w:w="7425" w:type="dxa"/>
            <w:tcBorders>
              <w:tl2br w:val="nil"/>
              <w:tr2bl w:val="nil"/>
            </w:tcBorders>
            <w:noWrap/>
            <w:vAlign w:val="center"/>
          </w:tcPr>
          <w:p w14:paraId="706062E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color w:val="000000"/>
                <w:szCs w:val="21"/>
              </w:rPr>
            </w:pPr>
            <w:r>
              <w:rPr>
                <w:rFonts w:ascii="Times New Roman" w:hAnsi="Times New Roman" w:cs="Times New Roman"/>
                <w:color w:val="000000"/>
                <w:szCs w:val="21"/>
              </w:rPr>
              <w:t>接到医院通知后</w:t>
            </w:r>
            <w:r>
              <w:rPr>
                <w:rFonts w:hint="eastAsia" w:ascii="Times New Roman" w:hAnsi="Times New Roman" w:cs="Times New Roman"/>
                <w:color w:val="000000"/>
                <w:szCs w:val="21"/>
              </w:rPr>
              <w:t>3</w:t>
            </w:r>
            <w:r>
              <w:rPr>
                <w:rFonts w:ascii="Times New Roman" w:hAnsi="Times New Roman" w:cs="Times New Roman"/>
                <w:color w:val="000000"/>
                <w:szCs w:val="21"/>
              </w:rPr>
              <w:t>天内完成</w:t>
            </w:r>
            <w:r>
              <w:rPr>
                <w:rFonts w:hint="eastAsia" w:ascii="Times New Roman" w:hAnsi="Times New Roman" w:cs="Times New Roman"/>
                <w:color w:val="000000"/>
                <w:szCs w:val="21"/>
              </w:rPr>
              <w:t>送</w:t>
            </w:r>
            <w:r>
              <w:rPr>
                <w:rFonts w:ascii="Times New Roman" w:hAnsi="Times New Roman" w:cs="Times New Roman"/>
                <w:color w:val="000000"/>
                <w:szCs w:val="21"/>
              </w:rPr>
              <w:t>货、安装、调试等</w:t>
            </w:r>
          </w:p>
        </w:tc>
      </w:tr>
      <w:tr w14:paraId="349A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2DE4F99B">
            <w:pPr>
              <w:spacing w:line="360" w:lineRule="auto"/>
              <w:rPr>
                <w:color w:val="000000"/>
              </w:rPr>
            </w:pPr>
            <w:r>
              <w:rPr>
                <w:rFonts w:hint="eastAsia"/>
                <w:color w:val="000000"/>
              </w:rPr>
              <w:t>6</w:t>
            </w:r>
          </w:p>
        </w:tc>
        <w:tc>
          <w:tcPr>
            <w:tcW w:w="1121" w:type="dxa"/>
            <w:tcBorders>
              <w:tl2br w:val="nil"/>
              <w:tr2bl w:val="nil"/>
            </w:tcBorders>
            <w:noWrap/>
            <w:vAlign w:val="center"/>
          </w:tcPr>
          <w:p w14:paraId="7E137073">
            <w:pPr>
              <w:spacing w:line="360" w:lineRule="auto"/>
              <w:rPr>
                <w:rFonts w:ascii="Times New Roman" w:hAnsi="Times New Roman" w:cs="Times New Roman"/>
                <w:color w:val="000000"/>
                <w:szCs w:val="21"/>
              </w:rPr>
            </w:pPr>
            <w:r>
              <w:rPr>
                <w:rFonts w:ascii="Times New Roman" w:hAnsi="Times New Roman" w:cs="Times New Roman"/>
                <w:color w:val="000000"/>
                <w:szCs w:val="21"/>
              </w:rPr>
              <w:t>知识产权</w:t>
            </w:r>
          </w:p>
        </w:tc>
        <w:tc>
          <w:tcPr>
            <w:tcW w:w="7425" w:type="dxa"/>
            <w:tcBorders>
              <w:tl2br w:val="nil"/>
              <w:tr2bl w:val="nil"/>
            </w:tcBorders>
            <w:noWrap/>
            <w:vAlign w:val="center"/>
          </w:tcPr>
          <w:p w14:paraId="681A8442">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rPr>
            </w:pPr>
            <w:r>
              <w:rPr>
                <w:color w:val="000000"/>
              </w:rPr>
              <w:t>1</w:t>
            </w:r>
            <w:r>
              <w:rPr>
                <w:rFonts w:hint="eastAsia"/>
                <w:color w:val="000000"/>
              </w:rPr>
              <w:t>、中标供应商应保证所提供的货物或其任何一部分均不会侵犯任何第三方的知识产权。</w:t>
            </w:r>
          </w:p>
        </w:tc>
      </w:tr>
      <w:tr w14:paraId="7995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610C01B8">
            <w:pPr>
              <w:spacing w:line="360" w:lineRule="auto"/>
              <w:rPr>
                <w:color w:val="000000"/>
              </w:rPr>
            </w:pPr>
            <w:r>
              <w:rPr>
                <w:rFonts w:hint="eastAsia"/>
                <w:color w:val="000000"/>
              </w:rPr>
              <w:t>7</w:t>
            </w:r>
          </w:p>
        </w:tc>
        <w:tc>
          <w:tcPr>
            <w:tcW w:w="1121" w:type="dxa"/>
            <w:tcBorders>
              <w:tl2br w:val="nil"/>
              <w:tr2bl w:val="nil"/>
            </w:tcBorders>
            <w:noWrap/>
            <w:vAlign w:val="center"/>
          </w:tcPr>
          <w:p w14:paraId="39F4F9DD">
            <w:pPr>
              <w:spacing w:line="360" w:lineRule="auto"/>
              <w:rPr>
                <w:rFonts w:ascii="Times New Roman" w:hAnsi="Times New Roman" w:cs="Times New Roman"/>
                <w:color w:val="000000"/>
                <w:szCs w:val="21"/>
              </w:rPr>
            </w:pPr>
            <w:r>
              <w:rPr>
                <w:rFonts w:ascii="Times New Roman" w:hAnsi="Times New Roman" w:cs="Times New Roman"/>
                <w:color w:val="000000"/>
                <w:szCs w:val="21"/>
              </w:rPr>
              <w:t>产权担保</w:t>
            </w:r>
          </w:p>
        </w:tc>
        <w:tc>
          <w:tcPr>
            <w:tcW w:w="7425" w:type="dxa"/>
            <w:tcBorders>
              <w:tl2br w:val="nil"/>
              <w:tr2bl w:val="nil"/>
            </w:tcBorders>
            <w:noWrap/>
            <w:vAlign w:val="center"/>
          </w:tcPr>
          <w:p w14:paraId="28F9BE97">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rPr>
            </w:pPr>
            <w:r>
              <w:rPr>
                <w:rFonts w:hint="eastAsia"/>
                <w:color w:val="000000"/>
              </w:rPr>
              <w:t>中标供应商保证所交付的货物的所有权完全属于中标供应商且无任何抵押、查封等产权瑕疵。</w:t>
            </w:r>
          </w:p>
        </w:tc>
      </w:tr>
      <w:tr w14:paraId="762E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tcBorders>
              <w:tl2br w:val="nil"/>
              <w:tr2bl w:val="nil"/>
            </w:tcBorders>
            <w:noWrap/>
            <w:vAlign w:val="center"/>
          </w:tcPr>
          <w:p w14:paraId="40FDEDCB">
            <w:pPr>
              <w:spacing w:line="360" w:lineRule="auto"/>
              <w:rPr>
                <w:color w:val="000000"/>
              </w:rPr>
            </w:pPr>
            <w:r>
              <w:rPr>
                <w:rFonts w:hint="eastAsia"/>
                <w:color w:val="000000"/>
              </w:rPr>
              <w:t>8</w:t>
            </w:r>
          </w:p>
        </w:tc>
        <w:tc>
          <w:tcPr>
            <w:tcW w:w="1121" w:type="dxa"/>
            <w:tcBorders>
              <w:tl2br w:val="nil"/>
              <w:tr2bl w:val="nil"/>
            </w:tcBorders>
            <w:noWrap/>
            <w:vAlign w:val="center"/>
          </w:tcPr>
          <w:p w14:paraId="074781D1">
            <w:pPr>
              <w:spacing w:line="360" w:lineRule="auto"/>
              <w:rPr>
                <w:rFonts w:ascii="Times New Roman" w:hAnsi="Times New Roman" w:cs="Times New Roman"/>
                <w:color w:val="000000"/>
                <w:szCs w:val="21"/>
              </w:rPr>
            </w:pPr>
            <w:r>
              <w:rPr>
                <w:rFonts w:ascii="Times New Roman" w:hAnsi="Times New Roman" w:cs="Times New Roman"/>
                <w:color w:val="000000"/>
                <w:szCs w:val="21"/>
              </w:rPr>
              <w:t>付款方式</w:t>
            </w:r>
          </w:p>
        </w:tc>
        <w:tc>
          <w:tcPr>
            <w:tcW w:w="7425" w:type="dxa"/>
            <w:tcBorders>
              <w:tl2br w:val="nil"/>
              <w:tr2bl w:val="nil"/>
            </w:tcBorders>
            <w:noWrap/>
            <w:vAlign w:val="center"/>
          </w:tcPr>
          <w:p w14:paraId="2DF64ED5">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rPr>
            </w:pPr>
            <w:r>
              <w:rPr>
                <w:rFonts w:hint="eastAsia"/>
                <w:color w:val="000000"/>
              </w:rPr>
              <w:t>按医院要求分批供货，按次结算。</w:t>
            </w:r>
          </w:p>
        </w:tc>
      </w:tr>
      <w:tr w14:paraId="3607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noWrap/>
            <w:vAlign w:val="center"/>
          </w:tcPr>
          <w:p w14:paraId="3B93109C">
            <w:pPr>
              <w:spacing w:line="360" w:lineRule="auto"/>
              <w:rPr>
                <w:color w:val="000000"/>
              </w:rPr>
            </w:pPr>
            <w:r>
              <w:rPr>
                <w:rFonts w:hint="eastAsia"/>
                <w:color w:val="000000"/>
              </w:rPr>
              <w:t>9</w:t>
            </w:r>
          </w:p>
        </w:tc>
        <w:tc>
          <w:tcPr>
            <w:tcW w:w="1121" w:type="dxa"/>
            <w:noWrap/>
            <w:vAlign w:val="center"/>
          </w:tcPr>
          <w:p w14:paraId="16C01DCB">
            <w:pPr>
              <w:spacing w:line="360" w:lineRule="auto"/>
              <w:rPr>
                <w:rFonts w:ascii="Times New Roman" w:hAnsi="Times New Roman" w:cs="Times New Roman"/>
                <w:color w:val="000000"/>
                <w:szCs w:val="21"/>
              </w:rPr>
            </w:pPr>
            <w:r>
              <w:rPr>
                <w:rFonts w:ascii="Times New Roman" w:hAnsi="Times New Roman" w:cs="Times New Roman"/>
                <w:color w:val="000000"/>
                <w:szCs w:val="21"/>
              </w:rPr>
              <w:t>保密义务</w:t>
            </w:r>
          </w:p>
        </w:tc>
        <w:tc>
          <w:tcPr>
            <w:tcW w:w="7425" w:type="dxa"/>
            <w:noWrap/>
            <w:vAlign w:val="center"/>
          </w:tcPr>
          <w:p w14:paraId="18E4A02B">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rPr>
            </w:pPr>
            <w:r>
              <w:rPr>
                <w:rFonts w:hint="eastAsia"/>
                <w:color w:val="000000"/>
              </w:rPr>
              <w:t>中标供应商对本项目的内容、因履行本项目或在本项目期间获得的或收到的采购人及医院的商务、财务、技术、数据等信息、用户资料或其他标明保密的文件或信息的内容进行保密。未经采购人及医院书面同意，不得向本项目以外的任何第三方披露。</w:t>
            </w:r>
          </w:p>
          <w:p w14:paraId="7FE1B7A7">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rPr>
            </w:pPr>
            <w:r>
              <w:rPr>
                <w:rFonts w:hint="eastAsia"/>
                <w:color w:val="000000"/>
              </w:rPr>
              <w:t>中标供应商未尽到保密义务给采购人及医院造成损失，采购人及医院有权要求未尽到保密义务的中标供应商就其损失承担赔偿责任。</w:t>
            </w:r>
          </w:p>
        </w:tc>
      </w:tr>
    </w:tbl>
    <w:p w14:paraId="7A576363">
      <w:r>
        <w:br w:type="page"/>
      </w:r>
    </w:p>
    <w:p w14:paraId="422E8432">
      <w:pPr>
        <w:pStyle w:val="19"/>
        <w:numPr>
          <w:ilvl w:val="0"/>
          <w:numId w:val="3"/>
        </w:numPr>
        <w:rPr>
          <w:rFonts w:hint="eastAsia" w:eastAsia="宋体"/>
        </w:rPr>
      </w:pPr>
      <w:bookmarkStart w:id="2" w:name="_Toc30692"/>
      <w:r>
        <w:rPr>
          <w:rFonts w:hint="eastAsia" w:eastAsia="宋体"/>
          <w:lang w:val="en-US" w:eastAsia="zh-CN"/>
        </w:rPr>
        <w:t xml:space="preserve"> </w:t>
      </w:r>
      <w:bookmarkStart w:id="3" w:name="_Toc24092"/>
      <w:r>
        <w:rPr>
          <w:rFonts w:hint="eastAsia" w:eastAsia="宋体"/>
        </w:rPr>
        <w:t>评审办法</w:t>
      </w:r>
      <w:bookmarkEnd w:id="2"/>
      <w:bookmarkEnd w:id="3"/>
    </w:p>
    <w:tbl>
      <w:tblPr>
        <w:tblStyle w:val="21"/>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6050"/>
        <w:gridCol w:w="953"/>
        <w:gridCol w:w="912"/>
      </w:tblGrid>
      <w:tr w14:paraId="5315D5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6052471D">
            <w:pPr>
              <w:spacing w:line="276" w:lineRule="auto"/>
              <w:jc w:val="center"/>
              <w:rPr>
                <w:b/>
                <w:bCs/>
                <w:sz w:val="24"/>
              </w:rPr>
            </w:pPr>
            <w:r>
              <w:rPr>
                <w:b/>
                <w:bCs/>
                <w:sz w:val="24"/>
              </w:rPr>
              <w:t>序号</w:t>
            </w:r>
          </w:p>
        </w:tc>
        <w:tc>
          <w:tcPr>
            <w:tcW w:w="6050" w:type="dxa"/>
            <w:vAlign w:val="center"/>
          </w:tcPr>
          <w:p w14:paraId="4F7F0624">
            <w:pPr>
              <w:spacing w:line="276" w:lineRule="auto"/>
              <w:ind w:right="-313" w:rightChars="-149"/>
              <w:jc w:val="center"/>
              <w:rPr>
                <w:b/>
                <w:bCs/>
                <w:sz w:val="24"/>
              </w:rPr>
            </w:pPr>
            <w:r>
              <w:rPr>
                <w:b/>
                <w:bCs/>
                <w:sz w:val="24"/>
              </w:rPr>
              <w:t>评审细则</w:t>
            </w:r>
          </w:p>
        </w:tc>
        <w:tc>
          <w:tcPr>
            <w:tcW w:w="953" w:type="dxa"/>
            <w:vAlign w:val="center"/>
          </w:tcPr>
          <w:p w14:paraId="571B856B">
            <w:pPr>
              <w:spacing w:line="276" w:lineRule="auto"/>
              <w:jc w:val="center"/>
              <w:rPr>
                <w:b/>
                <w:bCs/>
                <w:sz w:val="24"/>
              </w:rPr>
            </w:pPr>
            <w:r>
              <w:rPr>
                <w:b/>
                <w:bCs/>
                <w:sz w:val="24"/>
              </w:rPr>
              <w:t>说明</w:t>
            </w:r>
          </w:p>
        </w:tc>
        <w:tc>
          <w:tcPr>
            <w:tcW w:w="912" w:type="dxa"/>
            <w:vAlign w:val="center"/>
          </w:tcPr>
          <w:p w14:paraId="55DA3AC1">
            <w:pPr>
              <w:spacing w:line="276" w:lineRule="auto"/>
              <w:jc w:val="center"/>
              <w:rPr>
                <w:b/>
                <w:bCs/>
                <w:sz w:val="24"/>
              </w:rPr>
            </w:pPr>
            <w:r>
              <w:rPr>
                <w:b/>
                <w:bCs/>
                <w:sz w:val="24"/>
              </w:rPr>
              <w:t>分值</w:t>
            </w:r>
          </w:p>
        </w:tc>
      </w:tr>
      <w:tr w14:paraId="66CF43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079DCD73">
            <w:pPr>
              <w:jc w:val="center"/>
              <w:rPr>
                <w:sz w:val="24"/>
              </w:rPr>
            </w:pPr>
            <w:r>
              <w:rPr>
                <w:sz w:val="24"/>
              </w:rPr>
              <w:t>1</w:t>
            </w:r>
          </w:p>
        </w:tc>
        <w:tc>
          <w:tcPr>
            <w:tcW w:w="6050" w:type="dxa"/>
            <w:vAlign w:val="center"/>
          </w:tcPr>
          <w:p w14:paraId="4BDF5752">
            <w:pPr>
              <w:rPr>
                <w:sz w:val="24"/>
              </w:rPr>
            </w:pPr>
            <w:r>
              <w:rPr>
                <w:color w:val="auto"/>
                <w:sz w:val="24"/>
                <w:highlight w:val="none"/>
              </w:rPr>
              <w:t>技术功能符合度：</w:t>
            </w:r>
            <w:r>
              <w:rPr>
                <w:sz w:val="24"/>
                <w:highlight w:val="none"/>
              </w:rPr>
              <w:t>对应于“</w:t>
            </w:r>
            <w:r>
              <w:rPr>
                <w:rFonts w:hint="eastAsia"/>
                <w:sz w:val="24"/>
                <w:highlight w:val="none"/>
              </w:rPr>
              <w:t>采购内容</w:t>
            </w:r>
            <w:r>
              <w:rPr>
                <w:rFonts w:hint="eastAsia"/>
                <w:sz w:val="24"/>
                <w:highlight w:val="none"/>
                <w:lang w:val="en-US" w:eastAsia="zh-CN"/>
              </w:rPr>
              <w:t>及需求</w:t>
            </w:r>
            <w:bookmarkStart w:id="9" w:name="_GoBack"/>
            <w:bookmarkEnd w:id="9"/>
            <w:r>
              <w:rPr>
                <w:sz w:val="24"/>
                <w:highlight w:val="none"/>
              </w:rPr>
              <w:t>”响应情况，</w:t>
            </w:r>
            <w:r>
              <w:rPr>
                <w:rFonts w:hint="eastAsia" w:ascii="宋体" w:hAnsi="宋体" w:cs="宋体"/>
                <w:sz w:val="24"/>
              </w:rPr>
              <w:t>★</w:t>
            </w:r>
            <w:r>
              <w:rPr>
                <w:strike w:val="0"/>
                <w:dstrike w:val="0"/>
                <w:color w:val="auto"/>
                <w:sz w:val="24"/>
                <w:highlight w:val="none"/>
              </w:rPr>
              <w:t>每一条不满足采购文件的扣</w:t>
            </w:r>
            <w:r>
              <w:rPr>
                <w:rFonts w:hint="eastAsia"/>
                <w:strike w:val="0"/>
                <w:dstrike w:val="0"/>
                <w:color w:val="auto"/>
                <w:sz w:val="24"/>
                <w:highlight w:val="none"/>
                <w:lang w:val="en-US" w:eastAsia="zh-CN"/>
              </w:rPr>
              <w:t>3</w:t>
            </w:r>
            <w:r>
              <w:rPr>
                <w:strike w:val="0"/>
                <w:dstrike w:val="0"/>
                <w:color w:val="auto"/>
                <w:sz w:val="24"/>
                <w:highlight w:val="none"/>
              </w:rPr>
              <w:t>分，其他</w:t>
            </w:r>
            <w:r>
              <w:rPr>
                <w:strike w:val="0"/>
                <w:color w:val="auto"/>
                <w:sz w:val="24"/>
                <w:highlight w:val="none"/>
              </w:rPr>
              <w:t>每一</w:t>
            </w:r>
            <w:r>
              <w:rPr>
                <w:color w:val="auto"/>
                <w:sz w:val="24"/>
                <w:highlight w:val="none"/>
              </w:rPr>
              <w:t>条不满足采购文件的扣</w:t>
            </w:r>
            <w:r>
              <w:rPr>
                <w:rFonts w:hint="eastAsia"/>
                <w:color w:val="auto"/>
                <w:sz w:val="24"/>
                <w:highlight w:val="none"/>
                <w:lang w:val="en-US" w:eastAsia="zh-CN"/>
              </w:rPr>
              <w:t>1</w:t>
            </w:r>
            <w:r>
              <w:rPr>
                <w:color w:val="auto"/>
                <w:sz w:val="24"/>
                <w:highlight w:val="none"/>
              </w:rPr>
              <w:t>分，扣</w:t>
            </w:r>
            <w:r>
              <w:rPr>
                <w:sz w:val="24"/>
                <w:highlight w:val="none"/>
              </w:rPr>
              <w:t>完为止。</w:t>
            </w:r>
            <w:r>
              <w:rPr>
                <w:rFonts w:hint="eastAsia" w:ascii="宋体" w:hAnsi="宋体" w:cs="宋体"/>
                <w:sz w:val="24"/>
                <w:highlight w:val="none"/>
              </w:rPr>
              <w:t>▲</w:t>
            </w:r>
            <w:r>
              <w:rPr>
                <w:rFonts w:hint="eastAsia"/>
                <w:sz w:val="24"/>
                <w:highlight w:val="none"/>
              </w:rPr>
              <w:t>为实质性条款，若不满足响应无效。</w:t>
            </w:r>
          </w:p>
        </w:tc>
        <w:tc>
          <w:tcPr>
            <w:tcW w:w="953" w:type="dxa"/>
            <w:vAlign w:val="center"/>
          </w:tcPr>
          <w:p w14:paraId="5225B483">
            <w:pPr>
              <w:jc w:val="center"/>
              <w:rPr>
                <w:sz w:val="24"/>
              </w:rPr>
            </w:pPr>
            <w:r>
              <w:rPr>
                <w:sz w:val="24"/>
                <w:highlight w:val="none"/>
              </w:rPr>
              <w:t>客观分</w:t>
            </w:r>
          </w:p>
        </w:tc>
        <w:tc>
          <w:tcPr>
            <w:tcW w:w="912" w:type="dxa"/>
            <w:vAlign w:val="center"/>
          </w:tcPr>
          <w:p w14:paraId="0B8AE99F">
            <w:pPr>
              <w:jc w:val="center"/>
              <w:rPr>
                <w:sz w:val="24"/>
              </w:rPr>
            </w:pPr>
            <w:r>
              <w:rPr>
                <w:rFonts w:hint="eastAsia"/>
                <w:sz w:val="24"/>
                <w:highlight w:val="none"/>
              </w:rPr>
              <w:t>3</w:t>
            </w:r>
            <w:r>
              <w:rPr>
                <w:rFonts w:hint="eastAsia"/>
                <w:sz w:val="24"/>
                <w:highlight w:val="none"/>
                <w:lang w:val="en-US" w:eastAsia="zh-CN"/>
              </w:rPr>
              <w:t>4</w:t>
            </w:r>
            <w:r>
              <w:rPr>
                <w:sz w:val="24"/>
                <w:highlight w:val="none"/>
              </w:rPr>
              <w:t>分</w:t>
            </w:r>
          </w:p>
        </w:tc>
      </w:tr>
      <w:tr w14:paraId="52A3F6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385F8B02">
            <w:pPr>
              <w:jc w:val="center"/>
              <w:rPr>
                <w:sz w:val="24"/>
              </w:rPr>
            </w:pPr>
            <w:r>
              <w:rPr>
                <w:sz w:val="24"/>
              </w:rPr>
              <w:t>2</w:t>
            </w:r>
          </w:p>
        </w:tc>
        <w:tc>
          <w:tcPr>
            <w:tcW w:w="6050" w:type="dxa"/>
            <w:vAlign w:val="center"/>
          </w:tcPr>
          <w:p w14:paraId="44649F32">
            <w:pPr>
              <w:rPr>
                <w:sz w:val="24"/>
              </w:rPr>
            </w:pPr>
            <w:r>
              <w:rPr>
                <w:rFonts w:hint="eastAsia"/>
                <w:sz w:val="24"/>
              </w:rPr>
              <w:t>所投</w:t>
            </w:r>
            <w:r>
              <w:rPr>
                <w:sz w:val="24"/>
              </w:rPr>
              <w:t>产品质保期满足采购文件要求的得1分，额外每增加1年得2分，</w:t>
            </w:r>
            <w:r>
              <w:rPr>
                <w:rFonts w:hint="eastAsia"/>
                <w:sz w:val="24"/>
              </w:rPr>
              <w:t>最高</w:t>
            </w:r>
            <w:r>
              <w:rPr>
                <w:rFonts w:hint="eastAsia"/>
                <w:sz w:val="24"/>
                <w:lang w:val="en-US" w:eastAsia="zh-CN"/>
              </w:rPr>
              <w:t>6</w:t>
            </w:r>
            <w:r>
              <w:rPr>
                <w:sz w:val="24"/>
              </w:rPr>
              <w:t>分。</w:t>
            </w:r>
          </w:p>
        </w:tc>
        <w:tc>
          <w:tcPr>
            <w:tcW w:w="953" w:type="dxa"/>
            <w:vAlign w:val="center"/>
          </w:tcPr>
          <w:p w14:paraId="633C2857">
            <w:pPr>
              <w:jc w:val="center"/>
              <w:rPr>
                <w:sz w:val="24"/>
              </w:rPr>
            </w:pPr>
            <w:r>
              <w:rPr>
                <w:sz w:val="24"/>
              </w:rPr>
              <w:t>客观分</w:t>
            </w:r>
          </w:p>
        </w:tc>
        <w:tc>
          <w:tcPr>
            <w:tcW w:w="912" w:type="dxa"/>
            <w:vAlign w:val="center"/>
          </w:tcPr>
          <w:p w14:paraId="15E47005">
            <w:pPr>
              <w:jc w:val="center"/>
              <w:rPr>
                <w:sz w:val="24"/>
              </w:rPr>
            </w:pPr>
            <w:r>
              <w:rPr>
                <w:rFonts w:hint="eastAsia"/>
                <w:sz w:val="24"/>
                <w:lang w:val="en-US" w:eastAsia="zh-CN"/>
              </w:rPr>
              <w:t>6</w:t>
            </w:r>
            <w:r>
              <w:rPr>
                <w:sz w:val="24"/>
              </w:rPr>
              <w:t>分</w:t>
            </w:r>
          </w:p>
        </w:tc>
      </w:tr>
      <w:tr w14:paraId="35AC78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7721EA9D">
            <w:pPr>
              <w:jc w:val="center"/>
              <w:rPr>
                <w:sz w:val="24"/>
              </w:rPr>
            </w:pPr>
            <w:r>
              <w:rPr>
                <w:sz w:val="24"/>
              </w:rPr>
              <w:t>3</w:t>
            </w:r>
          </w:p>
        </w:tc>
        <w:tc>
          <w:tcPr>
            <w:tcW w:w="6050" w:type="dxa"/>
            <w:vAlign w:val="center"/>
          </w:tcPr>
          <w:p w14:paraId="6B329034">
            <w:pPr>
              <w:rPr>
                <w:sz w:val="24"/>
              </w:rPr>
            </w:pPr>
            <w:r>
              <w:rPr>
                <w:sz w:val="24"/>
              </w:rPr>
              <w:t>业绩：对本次相同型号</w:t>
            </w:r>
            <w:r>
              <w:rPr>
                <w:rFonts w:hint="eastAsia"/>
                <w:sz w:val="24"/>
              </w:rPr>
              <w:t>所投</w:t>
            </w:r>
            <w:r>
              <w:rPr>
                <w:sz w:val="24"/>
              </w:rPr>
              <w:t>产品自2023年1月1日起（以合同签定时间为准）</w:t>
            </w:r>
            <w:r>
              <w:rPr>
                <w:rFonts w:hint="eastAsia"/>
                <w:sz w:val="24"/>
              </w:rPr>
              <w:t>所</w:t>
            </w:r>
            <w:r>
              <w:rPr>
                <w:sz w:val="24"/>
              </w:rPr>
              <w:t>签订的销售合同（合同金额配置等信息清晰可见）评分，每提供一个合同复印件得1分，最高</w:t>
            </w:r>
            <w:r>
              <w:rPr>
                <w:rFonts w:hint="eastAsia"/>
                <w:sz w:val="24"/>
                <w:lang w:val="en-US" w:eastAsia="zh-CN"/>
              </w:rPr>
              <w:t>3</w:t>
            </w:r>
            <w:r>
              <w:rPr>
                <w:sz w:val="24"/>
              </w:rPr>
              <w:t>分。</w:t>
            </w:r>
          </w:p>
        </w:tc>
        <w:tc>
          <w:tcPr>
            <w:tcW w:w="953" w:type="dxa"/>
            <w:vAlign w:val="center"/>
          </w:tcPr>
          <w:p w14:paraId="0DD30ECF">
            <w:pPr>
              <w:jc w:val="center"/>
              <w:rPr>
                <w:sz w:val="24"/>
              </w:rPr>
            </w:pPr>
            <w:r>
              <w:rPr>
                <w:sz w:val="24"/>
              </w:rPr>
              <w:t>客观分</w:t>
            </w:r>
          </w:p>
        </w:tc>
        <w:tc>
          <w:tcPr>
            <w:tcW w:w="912" w:type="dxa"/>
            <w:vAlign w:val="center"/>
          </w:tcPr>
          <w:p w14:paraId="74EBCEAC">
            <w:pPr>
              <w:jc w:val="center"/>
              <w:rPr>
                <w:sz w:val="24"/>
              </w:rPr>
            </w:pPr>
            <w:r>
              <w:rPr>
                <w:rFonts w:hint="eastAsia"/>
                <w:sz w:val="24"/>
                <w:lang w:val="en-US" w:eastAsia="zh-CN"/>
              </w:rPr>
              <w:t>3</w:t>
            </w:r>
            <w:r>
              <w:rPr>
                <w:sz w:val="24"/>
              </w:rPr>
              <w:t>分</w:t>
            </w:r>
          </w:p>
        </w:tc>
      </w:tr>
      <w:tr w14:paraId="288D09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349FF792">
            <w:pPr>
              <w:jc w:val="center"/>
              <w:rPr>
                <w:sz w:val="24"/>
              </w:rPr>
            </w:pPr>
            <w:r>
              <w:rPr>
                <w:sz w:val="24"/>
              </w:rPr>
              <w:t>4</w:t>
            </w:r>
          </w:p>
        </w:tc>
        <w:tc>
          <w:tcPr>
            <w:tcW w:w="6050" w:type="dxa"/>
            <w:vAlign w:val="center"/>
          </w:tcPr>
          <w:p w14:paraId="77E975E0">
            <w:pPr>
              <w:rPr>
                <w:sz w:val="24"/>
              </w:rPr>
            </w:pPr>
            <w:r>
              <w:rPr>
                <w:rFonts w:hint="eastAsia"/>
                <w:sz w:val="24"/>
              </w:rPr>
              <w:t>所投</w:t>
            </w:r>
            <w:r>
              <w:rPr>
                <w:sz w:val="24"/>
              </w:rPr>
              <w:t>产品技术功能的先进性0-4分</w:t>
            </w:r>
            <w:r>
              <w:rPr>
                <w:rFonts w:hint="eastAsia"/>
                <w:sz w:val="24"/>
              </w:rPr>
              <w:t>，</w:t>
            </w:r>
            <w:r>
              <w:rPr>
                <w:sz w:val="24"/>
              </w:rPr>
              <w:t>设备适用性、配置的合理性0-4分。</w:t>
            </w:r>
          </w:p>
        </w:tc>
        <w:tc>
          <w:tcPr>
            <w:tcW w:w="953" w:type="dxa"/>
            <w:vAlign w:val="center"/>
          </w:tcPr>
          <w:p w14:paraId="525C0A69">
            <w:pPr>
              <w:jc w:val="center"/>
              <w:rPr>
                <w:sz w:val="24"/>
              </w:rPr>
            </w:pPr>
            <w:r>
              <w:rPr>
                <w:sz w:val="24"/>
              </w:rPr>
              <w:t>主观分</w:t>
            </w:r>
          </w:p>
        </w:tc>
        <w:tc>
          <w:tcPr>
            <w:tcW w:w="912" w:type="dxa"/>
            <w:vAlign w:val="center"/>
          </w:tcPr>
          <w:p w14:paraId="300837AF">
            <w:pPr>
              <w:jc w:val="center"/>
              <w:rPr>
                <w:sz w:val="24"/>
              </w:rPr>
            </w:pPr>
            <w:r>
              <w:rPr>
                <w:color w:val="000000" w:themeColor="text1"/>
                <w:sz w:val="24"/>
              </w:rPr>
              <w:t>8分</w:t>
            </w:r>
          </w:p>
        </w:tc>
      </w:tr>
      <w:tr w14:paraId="2F8E8D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45C3CDAD">
            <w:pPr>
              <w:jc w:val="center"/>
              <w:rPr>
                <w:sz w:val="24"/>
              </w:rPr>
            </w:pPr>
            <w:r>
              <w:rPr>
                <w:sz w:val="24"/>
              </w:rPr>
              <w:t>5</w:t>
            </w:r>
          </w:p>
        </w:tc>
        <w:tc>
          <w:tcPr>
            <w:tcW w:w="6050" w:type="dxa"/>
            <w:vAlign w:val="center"/>
          </w:tcPr>
          <w:p w14:paraId="03B63F3E">
            <w:pPr>
              <w:rPr>
                <w:sz w:val="24"/>
              </w:rPr>
            </w:pPr>
            <w:r>
              <w:rPr>
                <w:rFonts w:hint="eastAsia"/>
                <w:sz w:val="24"/>
              </w:rPr>
              <w:t>响应文件编制的规范程度</w:t>
            </w:r>
            <w:r>
              <w:rPr>
                <w:sz w:val="24"/>
              </w:rPr>
              <w:t>0-</w:t>
            </w:r>
            <w:r>
              <w:rPr>
                <w:rFonts w:hint="eastAsia"/>
                <w:sz w:val="24"/>
                <w:lang w:val="en-US" w:eastAsia="zh-CN"/>
              </w:rPr>
              <w:t>1</w:t>
            </w:r>
            <w:r>
              <w:rPr>
                <w:sz w:val="24"/>
              </w:rPr>
              <w:t>分</w:t>
            </w:r>
            <w:r>
              <w:rPr>
                <w:rFonts w:hint="eastAsia"/>
                <w:sz w:val="24"/>
              </w:rPr>
              <w:t>。</w:t>
            </w:r>
          </w:p>
        </w:tc>
        <w:tc>
          <w:tcPr>
            <w:tcW w:w="953" w:type="dxa"/>
            <w:vAlign w:val="center"/>
          </w:tcPr>
          <w:p w14:paraId="01A4D564">
            <w:pPr>
              <w:jc w:val="center"/>
              <w:rPr>
                <w:sz w:val="24"/>
              </w:rPr>
            </w:pPr>
            <w:r>
              <w:rPr>
                <w:sz w:val="24"/>
              </w:rPr>
              <w:t>主观分</w:t>
            </w:r>
          </w:p>
        </w:tc>
        <w:tc>
          <w:tcPr>
            <w:tcW w:w="912" w:type="dxa"/>
            <w:vAlign w:val="center"/>
          </w:tcPr>
          <w:p w14:paraId="2B9B02B8">
            <w:pPr>
              <w:jc w:val="center"/>
              <w:rPr>
                <w:sz w:val="24"/>
              </w:rPr>
            </w:pPr>
            <w:r>
              <w:rPr>
                <w:rFonts w:hint="eastAsia"/>
                <w:color w:val="000000" w:themeColor="text1"/>
                <w:sz w:val="24"/>
                <w:lang w:val="en-US" w:eastAsia="zh-CN"/>
              </w:rPr>
              <w:t>1</w:t>
            </w:r>
            <w:r>
              <w:rPr>
                <w:color w:val="000000" w:themeColor="text1"/>
                <w:sz w:val="24"/>
              </w:rPr>
              <w:t>分</w:t>
            </w:r>
          </w:p>
        </w:tc>
      </w:tr>
      <w:tr w14:paraId="0F014E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0AD85F45">
            <w:pPr>
              <w:jc w:val="center"/>
              <w:rPr>
                <w:sz w:val="24"/>
              </w:rPr>
            </w:pPr>
            <w:r>
              <w:rPr>
                <w:sz w:val="24"/>
              </w:rPr>
              <w:t>6</w:t>
            </w:r>
          </w:p>
        </w:tc>
        <w:tc>
          <w:tcPr>
            <w:tcW w:w="6050" w:type="dxa"/>
            <w:vAlign w:val="center"/>
          </w:tcPr>
          <w:p w14:paraId="29CB8AC5">
            <w:pPr>
              <w:rPr>
                <w:sz w:val="24"/>
              </w:rPr>
            </w:pPr>
            <w:r>
              <w:rPr>
                <w:sz w:val="24"/>
              </w:rPr>
              <w:t>运行、维修成本：提供保修方案及价格，设备配件易损件价格，维修服务费，消耗品或易耗品的使用周期、价格等，评估报价和成本的合理性0-5分。</w:t>
            </w:r>
          </w:p>
        </w:tc>
        <w:tc>
          <w:tcPr>
            <w:tcW w:w="953" w:type="dxa"/>
            <w:vAlign w:val="center"/>
          </w:tcPr>
          <w:p w14:paraId="009783F5">
            <w:pPr>
              <w:jc w:val="center"/>
              <w:rPr>
                <w:sz w:val="24"/>
              </w:rPr>
            </w:pPr>
            <w:r>
              <w:rPr>
                <w:sz w:val="24"/>
              </w:rPr>
              <w:t>主观分</w:t>
            </w:r>
          </w:p>
        </w:tc>
        <w:tc>
          <w:tcPr>
            <w:tcW w:w="912" w:type="dxa"/>
            <w:vAlign w:val="center"/>
          </w:tcPr>
          <w:p w14:paraId="4FAE000E">
            <w:pPr>
              <w:jc w:val="center"/>
              <w:rPr>
                <w:sz w:val="24"/>
              </w:rPr>
            </w:pPr>
            <w:r>
              <w:rPr>
                <w:sz w:val="24"/>
              </w:rPr>
              <w:t>5分</w:t>
            </w:r>
          </w:p>
        </w:tc>
      </w:tr>
      <w:tr w14:paraId="13E439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40289FAD">
            <w:pPr>
              <w:jc w:val="center"/>
              <w:rPr>
                <w:sz w:val="24"/>
              </w:rPr>
            </w:pPr>
            <w:r>
              <w:rPr>
                <w:sz w:val="24"/>
              </w:rPr>
              <w:t>7</w:t>
            </w:r>
          </w:p>
        </w:tc>
        <w:tc>
          <w:tcPr>
            <w:tcW w:w="6050" w:type="dxa"/>
            <w:vAlign w:val="center"/>
          </w:tcPr>
          <w:p w14:paraId="718291C7">
            <w:pPr>
              <w:rPr>
                <w:sz w:val="24"/>
              </w:rPr>
            </w:pPr>
            <w:r>
              <w:rPr>
                <w:sz w:val="24"/>
              </w:rPr>
              <w:t>售后服务方案，包括安装验收、技术培训、服务响应时间、故障解决方案等完善性及时性0-5分。</w:t>
            </w:r>
          </w:p>
        </w:tc>
        <w:tc>
          <w:tcPr>
            <w:tcW w:w="953" w:type="dxa"/>
            <w:vAlign w:val="center"/>
          </w:tcPr>
          <w:p w14:paraId="391F68A5">
            <w:pPr>
              <w:jc w:val="center"/>
              <w:rPr>
                <w:sz w:val="24"/>
              </w:rPr>
            </w:pPr>
            <w:r>
              <w:rPr>
                <w:sz w:val="24"/>
              </w:rPr>
              <w:t>主观分</w:t>
            </w:r>
          </w:p>
        </w:tc>
        <w:tc>
          <w:tcPr>
            <w:tcW w:w="912" w:type="dxa"/>
            <w:vAlign w:val="center"/>
          </w:tcPr>
          <w:p w14:paraId="04FE4468">
            <w:pPr>
              <w:jc w:val="center"/>
              <w:rPr>
                <w:sz w:val="24"/>
              </w:rPr>
            </w:pPr>
            <w:r>
              <w:rPr>
                <w:sz w:val="24"/>
              </w:rPr>
              <w:t>5分</w:t>
            </w:r>
          </w:p>
        </w:tc>
      </w:tr>
      <w:tr w14:paraId="05A5B1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358C425A">
            <w:pPr>
              <w:jc w:val="center"/>
              <w:rPr>
                <w:sz w:val="24"/>
              </w:rPr>
            </w:pPr>
            <w:r>
              <w:rPr>
                <w:sz w:val="24"/>
              </w:rPr>
              <w:t>8</w:t>
            </w:r>
          </w:p>
        </w:tc>
        <w:tc>
          <w:tcPr>
            <w:tcW w:w="6050" w:type="dxa"/>
            <w:vAlign w:val="center"/>
          </w:tcPr>
          <w:p w14:paraId="60DA4E96">
            <w:pPr>
              <w:rPr>
                <w:sz w:val="24"/>
              </w:rPr>
            </w:pPr>
            <w:r>
              <w:rPr>
                <w:sz w:val="24"/>
              </w:rPr>
              <w:t>优惠条件：</w:t>
            </w:r>
            <w:r>
              <w:rPr>
                <w:sz w:val="24"/>
                <w:highlight w:val="none"/>
              </w:rPr>
              <w:t>评委对</w:t>
            </w:r>
            <w:r>
              <w:rPr>
                <w:rFonts w:hint="eastAsia"/>
                <w:color w:val="auto"/>
                <w:sz w:val="24"/>
                <w:highlight w:val="none"/>
              </w:rPr>
              <w:t>响应</w:t>
            </w:r>
            <w:r>
              <w:rPr>
                <w:rFonts w:hint="eastAsia"/>
                <w:color w:val="auto"/>
                <w:sz w:val="24"/>
                <w:highlight w:val="none"/>
                <w:lang w:eastAsia="zh-CN"/>
              </w:rPr>
              <w:t>内容</w:t>
            </w:r>
            <w:r>
              <w:rPr>
                <w:color w:val="auto"/>
                <w:sz w:val="24"/>
                <w:highlight w:val="none"/>
              </w:rPr>
              <w:t>中</w:t>
            </w:r>
            <w:r>
              <w:rPr>
                <w:sz w:val="24"/>
                <w:highlight w:val="none"/>
              </w:rPr>
              <w:t>是否</w:t>
            </w:r>
            <w:r>
              <w:rPr>
                <w:sz w:val="24"/>
              </w:rPr>
              <w:t>有超出采购文件的优惠条件进行评价，没有实质性优惠条件得0分；有优惠条件的给1-</w:t>
            </w:r>
            <w:r>
              <w:rPr>
                <w:rFonts w:hint="eastAsia"/>
                <w:sz w:val="24"/>
                <w:lang w:val="en-US" w:eastAsia="zh-CN"/>
              </w:rPr>
              <w:t>3</w:t>
            </w:r>
            <w:r>
              <w:rPr>
                <w:sz w:val="24"/>
              </w:rPr>
              <w:t>分。</w:t>
            </w:r>
          </w:p>
        </w:tc>
        <w:tc>
          <w:tcPr>
            <w:tcW w:w="953" w:type="dxa"/>
            <w:vAlign w:val="center"/>
          </w:tcPr>
          <w:p w14:paraId="3205ACCE">
            <w:pPr>
              <w:jc w:val="center"/>
              <w:rPr>
                <w:sz w:val="24"/>
              </w:rPr>
            </w:pPr>
            <w:r>
              <w:rPr>
                <w:sz w:val="24"/>
              </w:rPr>
              <w:t>主观分</w:t>
            </w:r>
          </w:p>
        </w:tc>
        <w:tc>
          <w:tcPr>
            <w:tcW w:w="912" w:type="dxa"/>
            <w:vAlign w:val="center"/>
          </w:tcPr>
          <w:p w14:paraId="1EC32C49">
            <w:pPr>
              <w:jc w:val="center"/>
              <w:rPr>
                <w:sz w:val="24"/>
              </w:rPr>
            </w:pPr>
            <w:r>
              <w:rPr>
                <w:rFonts w:hint="eastAsia"/>
                <w:sz w:val="24"/>
                <w:lang w:val="en-US" w:eastAsia="zh-CN"/>
              </w:rPr>
              <w:t>3</w:t>
            </w:r>
            <w:r>
              <w:rPr>
                <w:sz w:val="24"/>
              </w:rPr>
              <w:t>分</w:t>
            </w:r>
          </w:p>
        </w:tc>
      </w:tr>
      <w:tr w14:paraId="1895CB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07" w:type="dxa"/>
            <w:vAlign w:val="center"/>
          </w:tcPr>
          <w:p w14:paraId="409B7FA5">
            <w:pPr>
              <w:jc w:val="center"/>
              <w:rPr>
                <w:sz w:val="24"/>
              </w:rPr>
            </w:pPr>
            <w:r>
              <w:rPr>
                <w:rFonts w:hint="eastAsia"/>
                <w:sz w:val="24"/>
                <w:lang w:val="en-US" w:eastAsia="zh-CN"/>
              </w:rPr>
              <w:t>9</w:t>
            </w:r>
          </w:p>
        </w:tc>
        <w:tc>
          <w:tcPr>
            <w:tcW w:w="6050" w:type="dxa"/>
            <w:vAlign w:val="center"/>
          </w:tcPr>
          <w:p w14:paraId="2BA2D100">
            <w:pPr>
              <w:rPr>
                <w:rFonts w:hint="eastAsia"/>
                <w:b/>
                <w:bCs/>
                <w:color w:val="000000" w:themeColor="text1"/>
                <w:sz w:val="24"/>
                <w:highlight w:val="yellow"/>
                <w:lang w:eastAsia="zh-CN"/>
              </w:rPr>
            </w:pPr>
            <w:r>
              <w:rPr>
                <w:rFonts w:hint="eastAsia"/>
                <w:color w:val="000000" w:themeColor="text1"/>
                <w:sz w:val="24"/>
                <w:highlight w:val="yellow"/>
                <w:lang w:eastAsia="zh-CN"/>
              </w:rPr>
              <w:t>样品：</w:t>
            </w:r>
            <w:r>
              <w:rPr>
                <w:rFonts w:hint="eastAsia"/>
                <w:b/>
                <w:bCs/>
                <w:color w:val="000000" w:themeColor="text1"/>
                <w:sz w:val="24"/>
                <w:highlight w:val="yellow"/>
                <w:lang w:eastAsia="zh-CN"/>
              </w:rPr>
              <w:t>请于评审现场提供与所投产品同品牌同型号的样品一套。未提供样品或提供样品不全不得分。</w:t>
            </w:r>
          </w:p>
          <w:p w14:paraId="0316839A">
            <w:pPr>
              <w:rPr>
                <w:sz w:val="24"/>
              </w:rPr>
            </w:pPr>
            <w:r>
              <w:rPr>
                <w:rFonts w:hint="eastAsia"/>
                <w:color w:val="000000" w:themeColor="text1"/>
                <w:sz w:val="24"/>
                <w:lang w:eastAsia="zh-CN"/>
              </w:rPr>
              <w:t>评委根据样品整体外观、加工工艺、材质手感等进行综合评价</w:t>
            </w:r>
            <w:r>
              <w:rPr>
                <w:rFonts w:hint="eastAsia"/>
                <w:color w:val="000000" w:themeColor="text1"/>
                <w:sz w:val="24"/>
                <w:lang w:val="en-US" w:eastAsia="zh-CN"/>
              </w:rPr>
              <w:t>0-5分</w:t>
            </w:r>
            <w:r>
              <w:rPr>
                <w:rFonts w:hint="eastAsia"/>
                <w:color w:val="000000" w:themeColor="text1"/>
                <w:sz w:val="24"/>
                <w:lang w:eastAsia="zh-CN"/>
              </w:rPr>
              <w:t>。</w:t>
            </w:r>
          </w:p>
        </w:tc>
        <w:tc>
          <w:tcPr>
            <w:tcW w:w="953" w:type="dxa"/>
            <w:vAlign w:val="center"/>
          </w:tcPr>
          <w:p w14:paraId="51D93B35">
            <w:pPr>
              <w:jc w:val="center"/>
              <w:rPr>
                <w:sz w:val="24"/>
              </w:rPr>
            </w:pPr>
            <w:r>
              <w:rPr>
                <w:color w:val="000000" w:themeColor="text1"/>
                <w:sz w:val="24"/>
              </w:rPr>
              <w:t>主观分</w:t>
            </w:r>
          </w:p>
        </w:tc>
        <w:tc>
          <w:tcPr>
            <w:tcW w:w="912" w:type="dxa"/>
            <w:vAlign w:val="center"/>
          </w:tcPr>
          <w:p w14:paraId="15C153DF">
            <w:pPr>
              <w:jc w:val="center"/>
              <w:rPr>
                <w:sz w:val="24"/>
              </w:rPr>
            </w:pPr>
            <w:r>
              <w:rPr>
                <w:rFonts w:hint="eastAsia"/>
                <w:color w:val="000000" w:themeColor="text1"/>
                <w:sz w:val="24"/>
              </w:rPr>
              <w:t>5</w:t>
            </w:r>
            <w:r>
              <w:rPr>
                <w:color w:val="000000" w:themeColor="text1"/>
                <w:sz w:val="24"/>
              </w:rPr>
              <w:t>分</w:t>
            </w:r>
          </w:p>
        </w:tc>
      </w:tr>
      <w:tr w14:paraId="382110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07" w:type="dxa"/>
            <w:vAlign w:val="center"/>
          </w:tcPr>
          <w:p w14:paraId="45A2450A">
            <w:pPr>
              <w:jc w:val="center"/>
              <w:rPr>
                <w:sz w:val="24"/>
              </w:rPr>
            </w:pPr>
            <w:r>
              <w:rPr>
                <w:rFonts w:hint="eastAsia"/>
                <w:color w:val="000000" w:themeColor="text1"/>
                <w:sz w:val="24"/>
                <w:lang w:val="en-US" w:eastAsia="zh-CN"/>
              </w:rPr>
              <w:t>10</w:t>
            </w:r>
          </w:p>
        </w:tc>
        <w:tc>
          <w:tcPr>
            <w:tcW w:w="6050" w:type="dxa"/>
            <w:vAlign w:val="center"/>
          </w:tcPr>
          <w:p w14:paraId="7D3F69B8">
            <w:pPr>
              <w:rPr>
                <w:sz w:val="24"/>
              </w:rPr>
            </w:pPr>
            <w:r>
              <w:rPr>
                <w:color w:val="000000" w:themeColor="text1"/>
                <w:sz w:val="24"/>
              </w:rPr>
              <w:t>以满足采购文件要求且有效</w:t>
            </w:r>
            <w:r>
              <w:rPr>
                <w:rFonts w:hint="eastAsia"/>
                <w:color w:val="000000" w:themeColor="text1"/>
                <w:sz w:val="24"/>
              </w:rPr>
              <w:t>报价</w:t>
            </w:r>
            <w:r>
              <w:rPr>
                <w:color w:val="000000" w:themeColor="text1"/>
                <w:sz w:val="24"/>
              </w:rPr>
              <w:t>的最低</w:t>
            </w:r>
            <w:r>
              <w:rPr>
                <w:rFonts w:hint="eastAsia"/>
                <w:color w:val="000000" w:themeColor="text1"/>
                <w:sz w:val="24"/>
              </w:rPr>
              <w:t>价格</w:t>
            </w:r>
            <w:r>
              <w:rPr>
                <w:color w:val="000000" w:themeColor="text1"/>
                <w:sz w:val="24"/>
              </w:rPr>
              <w:t>为评标基准价，其价格分为30分。其他</w:t>
            </w:r>
            <w:r>
              <w:rPr>
                <w:rFonts w:hint="eastAsia"/>
                <w:color w:val="000000" w:themeColor="text1"/>
                <w:sz w:val="24"/>
              </w:rPr>
              <w:t>报价</w:t>
            </w:r>
            <w:r>
              <w:rPr>
                <w:color w:val="000000" w:themeColor="text1"/>
                <w:sz w:val="24"/>
              </w:rPr>
              <w:t>人的价格分统一按照下列公式计算：报价得分＝(评标基准价/有效报价)×价格分分值 (精确到小数点后二位，</w:t>
            </w:r>
            <w:r>
              <w:rPr>
                <w:color w:val="000000" w:themeColor="text1"/>
                <w:kern w:val="0"/>
                <w:sz w:val="24"/>
              </w:rPr>
              <w:t>第三位四舍五入</w:t>
            </w:r>
            <w:r>
              <w:rPr>
                <w:color w:val="000000" w:themeColor="text1"/>
                <w:sz w:val="24"/>
              </w:rPr>
              <w:t>)。各</w:t>
            </w:r>
            <w:r>
              <w:rPr>
                <w:rFonts w:hint="eastAsia"/>
                <w:color w:val="000000" w:themeColor="text1"/>
                <w:sz w:val="24"/>
              </w:rPr>
              <w:t>报价</w:t>
            </w:r>
            <w:r>
              <w:rPr>
                <w:color w:val="000000" w:themeColor="text1"/>
                <w:sz w:val="24"/>
              </w:rPr>
              <w:t>得分按评分公式由采购人计算，评委审核。</w:t>
            </w:r>
          </w:p>
        </w:tc>
        <w:tc>
          <w:tcPr>
            <w:tcW w:w="953" w:type="dxa"/>
            <w:vAlign w:val="center"/>
          </w:tcPr>
          <w:p w14:paraId="04C7B6ED">
            <w:pPr>
              <w:jc w:val="center"/>
              <w:rPr>
                <w:sz w:val="24"/>
              </w:rPr>
            </w:pPr>
            <w:r>
              <w:rPr>
                <w:color w:val="000000" w:themeColor="text1"/>
                <w:sz w:val="24"/>
              </w:rPr>
              <w:t>价格分</w:t>
            </w:r>
          </w:p>
        </w:tc>
        <w:tc>
          <w:tcPr>
            <w:tcW w:w="912" w:type="dxa"/>
            <w:vAlign w:val="center"/>
          </w:tcPr>
          <w:p w14:paraId="7CC157F8">
            <w:pPr>
              <w:jc w:val="center"/>
              <w:rPr>
                <w:sz w:val="24"/>
              </w:rPr>
            </w:pPr>
            <w:r>
              <w:rPr>
                <w:color w:val="000000" w:themeColor="text1"/>
                <w:sz w:val="24"/>
              </w:rPr>
              <w:t>30分</w:t>
            </w:r>
          </w:p>
        </w:tc>
      </w:tr>
    </w:tbl>
    <w:p w14:paraId="287AEA2A">
      <w:pPr>
        <w:numPr>
          <w:ilvl w:val="0"/>
          <w:numId w:val="0"/>
        </w:numPr>
        <w:rPr>
          <w:rFonts w:hint="eastAsia"/>
        </w:rPr>
      </w:pPr>
    </w:p>
    <w:p w14:paraId="6BD74E6C">
      <w:pPr>
        <w:rPr>
          <w:rFonts w:hint="eastAsia"/>
        </w:rPr>
      </w:pPr>
      <w:r>
        <w:rPr>
          <w:rFonts w:hint="eastAsia"/>
        </w:rPr>
        <w:br w:type="page"/>
      </w:r>
    </w:p>
    <w:p w14:paraId="581493B9">
      <w:pPr>
        <w:pStyle w:val="19"/>
        <w:numPr>
          <w:ilvl w:val="0"/>
          <w:numId w:val="3"/>
        </w:numPr>
        <w:rPr>
          <w:rFonts w:hint="eastAsia" w:eastAsia="宋体"/>
          <w:color w:val="auto"/>
        </w:rPr>
      </w:pPr>
      <w:r>
        <w:rPr>
          <w:rFonts w:hint="eastAsia"/>
          <w:color w:val="auto"/>
          <w:lang w:val="en-US" w:eastAsia="zh-CN"/>
        </w:rPr>
        <w:t xml:space="preserve"> </w:t>
      </w:r>
      <w:bookmarkStart w:id="4" w:name="_Toc30120"/>
      <w:r>
        <w:rPr>
          <w:rFonts w:hint="eastAsia" w:eastAsia="宋体"/>
          <w:color w:val="auto"/>
        </w:rPr>
        <w:t>响应文件格式</w:t>
      </w:r>
      <w:bookmarkEnd w:id="4"/>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3"/>
        </w:numPr>
        <w:rPr>
          <w:rFonts w:hint="eastAsia" w:eastAsia="宋体"/>
          <w:color w:val="auto"/>
        </w:rPr>
      </w:pPr>
      <w:r>
        <w:rPr>
          <w:rFonts w:hint="eastAsia"/>
          <w:color w:val="auto"/>
          <w:lang w:val="en-US" w:eastAsia="zh-CN"/>
        </w:rPr>
        <w:t xml:space="preserve"> </w:t>
      </w:r>
      <w:bookmarkStart w:id="5" w:name="_Toc28845"/>
      <w:r>
        <w:rPr>
          <w:rFonts w:hint="eastAsia" w:eastAsia="宋体"/>
          <w:color w:val="auto"/>
        </w:rPr>
        <w:t>合同主要条款</w:t>
      </w:r>
      <w:bookmarkEnd w:id="5"/>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6" w:name="_Hlk169698889"/>
      <w:r>
        <w:rPr>
          <w:rFonts w:ascii="微软雅黑" w:hAnsi="微软雅黑" w:eastAsia="微软雅黑" w:cs="Times New Roman"/>
          <w:snapToGrid w:val="0"/>
          <w:color w:val="auto"/>
          <w:kern w:val="0"/>
          <w:sz w:val="24"/>
          <w:szCs w:val="24"/>
          <w:lang w:val="zh-CN"/>
        </w:rPr>
        <w:t>货物</w:t>
      </w:r>
      <w:bookmarkEnd w:id="6"/>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4"/>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6"/>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7" w:name="_Toc142970449"/>
      <w:bookmarkStart w:id="8" w:name="_Toc144721928"/>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7"/>
    <w:bookmarkEnd w:id="8"/>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918737E0"/>
    <w:multiLevelType w:val="singleLevel"/>
    <w:tmpl w:val="918737E0"/>
    <w:lvl w:ilvl="0" w:tentative="0">
      <w:start w:val="1"/>
      <w:numFmt w:val="chineseCounting"/>
      <w:suff w:val="nothing"/>
      <w:lvlText w:val="%1、"/>
      <w:lvlJc w:val="left"/>
      <w:pPr>
        <w:ind w:left="0" w:firstLine="420"/>
      </w:pPr>
      <w:rPr>
        <w:rFonts w:hint="eastAsia"/>
      </w:rPr>
    </w:lvl>
  </w:abstractNum>
  <w:abstractNum w:abstractNumId="2">
    <w:nsid w:val="A070FF2D"/>
    <w:multiLevelType w:val="singleLevel"/>
    <w:tmpl w:val="A070FF2D"/>
    <w:lvl w:ilvl="0" w:tentative="0">
      <w:start w:val="3"/>
      <w:numFmt w:val="chineseCounting"/>
      <w:suff w:val="space"/>
      <w:lvlText w:val="第%1章"/>
      <w:lvlJc w:val="left"/>
      <w:rPr>
        <w:rFonts w:hint="eastAsia"/>
      </w:rPr>
    </w:lvl>
  </w:abstractNum>
  <w:abstractNum w:abstractNumId="3">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4">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AB2095"/>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7987EF2"/>
    <w:rsid w:val="081A339A"/>
    <w:rsid w:val="090D306A"/>
    <w:rsid w:val="092071F7"/>
    <w:rsid w:val="0949237B"/>
    <w:rsid w:val="09845742"/>
    <w:rsid w:val="09870B78"/>
    <w:rsid w:val="098A2D84"/>
    <w:rsid w:val="09B060FC"/>
    <w:rsid w:val="0ADA132B"/>
    <w:rsid w:val="0BE70350"/>
    <w:rsid w:val="0C724374"/>
    <w:rsid w:val="0CB101B0"/>
    <w:rsid w:val="0CEA5470"/>
    <w:rsid w:val="0D2F7062"/>
    <w:rsid w:val="0D692839"/>
    <w:rsid w:val="0DD30A2B"/>
    <w:rsid w:val="0E3C7F4D"/>
    <w:rsid w:val="0EAF7832"/>
    <w:rsid w:val="0F87344A"/>
    <w:rsid w:val="0F955B67"/>
    <w:rsid w:val="103A048B"/>
    <w:rsid w:val="112B402D"/>
    <w:rsid w:val="117A3266"/>
    <w:rsid w:val="11A82642"/>
    <w:rsid w:val="11D84F6D"/>
    <w:rsid w:val="12771554"/>
    <w:rsid w:val="128E0A5B"/>
    <w:rsid w:val="12C64289"/>
    <w:rsid w:val="12D04739"/>
    <w:rsid w:val="131E2DE2"/>
    <w:rsid w:val="13223BB5"/>
    <w:rsid w:val="133D454B"/>
    <w:rsid w:val="13963C5C"/>
    <w:rsid w:val="139F03F6"/>
    <w:rsid w:val="13BF042A"/>
    <w:rsid w:val="14BF6149"/>
    <w:rsid w:val="14D56CBC"/>
    <w:rsid w:val="14DA2F92"/>
    <w:rsid w:val="1525798D"/>
    <w:rsid w:val="153B2D0D"/>
    <w:rsid w:val="170557A0"/>
    <w:rsid w:val="18DE45A6"/>
    <w:rsid w:val="19196D44"/>
    <w:rsid w:val="19435583"/>
    <w:rsid w:val="19771B7E"/>
    <w:rsid w:val="1AE06FED"/>
    <w:rsid w:val="1B211512"/>
    <w:rsid w:val="1B4E4DE8"/>
    <w:rsid w:val="1B566579"/>
    <w:rsid w:val="1B8F5B60"/>
    <w:rsid w:val="1BD468A2"/>
    <w:rsid w:val="1BD866B3"/>
    <w:rsid w:val="1BDE3743"/>
    <w:rsid w:val="1CA0088A"/>
    <w:rsid w:val="1DBF0627"/>
    <w:rsid w:val="1DC32EB5"/>
    <w:rsid w:val="1DCD2970"/>
    <w:rsid w:val="1EB61656"/>
    <w:rsid w:val="1FE04BDC"/>
    <w:rsid w:val="20084116"/>
    <w:rsid w:val="204A184E"/>
    <w:rsid w:val="205D447F"/>
    <w:rsid w:val="20971013"/>
    <w:rsid w:val="21A61FC4"/>
    <w:rsid w:val="220A3C81"/>
    <w:rsid w:val="220A4192"/>
    <w:rsid w:val="222D3E0E"/>
    <w:rsid w:val="22AC349C"/>
    <w:rsid w:val="22B91715"/>
    <w:rsid w:val="22BE5A7C"/>
    <w:rsid w:val="22F22F30"/>
    <w:rsid w:val="230E7CB2"/>
    <w:rsid w:val="23FA1BD9"/>
    <w:rsid w:val="24961D0D"/>
    <w:rsid w:val="24997A50"/>
    <w:rsid w:val="24D6105D"/>
    <w:rsid w:val="24E567F1"/>
    <w:rsid w:val="24FE1558"/>
    <w:rsid w:val="26040EF9"/>
    <w:rsid w:val="263A33A2"/>
    <w:rsid w:val="264F486A"/>
    <w:rsid w:val="27BA3F65"/>
    <w:rsid w:val="281573ED"/>
    <w:rsid w:val="2852643E"/>
    <w:rsid w:val="2871282B"/>
    <w:rsid w:val="288D1B1B"/>
    <w:rsid w:val="29505072"/>
    <w:rsid w:val="29555DD1"/>
    <w:rsid w:val="29B42C36"/>
    <w:rsid w:val="2A816FBC"/>
    <w:rsid w:val="2AA05E26"/>
    <w:rsid w:val="2B350611"/>
    <w:rsid w:val="2B705E2B"/>
    <w:rsid w:val="2B836D64"/>
    <w:rsid w:val="2BC96E6C"/>
    <w:rsid w:val="2BDF3837"/>
    <w:rsid w:val="2BEE541D"/>
    <w:rsid w:val="2CD51841"/>
    <w:rsid w:val="2E1A39AF"/>
    <w:rsid w:val="2E304F81"/>
    <w:rsid w:val="2E374561"/>
    <w:rsid w:val="2E4875C6"/>
    <w:rsid w:val="2EE1627B"/>
    <w:rsid w:val="2F074EA2"/>
    <w:rsid w:val="2FA07E42"/>
    <w:rsid w:val="2FD41752"/>
    <w:rsid w:val="30194126"/>
    <w:rsid w:val="304070FC"/>
    <w:rsid w:val="305B3700"/>
    <w:rsid w:val="30890978"/>
    <w:rsid w:val="32081D71"/>
    <w:rsid w:val="32777E7D"/>
    <w:rsid w:val="32C23C57"/>
    <w:rsid w:val="32DE7A2F"/>
    <w:rsid w:val="330A0424"/>
    <w:rsid w:val="33453773"/>
    <w:rsid w:val="33CB2BCE"/>
    <w:rsid w:val="33DD1D36"/>
    <w:rsid w:val="33F702EF"/>
    <w:rsid w:val="34170D13"/>
    <w:rsid w:val="349A13A6"/>
    <w:rsid w:val="3507468B"/>
    <w:rsid w:val="35C85566"/>
    <w:rsid w:val="35F16F3F"/>
    <w:rsid w:val="364824BA"/>
    <w:rsid w:val="369E2CA4"/>
    <w:rsid w:val="36D63FF5"/>
    <w:rsid w:val="37394099"/>
    <w:rsid w:val="37BF6F64"/>
    <w:rsid w:val="382E5B98"/>
    <w:rsid w:val="38547ABE"/>
    <w:rsid w:val="38D1110E"/>
    <w:rsid w:val="3992552F"/>
    <w:rsid w:val="39AD3929"/>
    <w:rsid w:val="39D60A33"/>
    <w:rsid w:val="3A283FE8"/>
    <w:rsid w:val="3A4D6EBA"/>
    <w:rsid w:val="3A695373"/>
    <w:rsid w:val="3A6B1889"/>
    <w:rsid w:val="3A7B026E"/>
    <w:rsid w:val="3A8066BC"/>
    <w:rsid w:val="3B9F1750"/>
    <w:rsid w:val="3BE64ED1"/>
    <w:rsid w:val="3C0B4340"/>
    <w:rsid w:val="3C3C79E8"/>
    <w:rsid w:val="3C595371"/>
    <w:rsid w:val="3CC14813"/>
    <w:rsid w:val="3CCF3BB7"/>
    <w:rsid w:val="3D6562C9"/>
    <w:rsid w:val="3D874491"/>
    <w:rsid w:val="3DCC7A7C"/>
    <w:rsid w:val="3DD1766F"/>
    <w:rsid w:val="3EB05C6A"/>
    <w:rsid w:val="3F00274D"/>
    <w:rsid w:val="3F5039A5"/>
    <w:rsid w:val="3F564F2A"/>
    <w:rsid w:val="3F5E7474"/>
    <w:rsid w:val="3FA8312C"/>
    <w:rsid w:val="3FCB58CB"/>
    <w:rsid w:val="404A47AA"/>
    <w:rsid w:val="407A5B77"/>
    <w:rsid w:val="40B93AD3"/>
    <w:rsid w:val="40ED0E46"/>
    <w:rsid w:val="410A2755"/>
    <w:rsid w:val="41132024"/>
    <w:rsid w:val="419329F4"/>
    <w:rsid w:val="426254CD"/>
    <w:rsid w:val="42666D6B"/>
    <w:rsid w:val="428B64A2"/>
    <w:rsid w:val="42EC47AF"/>
    <w:rsid w:val="42EF6D61"/>
    <w:rsid w:val="43193DDE"/>
    <w:rsid w:val="43675A04"/>
    <w:rsid w:val="43AD7ADA"/>
    <w:rsid w:val="43D877F5"/>
    <w:rsid w:val="43E10162"/>
    <w:rsid w:val="444F611F"/>
    <w:rsid w:val="44760A9D"/>
    <w:rsid w:val="44B4311E"/>
    <w:rsid w:val="44F248E6"/>
    <w:rsid w:val="45CC5137"/>
    <w:rsid w:val="45FF375F"/>
    <w:rsid w:val="46162856"/>
    <w:rsid w:val="46362EF9"/>
    <w:rsid w:val="46A20569"/>
    <w:rsid w:val="46EE732F"/>
    <w:rsid w:val="476B0980"/>
    <w:rsid w:val="476E221E"/>
    <w:rsid w:val="47CC2624"/>
    <w:rsid w:val="48AB372A"/>
    <w:rsid w:val="48CB3DCC"/>
    <w:rsid w:val="48D27FF8"/>
    <w:rsid w:val="48D569F9"/>
    <w:rsid w:val="497A3D4B"/>
    <w:rsid w:val="498D1081"/>
    <w:rsid w:val="49AA35CE"/>
    <w:rsid w:val="4A5611F5"/>
    <w:rsid w:val="4C403F79"/>
    <w:rsid w:val="4C8B180D"/>
    <w:rsid w:val="4CA037FA"/>
    <w:rsid w:val="4D0E24D9"/>
    <w:rsid w:val="4D401909"/>
    <w:rsid w:val="4D73058E"/>
    <w:rsid w:val="4D7F33D7"/>
    <w:rsid w:val="4D820F72"/>
    <w:rsid w:val="4DDA23BB"/>
    <w:rsid w:val="4E546612"/>
    <w:rsid w:val="4E5C018C"/>
    <w:rsid w:val="4E766588"/>
    <w:rsid w:val="4E824F2D"/>
    <w:rsid w:val="50093785"/>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736E02"/>
    <w:rsid w:val="55DE4E3E"/>
    <w:rsid w:val="55E262B1"/>
    <w:rsid w:val="55FA2598"/>
    <w:rsid w:val="5653294C"/>
    <w:rsid w:val="56666EE2"/>
    <w:rsid w:val="568B3E88"/>
    <w:rsid w:val="579B178C"/>
    <w:rsid w:val="58C04746"/>
    <w:rsid w:val="59194316"/>
    <w:rsid w:val="596A6026"/>
    <w:rsid w:val="599364B0"/>
    <w:rsid w:val="5A492DA3"/>
    <w:rsid w:val="5A6645C8"/>
    <w:rsid w:val="5B912A21"/>
    <w:rsid w:val="5C354EDB"/>
    <w:rsid w:val="5D013FA6"/>
    <w:rsid w:val="5D891708"/>
    <w:rsid w:val="5D9702C9"/>
    <w:rsid w:val="5DCC7F73"/>
    <w:rsid w:val="5E0D40E7"/>
    <w:rsid w:val="5E190CDE"/>
    <w:rsid w:val="5E7B5E08"/>
    <w:rsid w:val="5E7D74BF"/>
    <w:rsid w:val="5EC724E8"/>
    <w:rsid w:val="5F543E6A"/>
    <w:rsid w:val="5F8C6C68"/>
    <w:rsid w:val="5F8D54E0"/>
    <w:rsid w:val="5FB7255D"/>
    <w:rsid w:val="5FE1582B"/>
    <w:rsid w:val="5FE62E42"/>
    <w:rsid w:val="5FF34165"/>
    <w:rsid w:val="5FFC4A99"/>
    <w:rsid w:val="6078146D"/>
    <w:rsid w:val="60996056"/>
    <w:rsid w:val="61446072"/>
    <w:rsid w:val="615D1AB0"/>
    <w:rsid w:val="6185307B"/>
    <w:rsid w:val="61A43138"/>
    <w:rsid w:val="61C176C2"/>
    <w:rsid w:val="61D54F1C"/>
    <w:rsid w:val="61DD1805"/>
    <w:rsid w:val="624D07DC"/>
    <w:rsid w:val="6280132C"/>
    <w:rsid w:val="63144A9E"/>
    <w:rsid w:val="631A5FB8"/>
    <w:rsid w:val="63400343"/>
    <w:rsid w:val="638D1FEC"/>
    <w:rsid w:val="65794AEE"/>
    <w:rsid w:val="65817895"/>
    <w:rsid w:val="658F0953"/>
    <w:rsid w:val="65FC33BF"/>
    <w:rsid w:val="66096397"/>
    <w:rsid w:val="665F7549"/>
    <w:rsid w:val="66A54D49"/>
    <w:rsid w:val="66AD46B9"/>
    <w:rsid w:val="66F6415A"/>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776FE8"/>
    <w:rsid w:val="6FDA5D22"/>
    <w:rsid w:val="709938DD"/>
    <w:rsid w:val="712A6EE7"/>
    <w:rsid w:val="714F6A99"/>
    <w:rsid w:val="7185070D"/>
    <w:rsid w:val="71B6488D"/>
    <w:rsid w:val="72255A4C"/>
    <w:rsid w:val="724F1D63"/>
    <w:rsid w:val="727B1B10"/>
    <w:rsid w:val="734F56A1"/>
    <w:rsid w:val="739C6BE4"/>
    <w:rsid w:val="73B01345"/>
    <w:rsid w:val="73B726D3"/>
    <w:rsid w:val="74523DBE"/>
    <w:rsid w:val="74D379E1"/>
    <w:rsid w:val="750556C0"/>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8F0691"/>
    <w:rsid w:val="7C99506C"/>
    <w:rsid w:val="7CF443A8"/>
    <w:rsid w:val="7D015BC5"/>
    <w:rsid w:val="7D79528C"/>
    <w:rsid w:val="7E0D3C64"/>
    <w:rsid w:val="7E4C610E"/>
    <w:rsid w:val="7E5F22E5"/>
    <w:rsid w:val="7F223B49"/>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2"/>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 w:type="character" w:customStyle="1" w:styleId="61">
    <w:name w:val="font31"/>
    <w:basedOn w:val="23"/>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19</Pages>
  <Words>6380</Words>
  <Characters>6627</Characters>
  <Lines>60</Lines>
  <Paragraphs>16</Paragraphs>
  <TotalTime>1</TotalTime>
  <ScaleCrop>false</ScaleCrop>
  <LinksUpToDate>false</LinksUpToDate>
  <CharactersWithSpaces>6841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2026-07-28T08:38:59Z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