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9"/>
        <w:widowControl w:val="0"/>
        <w:snapToGrid w:val="0"/>
        <w:spacing w:line="360" w:lineRule="auto"/>
        <w:ind w:firstLine="418" w:firstLineChars="52"/>
        <w:jc w:val="center"/>
        <w:rPr>
          <w:rFonts w:hint="eastAsia" w:ascii="宋体" w:hAnsi="宋体"/>
          <w:color w:val="auto"/>
          <w:sz w:val="80"/>
          <w:szCs w:val="80"/>
        </w:rPr>
      </w:pPr>
    </w:p>
    <w:p>
      <w:pPr>
        <w:pStyle w:val="49"/>
        <w:widowControl w:val="0"/>
        <w:snapToGrid w:val="0"/>
        <w:spacing w:line="360" w:lineRule="auto"/>
        <w:ind w:firstLine="418" w:firstLineChars="52"/>
        <w:jc w:val="center"/>
        <w:rPr>
          <w:rFonts w:hint="eastAsia" w:ascii="宋体" w:hAnsi="宋体"/>
          <w:color w:val="auto"/>
          <w:sz w:val="80"/>
          <w:szCs w:val="80"/>
        </w:rPr>
      </w:pPr>
      <w:r>
        <w:rPr>
          <w:rFonts w:hint="eastAsia" w:ascii="宋体" w:hAnsi="宋体"/>
          <w:color w:val="auto"/>
          <w:sz w:val="80"/>
          <w:szCs w:val="80"/>
        </w:rPr>
        <w:t>院内采购文件</w:t>
      </w:r>
    </w:p>
    <w:p>
      <w:pPr>
        <w:pStyle w:val="49"/>
        <w:widowControl w:val="0"/>
        <w:snapToGrid w:val="0"/>
        <w:spacing w:line="360" w:lineRule="auto"/>
        <w:ind w:firstLine="0"/>
        <w:jc w:val="center"/>
        <w:rPr>
          <w:bCs/>
          <w:color w:val="auto"/>
          <w:kern w:val="2"/>
          <w:sz w:val="32"/>
          <w:szCs w:val="32"/>
        </w:rPr>
      </w:pPr>
    </w:p>
    <w:p>
      <w:pPr>
        <w:pStyle w:val="49"/>
        <w:widowControl w:val="0"/>
        <w:snapToGrid w:val="0"/>
        <w:spacing w:line="360" w:lineRule="auto"/>
        <w:ind w:firstLine="0"/>
        <w:jc w:val="center"/>
        <w:rPr>
          <w:bCs/>
          <w:color w:val="auto"/>
          <w:kern w:val="2"/>
          <w:sz w:val="32"/>
          <w:szCs w:val="32"/>
        </w:rPr>
      </w:pPr>
    </w:p>
    <w:p>
      <w:pPr>
        <w:pStyle w:val="49"/>
        <w:widowControl w:val="0"/>
        <w:snapToGrid w:val="0"/>
        <w:spacing w:line="360" w:lineRule="auto"/>
        <w:ind w:firstLine="0"/>
        <w:jc w:val="center"/>
        <w:rPr>
          <w:bCs/>
          <w:color w:val="auto"/>
          <w:kern w:val="2"/>
          <w:sz w:val="32"/>
          <w:szCs w:val="32"/>
        </w:rPr>
      </w:pPr>
    </w:p>
    <w:p>
      <w:pPr>
        <w:pStyle w:val="49"/>
        <w:widowControl w:val="0"/>
        <w:snapToGrid w:val="0"/>
        <w:spacing w:line="360" w:lineRule="auto"/>
        <w:ind w:firstLine="0"/>
        <w:jc w:val="center"/>
        <w:rPr>
          <w:bCs/>
          <w:color w:val="auto"/>
          <w:kern w:val="2"/>
          <w:sz w:val="32"/>
          <w:szCs w:val="32"/>
        </w:rPr>
      </w:pPr>
    </w:p>
    <w:p>
      <w:pPr>
        <w:pStyle w:val="49"/>
        <w:widowControl w:val="0"/>
        <w:snapToGrid w:val="0"/>
        <w:spacing w:line="360" w:lineRule="auto"/>
        <w:ind w:firstLine="0"/>
        <w:jc w:val="center"/>
        <w:rPr>
          <w:bCs/>
          <w:color w:val="auto"/>
          <w:kern w:val="2"/>
          <w:sz w:val="32"/>
          <w:szCs w:val="32"/>
        </w:rPr>
      </w:pPr>
    </w:p>
    <w:p>
      <w:pPr>
        <w:spacing w:line="360" w:lineRule="auto"/>
        <w:jc w:val="center"/>
        <w:rPr>
          <w:rFonts w:hint="eastAsia" w:eastAsia="宋体"/>
          <w:b/>
          <w:bCs/>
          <w:sz w:val="32"/>
          <w:szCs w:val="32"/>
          <w:lang w:eastAsia="zh-CN"/>
        </w:rPr>
      </w:pPr>
      <w:r>
        <w:rPr>
          <w:rFonts w:hint="eastAsia"/>
          <w:b/>
          <w:bCs/>
          <w:sz w:val="32"/>
          <w:szCs w:val="32"/>
        </w:rPr>
        <w:t>项目名称： 基于临床影像数据的数字3d模型开发及制作</w:t>
      </w:r>
    </w:p>
    <w:p>
      <w:pPr>
        <w:pStyle w:val="49"/>
        <w:widowControl w:val="0"/>
        <w:snapToGrid w:val="0"/>
        <w:spacing w:line="360" w:lineRule="auto"/>
        <w:ind w:firstLine="0"/>
        <w:jc w:val="center"/>
        <w:rPr>
          <w:rFonts w:hint="default" w:eastAsia="宋体"/>
          <w:bCs/>
          <w:color w:val="auto"/>
          <w:kern w:val="2"/>
          <w:sz w:val="32"/>
          <w:szCs w:val="32"/>
          <w:lang w:val="en-US" w:eastAsia="zh-CN"/>
        </w:rPr>
      </w:pPr>
    </w:p>
    <w:p>
      <w:pPr>
        <w:spacing w:line="360" w:lineRule="auto"/>
        <w:jc w:val="center"/>
        <w:rPr>
          <w:rFonts w:hint="default" w:ascii="宋体" w:hAnsi="宋体" w:eastAsia="宋体"/>
          <w:b/>
          <w:sz w:val="32"/>
          <w:u w:val="single"/>
          <w:lang w:val="en-US" w:eastAsia="zh-CN"/>
        </w:rPr>
      </w:pPr>
      <w:r>
        <w:rPr>
          <w:b/>
          <w:bCs/>
          <w:sz w:val="32"/>
          <w:szCs w:val="32"/>
        </w:rPr>
        <w:t>项目编号：</w:t>
      </w:r>
      <w:r>
        <w:rPr>
          <w:rFonts w:hint="eastAsia"/>
          <w:b/>
          <w:bCs/>
          <w:sz w:val="32"/>
          <w:szCs w:val="32"/>
        </w:rPr>
        <w:t>CGZX</w:t>
      </w:r>
      <w:r>
        <w:rPr>
          <w:b/>
          <w:bCs/>
          <w:sz w:val="32"/>
          <w:szCs w:val="32"/>
        </w:rPr>
        <w:t>-</w:t>
      </w:r>
      <w:r>
        <w:rPr>
          <w:rFonts w:hint="eastAsia"/>
          <w:b/>
          <w:bCs/>
          <w:sz w:val="32"/>
          <w:szCs w:val="32"/>
          <w:lang w:val="en-US" w:eastAsia="zh-CN"/>
        </w:rPr>
        <w:t>WSFW</w:t>
      </w:r>
      <w:r>
        <w:rPr>
          <w:b/>
          <w:bCs/>
          <w:sz w:val="32"/>
          <w:szCs w:val="32"/>
        </w:rPr>
        <w:t>-202</w:t>
      </w:r>
      <w:r>
        <w:rPr>
          <w:rFonts w:hint="eastAsia"/>
          <w:b/>
          <w:bCs/>
          <w:sz w:val="32"/>
          <w:szCs w:val="32"/>
        </w:rPr>
        <w:t>60</w:t>
      </w:r>
      <w:r>
        <w:rPr>
          <w:rFonts w:hint="eastAsia"/>
          <w:b/>
          <w:bCs/>
          <w:sz w:val="32"/>
          <w:szCs w:val="32"/>
          <w:lang w:val="en-US" w:eastAsia="zh-CN"/>
        </w:rPr>
        <w:t>825</w:t>
      </w:r>
    </w:p>
    <w:p>
      <w:pPr>
        <w:pStyle w:val="49"/>
        <w:widowControl w:val="0"/>
        <w:snapToGrid w:val="0"/>
        <w:spacing w:line="360" w:lineRule="auto"/>
        <w:ind w:firstLine="0"/>
        <w:jc w:val="center"/>
        <w:rPr>
          <w:rFonts w:hint="eastAsia" w:ascii="宋体" w:hAnsi="宋体"/>
          <w:color w:val="auto"/>
        </w:rPr>
      </w:pPr>
    </w:p>
    <w:p>
      <w:pPr>
        <w:pStyle w:val="49"/>
        <w:spacing w:line="360" w:lineRule="auto"/>
        <w:ind w:firstLine="0"/>
        <w:jc w:val="center"/>
        <w:rPr>
          <w:rFonts w:hint="eastAsia" w:ascii="宋体" w:hAnsi="宋体"/>
          <w:color w:val="auto"/>
          <w:sz w:val="32"/>
          <w:szCs w:val="32"/>
        </w:rPr>
      </w:pPr>
    </w:p>
    <w:p>
      <w:pPr>
        <w:pStyle w:val="49"/>
        <w:spacing w:line="360" w:lineRule="auto"/>
        <w:ind w:firstLine="0"/>
        <w:jc w:val="center"/>
        <w:rPr>
          <w:rFonts w:hint="eastAsia" w:ascii="宋体" w:hAnsi="宋体"/>
          <w:color w:val="auto"/>
          <w:sz w:val="32"/>
          <w:szCs w:val="32"/>
        </w:rPr>
      </w:pPr>
    </w:p>
    <w:p>
      <w:pPr>
        <w:pStyle w:val="49"/>
        <w:spacing w:line="360" w:lineRule="auto"/>
        <w:ind w:firstLine="0"/>
        <w:jc w:val="center"/>
        <w:rPr>
          <w:rFonts w:hint="eastAsia" w:ascii="宋体" w:hAnsi="宋体"/>
          <w:color w:val="auto"/>
          <w:sz w:val="32"/>
          <w:szCs w:val="32"/>
        </w:rPr>
      </w:pPr>
    </w:p>
    <w:p>
      <w:pPr>
        <w:pStyle w:val="49"/>
        <w:spacing w:line="360" w:lineRule="auto"/>
        <w:ind w:firstLine="0"/>
        <w:jc w:val="center"/>
        <w:rPr>
          <w:rFonts w:hint="eastAsia" w:ascii="宋体" w:hAnsi="宋体"/>
          <w:color w:val="auto"/>
          <w:sz w:val="32"/>
          <w:szCs w:val="32"/>
        </w:rPr>
      </w:pPr>
    </w:p>
    <w:p>
      <w:pPr>
        <w:pStyle w:val="49"/>
        <w:spacing w:line="360" w:lineRule="auto"/>
        <w:ind w:firstLine="0"/>
        <w:jc w:val="center"/>
        <w:rPr>
          <w:rFonts w:hint="eastAsia" w:ascii="宋体" w:hAnsi="宋体"/>
          <w:color w:val="auto"/>
          <w:sz w:val="32"/>
          <w:szCs w:val="32"/>
        </w:rPr>
      </w:pPr>
    </w:p>
    <w:p>
      <w:pPr>
        <w:pStyle w:val="49"/>
        <w:spacing w:line="360" w:lineRule="auto"/>
        <w:ind w:firstLine="0"/>
        <w:jc w:val="center"/>
        <w:rPr>
          <w:rFonts w:hint="eastAsia" w:ascii="宋体" w:hAnsi="宋体"/>
          <w:color w:val="auto"/>
          <w:sz w:val="32"/>
          <w:szCs w:val="32"/>
        </w:rPr>
      </w:pPr>
      <w:r>
        <w:rPr>
          <w:rFonts w:hint="eastAsia" w:ascii="宋体" w:hAnsi="宋体"/>
          <w:color w:val="auto"/>
          <w:sz w:val="32"/>
          <w:szCs w:val="32"/>
        </w:rPr>
        <w:t>采购单位：浙江大学医学院附属妇产科医院</w:t>
      </w:r>
    </w:p>
    <w:p>
      <w:pPr>
        <w:pStyle w:val="49"/>
        <w:spacing w:line="360" w:lineRule="auto"/>
        <w:ind w:firstLine="0"/>
        <w:jc w:val="center"/>
        <w:rPr>
          <w:rFonts w:hint="eastAsia" w:ascii="宋体" w:hAnsi="宋体"/>
          <w:sz w:val="32"/>
          <w:szCs w:val="32"/>
        </w:rPr>
      </w:pPr>
      <w:r>
        <w:rPr>
          <w:rFonts w:hint="eastAsia" w:ascii="宋体" w:hAnsi="宋体"/>
          <w:sz w:val="32"/>
          <w:szCs w:val="32"/>
        </w:rPr>
        <w:t>二〇二六</w:t>
      </w:r>
      <w:r>
        <w:rPr>
          <w:rFonts w:ascii="宋体" w:hAnsi="宋体"/>
          <w:sz w:val="32"/>
          <w:szCs w:val="32"/>
        </w:rPr>
        <w:t>年</w:t>
      </w:r>
      <w:r>
        <w:rPr>
          <w:rFonts w:hint="eastAsia" w:ascii="宋体" w:hAnsi="宋体"/>
          <w:sz w:val="32"/>
          <w:szCs w:val="32"/>
          <w:lang w:eastAsia="zh-CN"/>
        </w:rPr>
        <w:t>八</w:t>
      </w:r>
      <w:r>
        <w:rPr>
          <w:rFonts w:ascii="宋体" w:hAnsi="宋体"/>
          <w:sz w:val="32"/>
          <w:szCs w:val="32"/>
        </w:rPr>
        <w:t>月</w:t>
      </w:r>
    </w:p>
    <w:p>
      <w:pPr>
        <w:jc w:val="center"/>
        <w:rPr>
          <w:b/>
          <w:bCs/>
          <w:sz w:val="32"/>
        </w:rPr>
      </w:pPr>
    </w:p>
    <w:p>
      <w:pPr>
        <w:widowControl/>
        <w:jc w:val="center"/>
        <w:rPr>
          <w:b/>
          <w:bCs/>
          <w:sz w:val="48"/>
          <w:szCs w:val="48"/>
        </w:rPr>
      </w:pPr>
      <w:r>
        <w:rPr>
          <w:rFonts w:hint="eastAsia"/>
          <w:b/>
          <w:bCs/>
          <w:sz w:val="48"/>
          <w:szCs w:val="48"/>
        </w:rPr>
        <w:t>目  录</w:t>
      </w:r>
    </w:p>
    <w:p>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pPr>
            <w:pStyle w:val="50"/>
          </w:pPr>
        </w:p>
        <w:p>
          <w:pPr>
            <w:pStyle w:val="12"/>
            <w:tabs>
              <w:tab w:val="right" w:leader="dot" w:pos="8296"/>
            </w:tabs>
            <w:rPr>
              <w:rFonts w:hint="eastAsia" w:asciiTheme="minorHAnsi" w:hAnsiTheme="minorHAnsi" w:eastAsiaTheme="minorEastAsia" w:cstheme="minorBidi"/>
              <w:sz w:val="22"/>
              <w14:ligatures w14:val="standardContextual"/>
            </w:rPr>
          </w:pPr>
          <w:r>
            <w:rPr>
              <w:rFonts w:asciiTheme="minorEastAsia" w:hAnsiTheme="minorEastAsia" w:eastAsiaTheme="minorEastAsia"/>
              <w:b/>
              <w:sz w:val="30"/>
              <w:szCs w:val="30"/>
            </w:rPr>
            <w:fldChar w:fldCharType="begin"/>
          </w:r>
          <w:r>
            <w:rPr>
              <w:rFonts w:asciiTheme="minorEastAsia" w:hAnsiTheme="minorEastAsia" w:eastAsiaTheme="minorEastAsia"/>
              <w:b/>
              <w:sz w:val="30"/>
              <w:szCs w:val="30"/>
            </w:rPr>
            <w:instrText xml:space="preserve"> TOC \o "1-3" \h \z \u </w:instrText>
          </w:r>
          <w:r>
            <w:rPr>
              <w:rFonts w:asciiTheme="minorEastAsia" w:hAnsiTheme="minorEastAsia" w:eastAsiaTheme="minorEastAsia"/>
              <w:b/>
              <w:sz w:val="30"/>
              <w:szCs w:val="30"/>
            </w:rPr>
            <w:fldChar w:fldCharType="separate"/>
          </w:r>
          <w:r>
            <w:fldChar w:fldCharType="begin"/>
          </w:r>
          <w:r>
            <w:instrText xml:space="preserve"> HYPERLINK \l "_Toc220618496" </w:instrText>
          </w:r>
          <w:r>
            <w:fldChar w:fldCharType="separate"/>
          </w:r>
          <w:r>
            <w:rPr>
              <w:rStyle w:val="22"/>
            </w:rPr>
            <w:t xml:space="preserve">第一章 </w:t>
          </w:r>
          <w:r>
            <w:rPr>
              <w:rStyle w:val="22"/>
              <w:rFonts w:hint="eastAsia"/>
            </w:rPr>
            <w:t xml:space="preserve"> </w:t>
          </w:r>
          <w:r>
            <w:rPr>
              <w:rStyle w:val="22"/>
            </w:rPr>
            <w:t>采购公告</w:t>
          </w:r>
          <w:r>
            <w:rPr>
              <w:rFonts w:hint="eastAsia"/>
            </w:rPr>
            <w:tab/>
          </w:r>
          <w:r>
            <w:rPr>
              <w:rFonts w:hint="eastAsia"/>
            </w:rPr>
            <w:fldChar w:fldCharType="begin"/>
          </w:r>
          <w:r>
            <w:rPr>
              <w:rFonts w:hint="eastAsia"/>
            </w:rPr>
            <w:instrText xml:space="preserve"> </w:instrText>
          </w:r>
          <w:r>
            <w:instrText xml:space="preserve">PAGEREF _Toc220618496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"_Toc220618497" </w:instrText>
          </w:r>
          <w:r>
            <w:fldChar w:fldCharType="separate"/>
          </w:r>
          <w:r>
            <w:rPr>
              <w:rStyle w:val="22"/>
            </w:rPr>
            <w:t xml:space="preserve">第二章 </w:t>
          </w:r>
          <w:r>
            <w:rPr>
              <w:rStyle w:val="22"/>
              <w:rFonts w:hint="eastAsia"/>
            </w:rPr>
            <w:t xml:space="preserve"> </w:t>
          </w:r>
          <w:r>
            <w:rPr>
              <w:rStyle w:val="22"/>
            </w:rPr>
            <w:t>采购内容及需求</w:t>
          </w:r>
          <w:r>
            <w:rPr>
              <w:rFonts w:hint="eastAsia"/>
            </w:rPr>
            <w:tab/>
          </w:r>
          <w:r>
            <w:rPr>
              <w:rFonts w:hint="eastAsia"/>
            </w:rPr>
            <w:fldChar w:fldCharType="begin"/>
          </w:r>
          <w:r>
            <w:rPr>
              <w:rFonts w:hint="eastAsia"/>
            </w:rPr>
            <w:instrText xml:space="preserve"> </w:instrText>
          </w:r>
          <w:r>
            <w:instrText xml:space="preserve">PAGEREF _Toc220618497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"_Toc220618498" </w:instrText>
          </w:r>
          <w:r>
            <w:fldChar w:fldCharType="separate"/>
          </w:r>
          <w:r>
            <w:rPr>
              <w:rStyle w:val="22"/>
            </w:rPr>
            <w:t xml:space="preserve">第三章 </w:t>
          </w:r>
          <w:r>
            <w:rPr>
              <w:rStyle w:val="22"/>
              <w:rFonts w:hint="eastAsia"/>
            </w:rPr>
            <w:t xml:space="preserve"> </w:t>
          </w:r>
          <w:r>
            <w:rPr>
              <w:rStyle w:val="22"/>
            </w:rPr>
            <w:t>评分标准</w:t>
          </w:r>
          <w:r>
            <w:rPr>
              <w:rFonts w:hint="eastAsia"/>
            </w:rPr>
            <w:tab/>
          </w:r>
          <w:r>
            <w:rPr>
              <w:rFonts w:hint="eastAsia"/>
            </w:rPr>
            <w:fldChar w:fldCharType="begin"/>
          </w:r>
          <w:r>
            <w:rPr>
              <w:rFonts w:hint="eastAsia"/>
            </w:rPr>
            <w:instrText xml:space="preserve"> </w:instrText>
          </w:r>
          <w:r>
            <w:instrText xml:space="preserve">PAGEREF _Toc220618498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2"/>
            <w:tabs>
              <w:tab w:val="left" w:pos="880"/>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"_Toc220618499" </w:instrText>
          </w:r>
          <w:r>
            <w:fldChar w:fldCharType="separate"/>
          </w:r>
          <w:r>
            <w:rPr>
              <w:rStyle w:val="22"/>
            </w:rPr>
            <w:t>第四章</w:t>
          </w:r>
          <w:r>
            <w:rPr>
              <w:rFonts w:hint="eastAsia" w:asciiTheme="minorHAnsi" w:hAnsiTheme="minorHAnsi" w:eastAsiaTheme="minorEastAsia" w:cstheme="minorBidi"/>
              <w:sz w:val="22"/>
              <w14:ligatures w14:val="standardContextual"/>
            </w:rPr>
            <w:tab/>
          </w:r>
          <w:r>
            <w:rPr>
              <w:rStyle w:val="22"/>
            </w:rPr>
            <w:t>响应文件格式</w:t>
          </w:r>
          <w:r>
            <w:rPr>
              <w:rFonts w:hint="eastAsia"/>
            </w:rPr>
            <w:tab/>
          </w:r>
          <w:r>
            <w:rPr>
              <w:rFonts w:hint="eastAsia"/>
            </w:rPr>
            <w:fldChar w:fldCharType="begin"/>
          </w:r>
          <w:r>
            <w:rPr>
              <w:rFonts w:hint="eastAsia"/>
            </w:rPr>
            <w:instrText xml:space="preserve"> </w:instrText>
          </w:r>
          <w:r>
            <w:instrText xml:space="preserve">PAGEREF _Toc220618499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2"/>
            <w:tabs>
              <w:tab w:val="left" w:pos="880"/>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"_Toc220618500" </w:instrText>
          </w:r>
          <w:r>
            <w:fldChar w:fldCharType="separate"/>
          </w:r>
          <w:r>
            <w:rPr>
              <w:rStyle w:val="22"/>
            </w:rPr>
            <w:t>第五章</w:t>
          </w:r>
          <w:r>
            <w:rPr>
              <w:rFonts w:hint="eastAsia" w:asciiTheme="minorHAnsi" w:hAnsiTheme="minorHAnsi" w:eastAsiaTheme="minorEastAsia" w:cstheme="minorBidi"/>
              <w:sz w:val="22"/>
              <w14:ligatures w14:val="standardContextual"/>
            </w:rPr>
            <w:tab/>
          </w:r>
          <w:r>
            <w:rPr>
              <w:rStyle w:val="22"/>
            </w:rPr>
            <w:t>合同主要条款</w:t>
          </w:r>
          <w:r>
            <w:rPr>
              <w:rFonts w:hint="eastAsia"/>
            </w:rPr>
            <w:tab/>
          </w:r>
          <w:r>
            <w:rPr>
              <w:rFonts w:hint="eastAsia"/>
            </w:rPr>
            <w:fldChar w:fldCharType="begin"/>
          </w:r>
          <w:r>
            <w:rPr>
              <w:rFonts w:hint="eastAsia"/>
            </w:rPr>
            <w:instrText xml:space="preserve"> </w:instrText>
          </w:r>
          <w:r>
            <w:instrText xml:space="preserve">PAGEREF _Toc220618500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rPr>
              <w:rFonts w:hint="eastAsia" w:asciiTheme="minorEastAsia" w:hAnsiTheme="minorEastAsia" w:eastAsiaTheme="minorEastAsia"/>
              <w:b/>
              <w:sz w:val="30"/>
              <w:szCs w:val="30"/>
            </w:rPr>
          </w:pPr>
          <w:r>
            <w:rPr>
              <w:rFonts w:asciiTheme="minorEastAsia" w:hAnsiTheme="minorEastAsia" w:eastAsiaTheme="minorEastAsia"/>
              <w:b/>
              <w:bCs/>
              <w:sz w:val="30"/>
              <w:szCs w:val="30"/>
              <w:lang w:val="zh-CN"/>
            </w:rPr>
            <w:fldChar w:fldCharType="end"/>
          </w:r>
        </w:p>
      </w:sdtContent>
    </w:sdt>
    <w:p>
      <w:pPr>
        <w:jc w:val="left"/>
        <w:rPr>
          <w:b/>
          <w:bCs/>
          <w:sz w:val="32"/>
        </w:rPr>
      </w:pPr>
    </w:p>
    <w:p>
      <w:pPr>
        <w:jc w:val="center"/>
        <w:rPr>
          <w:b/>
          <w:bCs/>
          <w:sz w:val="32"/>
        </w:rPr>
      </w:pPr>
    </w:p>
    <w:p>
      <w:pPr>
        <w:widowControl/>
        <w:jc w:val="left"/>
        <w:rPr>
          <w:b/>
          <w:bCs/>
          <w:sz w:val="32"/>
        </w:rPr>
      </w:pPr>
      <w:r>
        <w:rPr>
          <w:b/>
          <w:bCs/>
          <w:sz w:val="32"/>
        </w:rPr>
        <w:br w:type="page"/>
      </w:r>
    </w:p>
    <w:p>
      <w:pPr>
        <w:pStyle w:val="15"/>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pStyle w:val="15"/>
      </w:pPr>
      <w:bookmarkStart w:id="0" w:name="_Toc220618496"/>
      <w:r>
        <w:rPr>
          <w:rFonts w:hint="eastAsia"/>
        </w:rPr>
        <w:t xml:space="preserve">第一章 </w:t>
      </w:r>
      <w:r>
        <w:t>采购公告</w:t>
      </w:r>
      <w:bookmarkEnd w:id="0"/>
    </w:p>
    <w:p>
      <w:pPr>
        <w:spacing w:line="360" w:lineRule="auto"/>
        <w:ind w:firstLine="482" w:firstLineChars="200"/>
        <w:rPr>
          <w:b/>
          <w:sz w:val="24"/>
        </w:rPr>
      </w:pPr>
    </w:p>
    <w:p>
      <w:pPr>
        <w:spacing w:line="360" w:lineRule="auto"/>
        <w:jc w:val="center"/>
        <w:rPr>
          <w:b/>
          <w:sz w:val="24"/>
        </w:rPr>
      </w:pPr>
      <w:r>
        <w:rPr>
          <w:rFonts w:hint="eastAsia"/>
          <w:b/>
          <w:sz w:val="24"/>
        </w:rPr>
        <w:t>浙大</w:t>
      </w:r>
      <w:r>
        <w:rPr>
          <w:b/>
          <w:sz w:val="24"/>
        </w:rPr>
        <w:t>妇院</w:t>
      </w:r>
      <w:r>
        <w:rPr>
          <w:rFonts w:hint="eastAsia"/>
          <w:b/>
          <w:sz w:val="24"/>
        </w:rPr>
        <w:t>院内</w:t>
      </w:r>
      <w:r>
        <w:rPr>
          <w:b/>
          <w:sz w:val="24"/>
        </w:rPr>
        <w:t>采购公告（</w:t>
      </w:r>
      <w:r>
        <w:rPr>
          <w:rFonts w:hint="eastAsia"/>
          <w:b/>
          <w:sz w:val="24"/>
        </w:rPr>
        <w:t>项目编号：CGZX-</w:t>
      </w:r>
      <w:r>
        <w:rPr>
          <w:rFonts w:hint="eastAsia"/>
          <w:b/>
          <w:sz w:val="24"/>
          <w:lang w:val="en-US" w:eastAsia="zh-CN"/>
        </w:rPr>
        <w:t>WSFW</w:t>
      </w:r>
      <w:r>
        <w:rPr>
          <w:rFonts w:hint="eastAsia"/>
          <w:b/>
          <w:sz w:val="24"/>
        </w:rPr>
        <w:t>-20260</w:t>
      </w:r>
      <w:r>
        <w:rPr>
          <w:rFonts w:hint="eastAsia"/>
          <w:b/>
          <w:sz w:val="24"/>
          <w:lang w:val="en-US" w:eastAsia="zh-CN"/>
        </w:rPr>
        <w:t>825</w:t>
      </w:r>
      <w:r>
        <w:rPr>
          <w:b/>
          <w:sz w:val="24"/>
        </w:rPr>
        <w:t>）</w:t>
      </w:r>
    </w:p>
    <w:p>
      <w:pPr>
        <w:spacing w:line="360" w:lineRule="auto"/>
        <w:ind w:firstLine="482" w:firstLineChars="200"/>
        <w:rPr>
          <w:b/>
          <w:sz w:val="24"/>
        </w:rPr>
      </w:pPr>
    </w:p>
    <w:p>
      <w:pPr>
        <w:spacing w:line="360" w:lineRule="auto"/>
        <w:ind w:firstLine="480" w:firstLineChars="200"/>
        <w:rPr>
          <w:sz w:val="24"/>
        </w:rPr>
      </w:pPr>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pPr>
        <w:spacing w:line="360" w:lineRule="auto"/>
        <w:ind w:firstLine="480" w:firstLineChars="200"/>
        <w:rPr>
          <w:sz w:val="24"/>
        </w:rPr>
      </w:pPr>
    </w:p>
    <w:p>
      <w:pPr>
        <w:spacing w:line="360" w:lineRule="auto"/>
        <w:rPr>
          <w:b/>
          <w:bCs/>
          <w:sz w:val="24"/>
        </w:rPr>
      </w:pPr>
      <w:r>
        <w:rPr>
          <w:b/>
          <w:bCs/>
          <w:sz w:val="24"/>
        </w:rPr>
        <w:t>响应要求：</w:t>
      </w:r>
    </w:p>
    <w:p>
      <w:pPr>
        <w:spacing w:line="360" w:lineRule="auto"/>
        <w:rPr>
          <w:sz w:val="24"/>
        </w:rPr>
      </w:pPr>
      <w:r>
        <w:rPr>
          <w:sz w:val="24"/>
        </w:rPr>
        <w:t>1、提供有效的营业执照复印件并加盖公司公章。</w:t>
      </w:r>
    </w:p>
    <w:p>
      <w:pPr>
        <w:spacing w:line="360" w:lineRule="auto"/>
        <w:rPr>
          <w:sz w:val="24"/>
        </w:rPr>
      </w:pPr>
      <w:r>
        <w:rPr>
          <w:sz w:val="24"/>
        </w:rPr>
        <w:t>2、提供自采购公告发布之日起至公告截止日内任意时间的“信用中国”网站（www.creditchina.gov.cn）的响应供应商信用查询网页截图。</w:t>
      </w:r>
    </w:p>
    <w:p>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pPr>
        <w:spacing w:line="360" w:lineRule="auto"/>
        <w:rPr>
          <w:sz w:val="24"/>
        </w:rPr>
      </w:pPr>
      <w:r>
        <w:rPr>
          <w:rFonts w:hint="eastAsia"/>
          <w:sz w:val="24"/>
        </w:rPr>
        <w:t>4</w:t>
      </w:r>
      <w:r>
        <w:rPr>
          <w:sz w:val="24"/>
        </w:rPr>
        <w:t>、不接受联合体响应，不允许分包和转包。</w:t>
      </w:r>
    </w:p>
    <w:p>
      <w:pPr>
        <w:spacing w:line="360" w:lineRule="auto"/>
        <w:rPr>
          <w:sz w:val="24"/>
        </w:rPr>
      </w:pPr>
      <w:r>
        <w:rPr>
          <w:rFonts w:hint="eastAsia"/>
          <w:sz w:val="24"/>
        </w:rPr>
        <w:t>5</w:t>
      </w:r>
      <w:r>
        <w:rPr>
          <w:sz w:val="24"/>
        </w:rPr>
        <w:t>、响应文件一正三副（固定装订，不强制要求胶装），必须档案袋密封于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pPr>
        <w:spacing w:line="360" w:lineRule="auto"/>
        <w:rPr>
          <w:sz w:val="24"/>
        </w:rPr>
      </w:pPr>
      <w:r>
        <w:rPr>
          <w:rFonts w:hint="eastAsia"/>
          <w:sz w:val="24"/>
        </w:rPr>
        <w:t>6</w:t>
      </w:r>
      <w:r>
        <w:rPr>
          <w:sz w:val="24"/>
        </w:rPr>
        <w:t>、</w:t>
      </w:r>
      <w:r>
        <w:rPr>
          <w:rFonts w:hint="eastAsia"/>
          <w:sz w:val="24"/>
        </w:rPr>
        <w:t>采购时间初步定于</w:t>
      </w:r>
      <w:r>
        <w:rPr>
          <w:rFonts w:hint="eastAsia"/>
          <w:b/>
          <w:color w:val="FF0000"/>
          <w:sz w:val="24"/>
        </w:rPr>
        <w:t>202</w:t>
      </w:r>
      <w:r>
        <w:rPr>
          <w:rFonts w:hint="eastAsia"/>
          <w:b/>
          <w:color w:val="FF0000"/>
          <w:sz w:val="24"/>
          <w:lang w:val="en-US" w:eastAsia="zh-CN"/>
        </w:rPr>
        <w:t>6</w:t>
      </w:r>
      <w:r>
        <w:rPr>
          <w:rFonts w:hint="eastAsia"/>
          <w:b/>
          <w:color w:val="FF0000"/>
          <w:sz w:val="24"/>
        </w:rPr>
        <w:t>年</w:t>
      </w:r>
      <w:r>
        <w:rPr>
          <w:rFonts w:hint="eastAsia"/>
          <w:b/>
          <w:color w:val="FF0000"/>
          <w:sz w:val="24"/>
          <w:lang w:val="en-US" w:eastAsia="zh-CN"/>
        </w:rPr>
        <w:t>9</w:t>
      </w:r>
      <w:r>
        <w:rPr>
          <w:rFonts w:hint="eastAsia"/>
          <w:b/>
          <w:color w:val="FF0000"/>
          <w:sz w:val="24"/>
        </w:rPr>
        <w:t>月</w:t>
      </w:r>
      <w:r>
        <w:rPr>
          <w:rFonts w:hint="eastAsia"/>
          <w:b/>
          <w:color w:val="FF0000"/>
          <w:sz w:val="24"/>
          <w:lang w:val="en-US" w:eastAsia="zh-CN"/>
        </w:rPr>
        <w:t>2</w:t>
      </w:r>
      <w:bookmarkStart w:id="7" w:name="_GoBack"/>
      <w:bookmarkEnd w:id="7"/>
      <w:r>
        <w:rPr>
          <w:rFonts w:hint="eastAsia"/>
          <w:b/>
          <w:color w:val="FF0000"/>
          <w:sz w:val="24"/>
        </w:rPr>
        <w:t>日</w:t>
      </w:r>
      <w:r>
        <w:rPr>
          <w:rFonts w:hint="eastAsia"/>
          <w:b/>
          <w:color w:val="FF0000"/>
          <w:sz w:val="24"/>
          <w:lang w:val="en-US" w:eastAsia="zh-CN"/>
        </w:rPr>
        <w:t>9</w:t>
      </w:r>
      <w:r>
        <w:rPr>
          <w:rFonts w:hint="eastAsia"/>
          <w:b/>
          <w:color w:val="FF0000"/>
          <w:sz w:val="24"/>
        </w:rPr>
        <w:t>:00</w:t>
      </w:r>
      <w:r>
        <w:rPr>
          <w:rFonts w:hint="eastAsia"/>
          <w:sz w:val="24"/>
        </w:rPr>
        <w:t>，地点：浙江大学医学院附属妇产科医院（杭州市学士路1号）</w:t>
      </w:r>
      <w:r>
        <w:rPr>
          <w:rFonts w:hint="eastAsia"/>
          <w:b/>
          <w:sz w:val="24"/>
        </w:rPr>
        <w:t>1号楼</w:t>
      </w:r>
      <w:r>
        <w:rPr>
          <w:b/>
          <w:sz w:val="24"/>
        </w:rPr>
        <w:t>13</w:t>
      </w:r>
      <w:r>
        <w:rPr>
          <w:rFonts w:hint="eastAsia"/>
          <w:b/>
          <w:sz w:val="24"/>
        </w:rPr>
        <w:t>楼1305会议室</w:t>
      </w:r>
      <w:r>
        <w:rPr>
          <w:rFonts w:hint="eastAsia"/>
          <w:sz w:val="24"/>
        </w:rPr>
        <w:t>，</w:t>
      </w:r>
      <w:r>
        <w:rPr>
          <w:b/>
          <w:bCs/>
          <w:color w:val="FF0000"/>
          <w:sz w:val="24"/>
        </w:rPr>
        <w:t>报名</w:t>
      </w:r>
      <w:r>
        <w:rPr>
          <w:b/>
          <w:color w:val="FF0000"/>
          <w:sz w:val="24"/>
        </w:rPr>
        <w:t>截止日期为</w:t>
      </w:r>
      <w:r>
        <w:rPr>
          <w:rFonts w:hint="eastAsia"/>
          <w:b/>
          <w:color w:val="FF0000"/>
          <w:sz w:val="24"/>
          <w:lang w:val="en-US" w:eastAsia="zh-CN"/>
        </w:rPr>
        <w:t>9</w:t>
      </w:r>
      <w:r>
        <w:rPr>
          <w:rFonts w:hint="eastAsia"/>
          <w:b/>
          <w:color w:val="FF0000"/>
          <w:sz w:val="24"/>
        </w:rPr>
        <w:t>月</w:t>
      </w:r>
      <w:r>
        <w:rPr>
          <w:rFonts w:hint="eastAsia"/>
          <w:b/>
          <w:color w:val="FF0000"/>
          <w:sz w:val="24"/>
          <w:lang w:val="en-US" w:eastAsia="zh-CN"/>
        </w:rPr>
        <w:t>1</w:t>
      </w:r>
      <w:r>
        <w:rPr>
          <w:rFonts w:hint="eastAsia"/>
          <w:b/>
          <w:color w:val="FF0000"/>
          <w:sz w:val="24"/>
        </w:rPr>
        <w:t>日16:00</w:t>
      </w:r>
      <w:r>
        <w:rPr>
          <w:sz w:val="24"/>
        </w:rPr>
        <w:t>（报名以邮件为准，邮件标题请注明采购编号及所投</w:t>
      </w:r>
      <w:r>
        <w:rPr>
          <w:rFonts w:hint="eastAsia"/>
          <w:sz w:val="24"/>
        </w:rPr>
        <w:t>项目</w:t>
      </w:r>
      <w:r>
        <w:rPr>
          <w:sz w:val="24"/>
        </w:rPr>
        <w:t>号，</w:t>
      </w:r>
      <w:r>
        <w:rPr>
          <w:b/>
          <w:sz w:val="24"/>
        </w:rPr>
        <w:t>邮件内容请注明</w:t>
      </w:r>
      <w:r>
        <w:rPr>
          <w:rFonts w:hint="eastAsia"/>
          <w:b/>
          <w:sz w:val="24"/>
        </w:rPr>
        <w:t>响应</w:t>
      </w:r>
      <w:r>
        <w:rPr>
          <w:b/>
          <w:sz w:val="24"/>
        </w:rPr>
        <w:t>公司名称、</w:t>
      </w:r>
      <w:r>
        <w:rPr>
          <w:rFonts w:hint="eastAsia"/>
          <w:b/>
          <w:sz w:val="24"/>
        </w:rPr>
        <w:t>授权</w:t>
      </w:r>
      <w:r>
        <w:rPr>
          <w:b/>
          <w:sz w:val="24"/>
        </w:rPr>
        <w:t>人姓名及联系方</w:t>
      </w:r>
      <w:r>
        <w:rPr>
          <w:rFonts w:hint="eastAsia"/>
          <w:b/>
          <w:sz w:val="24"/>
        </w:rPr>
        <w:t>式，生产厂家，规格型号，医疗器械注册证号、两定平台产品ID等</w:t>
      </w:r>
      <w:r>
        <w:rPr>
          <w:sz w:val="24"/>
        </w:rPr>
        <w:t>）</w:t>
      </w:r>
      <w:r>
        <w:rPr>
          <w:rFonts w:hint="eastAsia"/>
          <w:sz w:val="24"/>
        </w:rPr>
        <w:t>。</w:t>
      </w:r>
    </w:p>
    <w:p>
      <w:pPr>
        <w:spacing w:line="360" w:lineRule="auto"/>
        <w:rPr>
          <w:sz w:val="24"/>
        </w:rPr>
      </w:pPr>
      <w:r>
        <w:rPr>
          <w:rFonts w:hint="eastAsia"/>
          <w:sz w:val="24"/>
        </w:rPr>
        <w:t>7</w:t>
      </w:r>
      <w:r>
        <w:rPr>
          <w:sz w:val="24"/>
        </w:rPr>
        <w:t>、以上事项均为必须项，任何一项不满足均取消响应资格。</w:t>
      </w:r>
    </w:p>
    <w:p>
      <w:pPr>
        <w:spacing w:line="360" w:lineRule="auto"/>
        <w:rPr>
          <w:b/>
          <w:bCs/>
          <w:sz w:val="24"/>
        </w:rPr>
      </w:pPr>
    </w:p>
    <w:p>
      <w:pPr>
        <w:spacing w:line="360" w:lineRule="auto"/>
        <w:rPr>
          <w:b/>
          <w:bCs/>
          <w:sz w:val="24"/>
        </w:rPr>
      </w:pPr>
    </w:p>
    <w:p>
      <w:pPr>
        <w:spacing w:line="360" w:lineRule="auto"/>
        <w:rPr>
          <w:b/>
          <w:bCs/>
          <w:sz w:val="24"/>
        </w:rPr>
      </w:pPr>
      <w:r>
        <w:rPr>
          <w:b/>
          <w:bCs/>
          <w:sz w:val="24"/>
        </w:rPr>
        <w:t>其他事项：</w:t>
      </w:r>
    </w:p>
    <w:p>
      <w:pPr>
        <w:rPr>
          <w:sz w:val="24"/>
        </w:rPr>
      </w:pPr>
      <w:r>
        <w:rPr>
          <w:sz w:val="24"/>
        </w:rPr>
        <w:t>咨询、报名电话：</w:t>
      </w:r>
      <w:r>
        <w:rPr>
          <w:rFonts w:hint="eastAsia"/>
          <w:sz w:val="24"/>
        </w:rPr>
        <w:t>采购中心 施老师89991092</w:t>
      </w:r>
      <w:r>
        <w:rPr>
          <w:sz w:val="24"/>
        </w:rPr>
        <w:t>。EMAIL：</w:t>
      </w:r>
      <w:r>
        <w:rPr>
          <w:rFonts w:hint="eastAsia"/>
          <w:sz w:val="24"/>
        </w:rPr>
        <w:t>CGZX_SCF@163.com</w:t>
      </w:r>
    </w:p>
    <w:p>
      <w:r>
        <w:rPr>
          <w:rFonts w:hint="eastAsia"/>
        </w:rPr>
        <w:br w:type="page"/>
      </w:r>
    </w:p>
    <w:p>
      <w:pPr>
        <w:pStyle w:val="15"/>
      </w:pPr>
      <w:bookmarkStart w:id="1" w:name="_Toc220618497"/>
      <w:r>
        <w:rPr>
          <w:rFonts w:hint="eastAsia"/>
        </w:rPr>
        <w:t xml:space="preserve">第二章 </w:t>
      </w:r>
      <w:r>
        <w:t>采购内容</w:t>
      </w:r>
      <w:r>
        <w:rPr>
          <w:rFonts w:hint="eastAsia"/>
        </w:rPr>
        <w:t>及</w:t>
      </w:r>
      <w:r>
        <w:t>需求</w:t>
      </w:r>
      <w:bookmarkEnd w:id="1"/>
    </w:p>
    <w:p>
      <w:pPr>
        <w:rPr>
          <w:b/>
          <w:sz w:val="32"/>
          <w:szCs w:val="32"/>
        </w:rPr>
      </w:pPr>
      <w:r>
        <w:rPr>
          <w:rFonts w:hint="eastAsia"/>
          <w:b/>
          <w:sz w:val="32"/>
          <w:szCs w:val="32"/>
        </w:rPr>
        <w:t>一</w:t>
      </w:r>
      <w:r>
        <w:rPr>
          <w:b/>
          <w:sz w:val="32"/>
          <w:szCs w:val="32"/>
        </w:rPr>
        <w:t>、总体要求：</w:t>
      </w:r>
    </w:p>
    <w:p>
      <w:pPr>
        <w:spacing w:line="360" w:lineRule="auto"/>
        <w:rPr>
          <w:rFonts w:ascii="Calibri" w:hAnsi="Calibri"/>
          <w:sz w:val="24"/>
        </w:rPr>
      </w:pPr>
      <w:r>
        <w:rPr>
          <w:rFonts w:hint="eastAsia" w:ascii="Calibri" w:hAnsi="Calibri"/>
          <w:sz w:val="24"/>
        </w:rPr>
        <w:t>1、成交供应商在保证成交产品质量、执行国家物价的前提下按约定的品种、规格、数量、价格、供货方式等供货，保证临床使用不断档。</w:t>
      </w:r>
    </w:p>
    <w:p>
      <w:pPr>
        <w:spacing w:line="360" w:lineRule="auto"/>
        <w:rPr>
          <w:rFonts w:ascii="Calibri" w:hAnsi="Calibri"/>
          <w:sz w:val="24"/>
        </w:rPr>
      </w:pPr>
      <w:r>
        <w:rPr>
          <w:rFonts w:hint="eastAsia" w:ascii="Calibri" w:hAnsi="Calibri"/>
          <w:sz w:val="24"/>
        </w:rPr>
        <w:t>2、成交供应商必须产品齐全，不得以任何借口（如无货，采购量少等）不执行医院相关成交产品的采购计划。某些品种成交供应商确定无法供货，医院有权选择其他供应商。</w:t>
      </w:r>
    </w:p>
    <w:p>
      <w:pPr>
        <w:spacing w:line="360" w:lineRule="auto"/>
        <w:rPr>
          <w:rFonts w:ascii="Calibri" w:hAnsi="Calibri"/>
          <w:sz w:val="24"/>
        </w:rPr>
      </w:pPr>
      <w:r>
        <w:rPr>
          <w:rFonts w:hint="eastAsia" w:ascii="Calibri" w:hAnsi="Calibri"/>
          <w:sz w:val="24"/>
        </w:rPr>
        <w:t>3、签约或履约期间，有入围供应商不能签约或履约的，允许按评审结果排名先后替补。</w:t>
      </w:r>
    </w:p>
    <w:p>
      <w:pPr>
        <w:spacing w:line="360" w:lineRule="auto"/>
        <w:rPr>
          <w:rFonts w:ascii="Calibri" w:hAnsi="Calibri"/>
          <w:sz w:val="24"/>
        </w:rPr>
      </w:pPr>
      <w:r>
        <w:rPr>
          <w:rFonts w:hint="eastAsia" w:ascii="Calibri" w:hAnsi="Calibri"/>
          <w:sz w:val="24"/>
        </w:rPr>
        <w:t>4、若遇国家重大政策调整影响合同执行的情况，双方可共同友好协商解决。</w:t>
      </w:r>
    </w:p>
    <w:p>
      <w:pPr>
        <w:spacing w:line="360" w:lineRule="auto"/>
        <w:rPr>
          <w:sz w:val="24"/>
        </w:rPr>
      </w:pPr>
      <w:r>
        <w:rPr>
          <w:rFonts w:hint="eastAsia" w:ascii="Calibri" w:hAnsi="Calibri"/>
          <w:sz w:val="24"/>
        </w:rPr>
        <w:t>5、</w:t>
      </w:r>
      <w:r>
        <w:rPr>
          <w:rFonts w:hint="eastAsia"/>
          <w:sz w:val="24"/>
        </w:rPr>
        <w:t>“</w:t>
      </w:r>
      <w:bookmarkStart w:id="2" w:name="OLE_LINK1"/>
      <w:r>
        <w:rPr>
          <w:rFonts w:hint="eastAsia"/>
          <w:sz w:val="24"/>
        </w:rPr>
        <w:t>▲</w:t>
      </w:r>
      <w:bookmarkEnd w:id="2"/>
      <w:r>
        <w:rPr>
          <w:rFonts w:hint="eastAsia"/>
          <w:sz w:val="24"/>
        </w:rPr>
        <w:t>”为实质性条款，若不满足响应无效。“</w:t>
      </w:r>
      <w:r>
        <w:rPr>
          <w:sz w:val="24"/>
        </w:rPr>
        <w:t>Δ</w:t>
      </w:r>
      <w:r>
        <w:rPr>
          <w:rFonts w:hint="eastAsia"/>
          <w:sz w:val="24"/>
        </w:rPr>
        <w:t>”为重点条款。</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rFonts w:hint="eastAsia"/>
          <w:b/>
          <w:sz w:val="32"/>
          <w:szCs w:val="32"/>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pPr>
        <w:widowControl/>
        <w:jc w:val="left"/>
        <w:rPr>
          <w:rFonts w:hint="eastAsia" w:eastAsia="宋体"/>
          <w:b/>
          <w:szCs w:val="21"/>
          <w:lang w:eastAsia="zh-CN"/>
        </w:rPr>
      </w:pPr>
      <w:bookmarkStart w:id="3" w:name="OLE_LINK3"/>
      <w:r>
        <w:rPr>
          <w:rFonts w:hint="eastAsia"/>
          <w:b/>
          <w:szCs w:val="21"/>
        </w:rPr>
        <w:t xml:space="preserve">项目一: </w:t>
      </w:r>
      <w:bookmarkEnd w:id="3"/>
      <w:r>
        <w:rPr>
          <w:rFonts w:hint="eastAsia"/>
          <w:b/>
          <w:szCs w:val="21"/>
        </w:rPr>
        <w:t>基于临床影像数据的数字3d模型开发及制作</w:t>
      </w:r>
      <w:r>
        <w:rPr>
          <w:rFonts w:hint="eastAsia"/>
          <w:b/>
          <w:szCs w:val="21"/>
          <w:lang w:eastAsia="zh-CN"/>
        </w:rPr>
        <w:t>（预算</w:t>
      </w:r>
      <w:r>
        <w:rPr>
          <w:rFonts w:hint="eastAsia"/>
          <w:b/>
          <w:szCs w:val="21"/>
          <w:lang w:val="en-US" w:eastAsia="zh-CN"/>
        </w:rPr>
        <w:t>9.84万元</w:t>
      </w:r>
      <w:r>
        <w:rPr>
          <w:rFonts w:hint="eastAsia"/>
          <w:b/>
          <w:szCs w:val="21"/>
          <w:lang w:eastAsia="zh-CN"/>
        </w:rPr>
        <w:t>）</w:t>
      </w:r>
    </w:p>
    <w:tbl>
      <w:tblPr>
        <w:tblStyle w:val="18"/>
        <w:tblpPr w:leftFromText="181" w:rightFromText="567" w:vertAnchor="text" w:horzAnchor="page" w:tblpXSpec="center" w:tblpY="137"/>
        <w:tblOverlap w:val="never"/>
        <w:tblW w:w="9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283" w:type="dxa"/>
        </w:tblCellMar>
      </w:tblPr>
      <w:tblGrid>
        <w:gridCol w:w="1061"/>
        <w:gridCol w:w="8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11" w:firstLineChars="100"/>
              <w:jc w:val="left"/>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
                <w:sz w:val="21"/>
                <w:szCs w:val="21"/>
              </w:rPr>
              <w:t>一</w:t>
            </w:r>
          </w:p>
        </w:tc>
        <w:tc>
          <w:tcPr>
            <w:tcW w:w="8026" w:type="dxa"/>
          </w:tcPr>
          <w:p>
            <w:pPr>
              <w:ind w:right="-340" w:rightChars="-162"/>
              <w:jc w:val="left"/>
              <w:rPr>
                <w:rFonts w:asciiTheme="majorEastAsia" w:hAnsiTheme="majorEastAsia" w:eastAsiaTheme="majorEastAsia" w:cstheme="majorEastAsia"/>
                <w:bCs/>
                <w:sz w:val="21"/>
                <w:szCs w:val="21"/>
              </w:rPr>
            </w:pPr>
            <w:r>
              <w:rPr>
                <w:rFonts w:hint="default" w:asciiTheme="majorEastAsia" w:hAnsiTheme="majorEastAsia" w:eastAsiaTheme="majorEastAsia" w:cstheme="majorEastAsia"/>
                <w:b/>
                <w:sz w:val="21"/>
                <w:szCs w:val="21"/>
                <w:lang w:val="en-US"/>
              </w:rPr>
              <w:t>3D</w:t>
            </w:r>
            <w:r>
              <w:rPr>
                <w:rFonts w:hint="eastAsia" w:asciiTheme="majorEastAsia" w:hAnsiTheme="majorEastAsia" w:eastAsiaTheme="majorEastAsia" w:cstheme="majorEastAsia"/>
                <w:b/>
                <w:sz w:val="21"/>
                <w:szCs w:val="21"/>
                <w:lang w:val="en-US" w:eastAsia="zh-CN"/>
              </w:rPr>
              <w:t>建模</w:t>
            </w:r>
            <w:r>
              <w:rPr>
                <w:rFonts w:hint="eastAsia" w:asciiTheme="majorEastAsia" w:hAnsiTheme="majorEastAsia" w:eastAsiaTheme="majorEastAsia" w:cstheme="majorEastAsia"/>
                <w:b/>
                <w:sz w:val="21"/>
                <w:szCs w:val="21"/>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1.1</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用途：基于临床真实影像数据的畸形胎儿数字3d建模，真实还原真实胎儿在母体里形状，以辅助临床诊断、医患沟通、医学研究与教学展示</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1.2</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数量：18个</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1.3</w:t>
            </w:r>
          </w:p>
        </w:tc>
        <w:tc>
          <w:tcPr>
            <w:tcW w:w="8026" w:type="dxa"/>
          </w:tcPr>
          <w:p>
            <w:pPr>
              <w:ind w:right="-340" w:rightChars="-162"/>
              <w:rPr>
                <w:rFonts w:hint="eastAsia"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模型网格几何误差平均低于原始医学影像（CT/MRI）体素尺寸的0.5%，最大误差不超过1</w:t>
            </w:r>
          </w:p>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个体素尺寸</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1.4</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最终模型必须能够以通用3D格式（如STL， OBJ）及DICOM Supplement</w:t>
            </w:r>
            <w:r>
              <w:rPr>
                <w:rFonts w:hint="eastAsia" w:asciiTheme="majorEastAsia" w:hAnsiTheme="majorEastAsia" w:eastAsiaTheme="majorEastAsia" w:cstheme="majorEastAsia"/>
                <w:bCs/>
                <w:sz w:val="20"/>
                <w:szCs w:val="20"/>
                <w:lang w:val="en-US" w:eastAsia="zh-CN"/>
              </w:rPr>
              <w:t xml:space="preserve"> </w:t>
            </w:r>
            <w:r>
              <w:rPr>
                <w:rFonts w:hint="eastAsia" w:asciiTheme="majorEastAsia" w:hAnsiTheme="majorEastAsia" w:eastAsiaTheme="majorEastAsia" w:cstheme="majorEastAsia"/>
                <w:bCs/>
                <w:sz w:val="20"/>
                <w:szCs w:val="20"/>
              </w:rPr>
              <w:t>161标准（PS3.17）输出，并确保可无缝导入至医院指定的手术导航系统或3D打印系统</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1.5</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对影像数据进行匿名化处理，确保符合医疗数据安全与隐私保护要求</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1.6</w:t>
            </w:r>
          </w:p>
        </w:tc>
        <w:tc>
          <w:tcPr>
            <w:tcW w:w="8026" w:type="dxa"/>
          </w:tcPr>
          <w:p>
            <w:pPr>
              <w:ind w:right="-340" w:rightChars="-162"/>
              <w:rPr>
                <w:rFonts w:hint="eastAsia" w:asciiTheme="majorEastAsia" w:hAnsiTheme="majorEastAsia" w:eastAsiaTheme="majorEastAsia" w:cstheme="majorEastAsia"/>
                <w:bCs/>
                <w:sz w:val="20"/>
                <w:szCs w:val="20"/>
                <w:highlight w:val="none"/>
                <w:lang w:eastAsia="zh-CN"/>
              </w:rPr>
            </w:pPr>
            <w:r>
              <w:rPr>
                <w:rFonts w:hint="eastAsia" w:asciiTheme="majorEastAsia" w:hAnsiTheme="majorEastAsia" w:eastAsiaTheme="majorEastAsia" w:cstheme="majorEastAsia"/>
                <w:bCs/>
                <w:sz w:val="20"/>
                <w:szCs w:val="20"/>
                <w:highlight w:val="none"/>
              </w:rPr>
              <w:t>基于影像数据，采用专业医学建模软件进行三维重建。</w:t>
            </w:r>
            <w:r>
              <w:rPr>
                <w:rFonts w:hint="eastAsia" w:asciiTheme="majorEastAsia" w:hAnsiTheme="majorEastAsia" w:eastAsiaTheme="majorEastAsia" w:cstheme="majorEastAsia"/>
                <w:bCs/>
                <w:sz w:val="20"/>
                <w:szCs w:val="20"/>
                <w:highlight w:val="none"/>
                <w:lang w:eastAsia="zh-CN"/>
              </w:rPr>
              <w:t>（提供</w:t>
            </w:r>
            <w:r>
              <w:rPr>
                <w:rFonts w:hint="eastAsia" w:asciiTheme="majorEastAsia" w:hAnsiTheme="majorEastAsia" w:eastAsiaTheme="majorEastAsia" w:cstheme="majorEastAsia"/>
                <w:bCs/>
                <w:sz w:val="20"/>
                <w:szCs w:val="20"/>
                <w:highlight w:val="none"/>
              </w:rPr>
              <w:t>专业医学建模软件</w:t>
            </w:r>
            <w:r>
              <w:rPr>
                <w:rFonts w:hint="eastAsia" w:asciiTheme="majorEastAsia" w:hAnsiTheme="majorEastAsia" w:eastAsiaTheme="majorEastAsia" w:cstheme="majorEastAsia"/>
                <w:bCs/>
                <w:sz w:val="20"/>
                <w:szCs w:val="20"/>
                <w:highlight w:val="none"/>
                <w:lang w:eastAsia="zh-CN"/>
              </w:rPr>
              <w:t>名称，并</w:t>
            </w:r>
          </w:p>
          <w:p>
            <w:pPr>
              <w:ind w:right="-340" w:rightChars="-162"/>
              <w:rPr>
                <w:rFonts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lang w:eastAsia="zh-CN"/>
              </w:rPr>
              <w:t>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632"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1.7</w:t>
            </w:r>
          </w:p>
        </w:tc>
        <w:tc>
          <w:tcPr>
            <w:tcW w:w="8026" w:type="dxa"/>
          </w:tcPr>
          <w:p>
            <w:pPr>
              <w:ind w:right="-340" w:rightChars="-162"/>
              <w:rPr>
                <w:rFonts w:hint="eastAsia"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建模精度要求：模型需清晰呈现胎儿解剖结构及畸形部位细节，分辨率不低于原始影像数</w:t>
            </w:r>
          </w:p>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据分辨率</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1.8</w:t>
            </w:r>
          </w:p>
        </w:tc>
        <w:tc>
          <w:tcPr>
            <w:tcW w:w="8026" w:type="dxa"/>
          </w:tcPr>
          <w:p>
            <w:pPr>
              <w:ind w:right="-340" w:rightChars="-162"/>
              <w:rPr>
                <w:rFonts w:hint="eastAsia"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模型格式要求：提供可编辑的中间格式（如STL、OBJ），确保模型可在主流3D查看器及</w:t>
            </w:r>
          </w:p>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医院现有系统中使用</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1.9</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采用高精度打印机制作实物模型，实物尺寸误差≤0.1mm</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11" w:firstLineChars="100"/>
              <w:jc w:val="left"/>
              <w:rPr>
                <w:rFonts w:hint="default" w:asciiTheme="majorEastAsia" w:hAnsiTheme="majorEastAsia" w:eastAsiaTheme="majorEastAsia" w:cstheme="majorEastAsia"/>
                <w:b/>
                <w:sz w:val="21"/>
                <w:szCs w:val="21"/>
                <w:lang w:val="en-US" w:eastAsia="zh-CN"/>
              </w:rPr>
            </w:pPr>
            <w:r>
              <w:rPr>
                <w:rFonts w:hint="eastAsia" w:asciiTheme="majorEastAsia" w:hAnsiTheme="majorEastAsia" w:eastAsiaTheme="majorEastAsia" w:cstheme="majorEastAsia"/>
                <w:b/>
                <w:sz w:val="21"/>
                <w:szCs w:val="21"/>
                <w:lang w:val="en-US" w:eastAsia="zh-CN"/>
              </w:rPr>
              <w:t>二</w:t>
            </w:r>
          </w:p>
        </w:tc>
        <w:tc>
          <w:tcPr>
            <w:tcW w:w="8026" w:type="dxa"/>
          </w:tcPr>
          <w:p>
            <w:pPr>
              <w:ind w:right="-340" w:rightChars="-162" w:firstLine="0" w:firstLineChars="0"/>
              <w:jc w:val="left"/>
              <w:rPr>
                <w:rFonts w:hint="default" w:asciiTheme="majorEastAsia" w:hAnsiTheme="majorEastAsia" w:eastAsiaTheme="majorEastAsia" w:cstheme="majorEastAsia"/>
                <w:b/>
                <w:sz w:val="21"/>
                <w:szCs w:val="21"/>
                <w:lang w:val="en-US" w:eastAsia="zh-CN"/>
              </w:rPr>
            </w:pPr>
            <w:r>
              <w:rPr>
                <w:rFonts w:hint="default" w:asciiTheme="majorEastAsia" w:hAnsiTheme="majorEastAsia" w:eastAsiaTheme="majorEastAsia" w:cstheme="majorEastAsia"/>
                <w:b/>
                <w:sz w:val="21"/>
                <w:szCs w:val="21"/>
                <w:lang w:val="en-US"/>
              </w:rPr>
              <w:t>3D</w:t>
            </w:r>
            <w:r>
              <w:rPr>
                <w:rFonts w:hint="eastAsia" w:asciiTheme="majorEastAsia" w:hAnsiTheme="majorEastAsia" w:eastAsiaTheme="majorEastAsia" w:cstheme="majorEastAsia"/>
                <w:b/>
                <w:sz w:val="21"/>
                <w:szCs w:val="21"/>
                <w:lang w:val="en-US" w:eastAsia="zh-CN"/>
              </w:rPr>
              <w:t>打印基本要求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lang w:val="en-US" w:eastAsia="zh-CN"/>
              </w:rPr>
            </w:pPr>
            <w:r>
              <w:rPr>
                <w:rFonts w:hint="eastAsia" w:asciiTheme="majorEastAsia" w:hAnsiTheme="majorEastAsia" w:eastAsiaTheme="majorEastAsia" w:cstheme="majorEastAsia"/>
                <w:bCs/>
                <w:sz w:val="20"/>
                <w:szCs w:val="20"/>
                <w:lang w:val="en-US" w:eastAsia="zh-CN"/>
              </w:rPr>
              <w:t>2.1</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设备精度：打印层厚≤0.05mm，定位精度≤±0.05mm，确保实体模型与数字模型的一致性</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lang w:val="en-US" w:eastAsia="zh-CN"/>
              </w:rPr>
            </w:pPr>
            <w:r>
              <w:rPr>
                <w:rFonts w:hint="eastAsia" w:asciiTheme="majorEastAsia" w:hAnsiTheme="majorEastAsia" w:eastAsiaTheme="majorEastAsia" w:cstheme="majorEastAsia"/>
                <w:bCs/>
                <w:sz w:val="20"/>
                <w:szCs w:val="20"/>
                <w:lang w:val="en-US" w:eastAsia="zh-CN"/>
              </w:rPr>
              <w:t>2.2</w:t>
            </w:r>
          </w:p>
        </w:tc>
        <w:tc>
          <w:tcPr>
            <w:tcW w:w="8026" w:type="dxa"/>
          </w:tcPr>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尺寸精度：关键部位尺寸误差≤±0.1mm，非关键部位≤±0.2mm</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lang w:val="en-US" w:eastAsia="zh-CN"/>
              </w:rPr>
            </w:pPr>
            <w:r>
              <w:rPr>
                <w:rFonts w:hint="eastAsia" w:asciiTheme="majorEastAsia" w:hAnsiTheme="majorEastAsia" w:eastAsiaTheme="majorEastAsia" w:cstheme="majorEastAsia"/>
                <w:bCs/>
                <w:sz w:val="20"/>
                <w:szCs w:val="20"/>
                <w:lang w:val="en-US" w:eastAsia="zh-CN"/>
              </w:rPr>
              <w:t>2.3</w:t>
            </w:r>
          </w:p>
        </w:tc>
        <w:tc>
          <w:tcPr>
            <w:tcW w:w="8026" w:type="dxa"/>
          </w:tcPr>
          <w:p>
            <w:pPr>
              <w:ind w:right="-340" w:rightChars="-162"/>
              <w:rPr>
                <w:rFonts w:hint="eastAsia"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表面质量：无毛刺、裂痕、孔洞、翘曲等缺陷，</w:t>
            </w:r>
            <w:r>
              <w:rPr>
                <w:rFonts w:hint="eastAsia" w:asciiTheme="majorEastAsia" w:hAnsiTheme="majorEastAsia" w:eastAsiaTheme="majorEastAsia" w:cstheme="majorEastAsia"/>
                <w:bCs/>
                <w:sz w:val="20"/>
                <w:szCs w:val="20"/>
                <w:lang w:val="en-US" w:eastAsia="zh-CN"/>
              </w:rPr>
              <w:t>打印模型需要注塑方便展示</w:t>
            </w:r>
            <w:r>
              <w:rPr>
                <w:rFonts w:hint="eastAsia" w:asciiTheme="majorEastAsia" w:hAnsiTheme="majorEastAsia" w:eastAsiaTheme="majorEastAsia" w:cstheme="majorEastAsia"/>
                <w:bCs/>
                <w:sz w:val="20"/>
                <w:szCs w:val="20"/>
              </w:rPr>
              <w:t>，</w:t>
            </w:r>
            <w:r>
              <w:rPr>
                <w:rFonts w:hint="eastAsia" w:asciiTheme="majorEastAsia" w:hAnsiTheme="majorEastAsia" w:eastAsiaTheme="majorEastAsia" w:cstheme="majorEastAsia"/>
                <w:bCs/>
                <w:sz w:val="20"/>
                <w:szCs w:val="20"/>
                <w:lang w:val="en-US" w:eastAsia="zh-CN"/>
              </w:rPr>
              <w:t>并</w:t>
            </w:r>
            <w:r>
              <w:rPr>
                <w:rFonts w:hint="eastAsia" w:asciiTheme="majorEastAsia" w:hAnsiTheme="majorEastAsia" w:eastAsiaTheme="majorEastAsia" w:cstheme="majorEastAsia"/>
                <w:bCs/>
                <w:sz w:val="20"/>
                <w:szCs w:val="20"/>
              </w:rPr>
              <w:t>需通过目</w:t>
            </w:r>
          </w:p>
          <w:p>
            <w:pPr>
              <w:ind w:right="-340" w:rightChars="-162"/>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bCs/>
                <w:sz w:val="20"/>
                <w:szCs w:val="20"/>
              </w:rPr>
              <w:t>视检查</w:t>
            </w:r>
            <w:r>
              <w:rPr>
                <w:rFonts w:hint="eastAsia" w:asciiTheme="majorEastAsia" w:hAnsiTheme="majorEastAsia" w:eastAsiaTheme="majorEastAsia" w:cstheme="majorEastAsia"/>
                <w:bCs/>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lang w:val="en-US" w:eastAsia="zh-CN"/>
              </w:rPr>
            </w:pPr>
            <w:r>
              <w:rPr>
                <w:rFonts w:hint="eastAsia" w:asciiTheme="majorEastAsia" w:hAnsiTheme="majorEastAsia" w:eastAsiaTheme="majorEastAsia" w:cstheme="majorEastAsia"/>
                <w:bCs/>
                <w:sz w:val="20"/>
                <w:szCs w:val="20"/>
                <w:lang w:val="en-US" w:eastAsia="zh-CN"/>
              </w:rPr>
              <w:t>2.4</w:t>
            </w:r>
          </w:p>
        </w:tc>
        <w:tc>
          <w:tcPr>
            <w:tcW w:w="8026" w:type="dxa"/>
          </w:tcPr>
          <w:p>
            <w:pPr>
              <w:ind w:right="-340" w:rightChars="-162"/>
              <w:rPr>
                <w:rFonts w:hint="default" w:asciiTheme="majorEastAsia" w:hAnsiTheme="majorEastAsia" w:eastAsiaTheme="majorEastAsia" w:cstheme="majorEastAsia"/>
                <w:bCs/>
                <w:sz w:val="20"/>
                <w:szCs w:val="20"/>
                <w:lang w:val="en-US" w:eastAsia="zh-CN"/>
              </w:rPr>
            </w:pPr>
            <w:r>
              <w:rPr>
                <w:rFonts w:hint="eastAsia" w:asciiTheme="majorEastAsia" w:hAnsiTheme="majorEastAsia" w:eastAsiaTheme="majorEastAsia" w:cstheme="majorEastAsia"/>
                <w:bCs/>
                <w:sz w:val="20"/>
                <w:szCs w:val="20"/>
                <w:lang w:val="en-US" w:eastAsia="zh-CN"/>
              </w:rPr>
              <w:t>打印数量：12个；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2.5</w:t>
            </w:r>
          </w:p>
        </w:tc>
        <w:tc>
          <w:tcPr>
            <w:tcW w:w="8026" w:type="dxa"/>
          </w:tcPr>
          <w:p>
            <w:pPr>
              <w:ind w:right="-340" w:rightChars="-162"/>
              <w:rPr>
                <w:rFonts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有相关配合医学教育</w:t>
            </w:r>
            <w:r>
              <w:rPr>
                <w:rFonts w:hint="eastAsia" w:asciiTheme="majorEastAsia" w:hAnsiTheme="majorEastAsia" w:eastAsiaTheme="majorEastAsia" w:cstheme="majorEastAsia"/>
                <w:bCs/>
                <w:sz w:val="20"/>
                <w:szCs w:val="20"/>
                <w:highlight w:val="none"/>
                <w:lang w:val="en-US" w:eastAsia="zh-CN"/>
              </w:rPr>
              <w:t>服务</w:t>
            </w:r>
            <w:r>
              <w:rPr>
                <w:rFonts w:hint="eastAsia" w:asciiTheme="majorEastAsia" w:hAnsiTheme="majorEastAsia" w:eastAsiaTheme="majorEastAsia" w:cstheme="majorEastAsia"/>
                <w:bCs/>
                <w:sz w:val="20"/>
                <w:szCs w:val="20"/>
                <w:highlight w:val="none"/>
              </w:rPr>
              <w:t>的经验，提供</w:t>
            </w:r>
            <w:r>
              <w:rPr>
                <w:rFonts w:hint="eastAsia" w:asciiTheme="majorEastAsia" w:hAnsiTheme="majorEastAsia" w:eastAsiaTheme="majorEastAsia" w:cstheme="majorEastAsia"/>
                <w:bCs/>
                <w:sz w:val="20"/>
                <w:szCs w:val="20"/>
                <w:highlight w:val="none"/>
                <w:lang w:val="en-US" w:eastAsia="zh-CN"/>
              </w:rPr>
              <w:t>3</w:t>
            </w:r>
            <w:r>
              <w:rPr>
                <w:rFonts w:hint="eastAsia" w:asciiTheme="majorEastAsia" w:hAnsiTheme="majorEastAsia" w:eastAsiaTheme="majorEastAsia" w:cstheme="majorEastAsia"/>
                <w:bCs/>
                <w:sz w:val="20"/>
                <w:szCs w:val="20"/>
                <w:highlight w:val="none"/>
              </w:rPr>
              <w:t>份</w:t>
            </w:r>
            <w:r>
              <w:rPr>
                <w:rFonts w:hint="eastAsia" w:asciiTheme="majorEastAsia" w:hAnsiTheme="majorEastAsia" w:eastAsiaTheme="majorEastAsia" w:cstheme="majorEastAsia"/>
                <w:bCs/>
                <w:sz w:val="20"/>
                <w:szCs w:val="20"/>
                <w:highlight w:val="none"/>
                <w:lang w:val="en-US" w:eastAsia="zh-CN"/>
              </w:rPr>
              <w:t>业绩证明</w:t>
            </w:r>
            <w:r>
              <w:rPr>
                <w:rFonts w:hint="eastAsia" w:asciiTheme="majorEastAsia" w:hAnsiTheme="majorEastAsia" w:eastAsiaTheme="majorEastAsia" w:cstheme="majorEastAsia"/>
                <w:bCs/>
                <w:sz w:val="20"/>
                <w:szCs w:val="20"/>
                <w:highlight w:val="none"/>
                <w:lang w:eastAsia="zh-CN"/>
              </w:rPr>
              <w:t>，并附页码</w:t>
            </w:r>
            <w:r>
              <w:rPr>
                <w:rFonts w:hint="eastAsia" w:asciiTheme="majorEastAsia" w:hAnsiTheme="majorEastAsia" w:eastAsiaTheme="majorEastAsia" w:cstheme="majorEastAsia"/>
                <w:bCs/>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11" w:firstLineChars="100"/>
              <w:jc w:val="left"/>
              <w:rPr>
                <w:rFonts w:hint="default" w:asciiTheme="majorEastAsia" w:hAnsiTheme="majorEastAsia" w:eastAsiaTheme="majorEastAsia" w:cstheme="majorEastAsia"/>
                <w:b/>
                <w:sz w:val="21"/>
                <w:szCs w:val="21"/>
                <w:lang w:val="en-US" w:eastAsia="zh-CN"/>
              </w:rPr>
            </w:pPr>
            <w:r>
              <w:rPr>
                <w:rFonts w:hint="eastAsia" w:asciiTheme="majorEastAsia" w:hAnsiTheme="majorEastAsia" w:eastAsiaTheme="majorEastAsia" w:cstheme="majorEastAsia"/>
                <w:b/>
                <w:sz w:val="21"/>
                <w:szCs w:val="21"/>
                <w:lang w:val="en-US" w:eastAsia="zh-CN"/>
              </w:rPr>
              <w:t>三</w:t>
            </w:r>
          </w:p>
        </w:tc>
        <w:tc>
          <w:tcPr>
            <w:tcW w:w="8026" w:type="dxa"/>
          </w:tcPr>
          <w:p>
            <w:pPr>
              <w:ind w:right="-340" w:rightChars="-162" w:firstLine="0" w:firstLineChars="0"/>
              <w:jc w:val="left"/>
              <w:rPr>
                <w:rFonts w:hint="eastAsia" w:asciiTheme="majorEastAsia" w:hAnsiTheme="majorEastAsia" w:eastAsiaTheme="majorEastAsia" w:cstheme="majorEastAsia"/>
                <w:b/>
                <w:sz w:val="21"/>
                <w:szCs w:val="21"/>
                <w:lang w:val="en-US" w:eastAsia="zh-CN"/>
              </w:rPr>
            </w:pPr>
            <w:r>
              <w:rPr>
                <w:rFonts w:hint="eastAsia" w:asciiTheme="majorEastAsia" w:hAnsiTheme="majorEastAsia" w:eastAsiaTheme="majorEastAsia" w:cstheme="majorEastAsia"/>
                <w:b/>
                <w:sz w:val="21"/>
                <w:szCs w:val="21"/>
                <w:lang w:val="en-US" w:eastAsia="zh-CN"/>
              </w:rPr>
              <w:t>胚胎发育虚拟仿真软件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yellow"/>
                <w:lang w:val="en-US" w:eastAsia="zh-CN"/>
              </w:rPr>
            </w:pPr>
            <w:r>
              <w:rPr>
                <w:rFonts w:hint="eastAsia" w:asciiTheme="majorEastAsia" w:hAnsiTheme="majorEastAsia" w:eastAsiaTheme="majorEastAsia" w:cstheme="majorEastAsia"/>
                <w:bCs/>
                <w:sz w:val="20"/>
                <w:szCs w:val="20"/>
                <w:highlight w:val="none"/>
                <w:lang w:val="en-US" w:eastAsia="zh-CN"/>
              </w:rPr>
              <w:t>3.1</w:t>
            </w:r>
          </w:p>
        </w:tc>
        <w:tc>
          <w:tcPr>
            <w:tcW w:w="8026" w:type="dxa"/>
          </w:tcPr>
          <w:p>
            <w:pPr>
              <w:ind w:right="-340" w:rightChars="-162"/>
              <w:rPr>
                <w:rFonts w:hint="eastAsia" w:asciiTheme="majorEastAsia" w:hAnsiTheme="majorEastAsia" w:eastAsiaTheme="majorEastAsia" w:cstheme="majorEastAsia"/>
                <w:bCs/>
                <w:sz w:val="20"/>
                <w:szCs w:val="20"/>
                <w:highlight w:val="none"/>
                <w:lang w:eastAsia="zh-CN"/>
              </w:rPr>
            </w:pPr>
            <w:r>
              <w:rPr>
                <w:rFonts w:hint="eastAsia" w:asciiTheme="majorEastAsia" w:hAnsiTheme="majorEastAsia" w:eastAsiaTheme="majorEastAsia" w:cstheme="majorEastAsia"/>
                <w:bCs/>
                <w:sz w:val="20"/>
                <w:szCs w:val="20"/>
                <w:highlight w:val="none"/>
              </w:rPr>
              <w:t>通过对胚胎发育过程进行三维建模，将虚拟仿真技术应用于胚胎发育的教学中</w:t>
            </w:r>
            <w:r>
              <w:rPr>
                <w:rFonts w:hint="eastAsia" w:asciiTheme="majorEastAsia" w:hAnsiTheme="majorEastAsia" w:eastAsiaTheme="majorEastAsia" w:cstheme="majorEastAsia"/>
                <w:bCs/>
                <w:sz w:val="20"/>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3.2</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旋转功能：模型可以围绕XYZ三个轴进行720度旋转，旋转的间隔角度为任意角度，没有</w:t>
            </w:r>
          </w:p>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断帧、少帧引起的跳跃和顿挫感；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3.3</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移动功能：模型可以上下和左右移动，不是固定在某个位置；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3.4</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缩放功能：“无级”放大与缩小，任意比率放大，不是固定几个放大倍率；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3.5</w:t>
            </w:r>
          </w:p>
        </w:tc>
        <w:tc>
          <w:tcPr>
            <w:tcW w:w="8026" w:type="dxa"/>
          </w:tcPr>
          <w:p>
            <w:pPr>
              <w:ind w:right="-340" w:rightChars="-162"/>
              <w:rPr>
                <w:rFonts w:hint="eastAsia" w:asciiTheme="majorEastAsia" w:hAnsiTheme="majorEastAsia" w:eastAsiaTheme="majorEastAsia" w:cstheme="majorEastAsia"/>
                <w:bCs/>
                <w:sz w:val="20"/>
                <w:szCs w:val="20"/>
                <w:highlight w:val="none"/>
                <w:lang w:eastAsia="zh-CN"/>
              </w:rPr>
            </w:pPr>
            <w:r>
              <w:rPr>
                <w:rFonts w:hint="eastAsia" w:asciiTheme="majorEastAsia" w:hAnsiTheme="majorEastAsia" w:eastAsiaTheme="majorEastAsia" w:cstheme="majorEastAsia"/>
                <w:bCs/>
                <w:sz w:val="20"/>
                <w:szCs w:val="20"/>
                <w:highlight w:val="none"/>
              </w:rPr>
              <w:t>透明功能：通过透明功能查看胎儿内部结构</w:t>
            </w:r>
            <w:r>
              <w:rPr>
                <w:rFonts w:hint="eastAsia" w:asciiTheme="majorEastAsia" w:hAnsiTheme="majorEastAsia" w:eastAsiaTheme="majorEastAsia" w:cstheme="majorEastAsia"/>
                <w:bCs/>
                <w:sz w:val="20"/>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3.5</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高亮显示：指向某个结构，立即显示其名称，且对应结构高亮显示；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3.7</w:t>
            </w:r>
          </w:p>
        </w:tc>
        <w:tc>
          <w:tcPr>
            <w:tcW w:w="8026" w:type="dxa"/>
          </w:tcPr>
          <w:p>
            <w:pPr>
              <w:ind w:right="-340" w:rightChars="-162"/>
              <w:rPr>
                <w:rFonts w:hint="eastAsia" w:asciiTheme="majorEastAsia" w:hAnsiTheme="majorEastAsia" w:eastAsiaTheme="majorEastAsia" w:cstheme="majorEastAsia"/>
                <w:bCs/>
                <w:sz w:val="20"/>
                <w:szCs w:val="20"/>
                <w:highlight w:val="none"/>
                <w:lang w:eastAsia="zh-CN"/>
              </w:rPr>
            </w:pPr>
            <w:r>
              <w:rPr>
                <w:rFonts w:hint="eastAsia" w:asciiTheme="majorEastAsia" w:hAnsiTheme="majorEastAsia" w:eastAsiaTheme="majorEastAsia" w:cstheme="majorEastAsia"/>
                <w:bCs/>
                <w:sz w:val="20"/>
                <w:szCs w:val="20"/>
                <w:highlight w:val="none"/>
              </w:rPr>
              <w:t>注释：胎儿各部位组织、结构均有注释</w:t>
            </w:r>
            <w:r>
              <w:rPr>
                <w:rFonts w:hint="eastAsia" w:asciiTheme="majorEastAsia" w:hAnsiTheme="majorEastAsia" w:eastAsiaTheme="majorEastAsia" w:cstheme="majorEastAsia"/>
                <w:bCs/>
                <w:sz w:val="20"/>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3.8</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胎儿发育阶段，动画显示变化过程；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3.9</w:t>
            </w:r>
            <w:r>
              <w:rPr>
                <w:rFonts w:hint="eastAsia" w:ascii="宋体" w:hAnsi="宋体" w:eastAsia="宋体" w:cs="宋体"/>
                <w:bCs/>
                <w:sz w:val="20"/>
                <w:szCs w:val="20"/>
                <w:highlight w:val="none"/>
                <w:lang w:val="en-US" w:eastAsia="zh-CN"/>
              </w:rPr>
              <w:t>△</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系统包含：婴儿发育过程：包含婴儿从第1周到第40周的生长过程，总共不少于17个模</w:t>
            </w:r>
          </w:p>
          <w:p>
            <w:pPr>
              <w:ind w:right="-340" w:rightChars="-162"/>
              <w:rPr>
                <w:rFonts w:hint="eastAsia" w:asciiTheme="majorEastAsia" w:hAnsiTheme="majorEastAsia" w:eastAsiaTheme="majorEastAsia" w:cstheme="majorEastAsia"/>
                <w:bCs/>
                <w:sz w:val="20"/>
                <w:szCs w:val="20"/>
                <w:highlight w:val="yellow"/>
                <w:lang w:val="en-US" w:eastAsia="zh-CN"/>
              </w:rPr>
            </w:pPr>
            <w:r>
              <w:rPr>
                <w:rFonts w:hint="eastAsia" w:asciiTheme="majorEastAsia" w:hAnsiTheme="majorEastAsia" w:eastAsiaTheme="majorEastAsia" w:cstheme="majorEastAsia"/>
                <w:bCs/>
                <w:sz w:val="20"/>
                <w:szCs w:val="20"/>
                <w:highlight w:val="none"/>
              </w:rPr>
              <w:t>型，六个胎儿动画。能够实现连续生长的变化；（提供软件功能截图</w:t>
            </w:r>
            <w:r>
              <w:rPr>
                <w:rFonts w:hint="eastAsia" w:asciiTheme="majorEastAsia" w:hAnsiTheme="majorEastAsia" w:eastAsiaTheme="majorEastAsia" w:cstheme="majorEastAsia"/>
                <w:bCs/>
                <w:sz w:val="20"/>
                <w:szCs w:val="20"/>
                <w:highlight w:val="none"/>
                <w:lang w:eastAsia="zh-CN"/>
              </w:rPr>
              <w:t>，并附页码</w:t>
            </w:r>
            <w:r>
              <w:rPr>
                <w:rFonts w:hint="eastAsia" w:asciiTheme="majorEastAsia" w:hAnsiTheme="majorEastAsia" w:eastAsiaTheme="majorEastAsia" w:cstheme="majorEastAsia"/>
                <w:bCs/>
                <w:sz w:val="20"/>
                <w:szCs w:val="20"/>
                <w:highlight w:val="none"/>
              </w:rPr>
              <w:t>）</w:t>
            </w:r>
            <w:r>
              <w:rPr>
                <w:rFonts w:hint="eastAsia" w:asciiTheme="majorEastAsia" w:hAnsiTheme="majorEastAsia" w:eastAsiaTheme="majorEastAsia" w:cstheme="majorEastAsia"/>
                <w:bCs/>
                <w:sz w:val="20"/>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3.10</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前三个月份不少于10个模型；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00" w:firstLineChars="100"/>
              <w:rPr>
                <w:rFonts w:hint="default" w:asciiTheme="majorEastAsia" w:hAnsiTheme="majorEastAsia" w:eastAsiaTheme="majorEastAsia" w:cstheme="majorEastAsia"/>
                <w:bCs/>
                <w:sz w:val="20"/>
                <w:szCs w:val="20"/>
                <w:highlight w:val="none"/>
                <w:lang w:val="en-US" w:eastAsia="zh-CN"/>
              </w:rPr>
            </w:pPr>
            <w:r>
              <w:rPr>
                <w:rFonts w:hint="eastAsia" w:asciiTheme="majorEastAsia" w:hAnsiTheme="majorEastAsia" w:eastAsiaTheme="majorEastAsia" w:cstheme="majorEastAsia"/>
                <w:bCs/>
                <w:sz w:val="20"/>
                <w:szCs w:val="20"/>
                <w:highlight w:val="none"/>
                <w:lang w:val="en-US" w:eastAsia="zh-CN"/>
              </w:rPr>
              <w:t>3.11</w:t>
            </w:r>
          </w:p>
        </w:tc>
        <w:tc>
          <w:tcPr>
            <w:tcW w:w="8026" w:type="dxa"/>
          </w:tcPr>
          <w:p>
            <w:pPr>
              <w:ind w:right="-340" w:rightChars="-162"/>
              <w:rPr>
                <w:rFonts w:hint="eastAsia" w:asciiTheme="majorEastAsia" w:hAnsiTheme="majorEastAsia" w:eastAsiaTheme="majorEastAsia" w:cstheme="majorEastAsia"/>
                <w:bCs/>
                <w:sz w:val="20"/>
                <w:szCs w:val="20"/>
                <w:highlight w:val="none"/>
              </w:rPr>
            </w:pPr>
            <w:r>
              <w:rPr>
                <w:rFonts w:hint="eastAsia" w:asciiTheme="majorEastAsia" w:hAnsiTheme="majorEastAsia" w:eastAsiaTheme="majorEastAsia" w:cstheme="majorEastAsia"/>
                <w:bCs/>
                <w:sz w:val="20"/>
                <w:szCs w:val="20"/>
                <w:highlight w:val="none"/>
              </w:rPr>
              <w:t>四到十月份，不少于7个模型，5个动画。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trHeight w:val="287" w:hRule="atLeast"/>
          <w:jc w:val="center"/>
        </w:trPr>
        <w:tc>
          <w:tcPr>
            <w:tcW w:w="1061" w:type="dxa"/>
          </w:tcPr>
          <w:p>
            <w:pPr>
              <w:ind w:right="-340" w:rightChars="-162" w:firstLine="211" w:firstLineChars="100"/>
              <w:rPr>
                <w:rFonts w:hint="eastAsia" w:asciiTheme="majorEastAsia" w:hAnsiTheme="majorEastAsia" w:eastAsiaTheme="majorEastAsia" w:cstheme="majorEastAsia"/>
                <w:b/>
                <w:sz w:val="21"/>
                <w:szCs w:val="21"/>
                <w:lang w:eastAsia="zh-CN"/>
              </w:rPr>
            </w:pPr>
            <w:r>
              <w:rPr>
                <w:rFonts w:hint="eastAsia" w:asciiTheme="majorEastAsia" w:hAnsiTheme="majorEastAsia" w:eastAsiaTheme="majorEastAsia" w:cstheme="majorEastAsia"/>
                <w:b/>
                <w:sz w:val="21"/>
                <w:szCs w:val="21"/>
                <w:lang w:eastAsia="zh-CN"/>
              </w:rPr>
              <w:t>二</w:t>
            </w:r>
          </w:p>
        </w:tc>
        <w:tc>
          <w:tcPr>
            <w:tcW w:w="8026" w:type="dxa"/>
          </w:tcPr>
          <w:p>
            <w:pPr>
              <w:ind w:right="-340" w:rightChars="-162"/>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cantSplit/>
          <w:trHeight w:val="291" w:hRule="atLeast"/>
          <w:jc w:val="center"/>
        </w:trPr>
        <w:tc>
          <w:tcPr>
            <w:tcW w:w="1061" w:type="dxa"/>
          </w:tcPr>
          <w:p>
            <w:pPr>
              <w:ind w:right="-340" w:rightChars="-162" w:firstLine="200" w:firstLineChars="100"/>
              <w:jc w:val="left"/>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3.1</w:t>
            </w:r>
          </w:p>
        </w:tc>
        <w:tc>
          <w:tcPr>
            <w:tcW w:w="8026" w:type="dxa"/>
            <w:vAlign w:val="center"/>
          </w:tcPr>
          <w:p>
            <w:pPr>
              <w:ind w:left="105" w:leftChars="50" w:right="105" w:rightChars="50"/>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sz w:val="20"/>
                <w:szCs w:val="20"/>
              </w:rPr>
              <w:t>原厂质保期（含配件）≥ 2年</w:t>
            </w:r>
            <w:r>
              <w:rPr>
                <w:rFonts w:hint="eastAsia" w:asciiTheme="majorEastAsia" w:hAnsiTheme="majorEastAsia" w:eastAsiaTheme="majorEastAsia" w:cstheme="majorEastAsia"/>
                <w:sz w:val="20"/>
                <w:szCs w:val="20"/>
                <w:lang w:eastAsia="zh-CN"/>
              </w:rPr>
              <w:t>；</w:t>
            </w:r>
            <w:r>
              <w:rPr>
                <w:rFonts w:hint="eastAsia" w:asciiTheme="majorEastAsia" w:hAnsiTheme="majorEastAsia" w:eastAsiaTheme="majorEastAsia" w:cstheme="majorEastAsia"/>
                <w:sz w:val="20"/>
                <w:szCs w:val="20"/>
              </w:rPr>
              <w:t xml:space="preserve"> </w:t>
            </w:r>
            <w:r>
              <w:rPr>
                <w:rFonts w:hint="eastAsia" w:asciiTheme="majorEastAsia" w:hAnsiTheme="majorEastAsia" w:eastAsiaTheme="majorEastAsia" w:cstheme="majorEastAsia"/>
                <w:sz w:val="20"/>
                <w:szCs w:val="20"/>
              </w:rPr>
              <w:fldChar w:fldCharType="begin"/>
            </w:r>
            <w:r>
              <w:rPr>
                <w:rFonts w:hint="eastAsia" w:asciiTheme="majorEastAsia" w:hAnsiTheme="majorEastAsia" w:eastAsiaTheme="majorEastAsia" w:cstheme="majorEastAsia"/>
                <w:sz w:val="20"/>
                <w:szCs w:val="20"/>
              </w:rPr>
              <w:instrText xml:space="preserve"> MERGEFIELD "需求表中原厂质保期（含配件）" </w:instrText>
            </w:r>
            <w:r>
              <w:rPr>
                <w:rFonts w:hint="eastAsia" w:asciiTheme="majorEastAsia" w:hAnsiTheme="majorEastAsia" w:eastAsiaTheme="majorEastAsia" w:cstheme="majorEastAsia"/>
                <w:sz w:val="20"/>
                <w:szCs w:val="20"/>
              </w:rPr>
              <w:fldChar w:fldCharType="end"/>
            </w:r>
            <w:r>
              <w:rPr>
                <w:rFonts w:hint="eastAsia" w:asciiTheme="majorEastAsia" w:hAnsiTheme="majorEastAsia" w:eastAsiaTheme="majorEastAsia" w:cstheme="majorEastAsia"/>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283" w:type="dxa"/>
          </w:tblCellMar>
        </w:tblPrEx>
        <w:trPr>
          <w:cantSplit/>
          <w:jc w:val="center"/>
        </w:trPr>
        <w:tc>
          <w:tcPr>
            <w:tcW w:w="1061" w:type="dxa"/>
          </w:tcPr>
          <w:p>
            <w:pPr>
              <w:ind w:right="-340" w:rightChars="-162" w:firstLine="200" w:firstLineChars="100"/>
              <w:jc w:val="left"/>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3.2</w:t>
            </w:r>
          </w:p>
        </w:tc>
        <w:tc>
          <w:tcPr>
            <w:tcW w:w="8026" w:type="dxa"/>
            <w:vAlign w:val="center"/>
          </w:tcPr>
          <w:p>
            <w:pPr>
              <w:ind w:left="105" w:leftChars="50" w:right="105" w:rightChars="50"/>
              <w:rPr>
                <w:rFonts w:hint="eastAsia" w:asciiTheme="majorEastAsia" w:hAnsiTheme="majorEastAsia" w:eastAsiaTheme="majorEastAsia" w:cstheme="majorEastAsia"/>
                <w:bCs/>
                <w:sz w:val="20"/>
                <w:szCs w:val="20"/>
                <w:lang w:eastAsia="zh-CN"/>
              </w:rPr>
            </w:pPr>
            <w:r>
              <w:rPr>
                <w:rFonts w:hint="eastAsia" w:asciiTheme="majorEastAsia" w:hAnsiTheme="majorEastAsia" w:eastAsiaTheme="majorEastAsia" w:cstheme="majorEastAsia"/>
                <w:sz w:val="20"/>
                <w:szCs w:val="20"/>
              </w:rPr>
              <w:t>提供核心配件及易损件名称：无</w:t>
            </w:r>
            <w:r>
              <w:rPr>
                <w:rFonts w:hint="eastAsia" w:asciiTheme="majorEastAsia" w:hAnsiTheme="majorEastAsia" w:eastAsiaTheme="majorEastAsia" w:cstheme="majorEastAsia"/>
                <w:sz w:val="20"/>
                <w:szCs w:val="20"/>
                <w:lang w:eastAsia="zh-CN"/>
              </w:rPr>
              <w:t>。</w:t>
            </w:r>
          </w:p>
        </w:tc>
      </w:tr>
    </w:tbl>
    <w:p>
      <w:pPr>
        <w:rPr>
          <w:rFonts w:hint="eastAsia"/>
          <w:b/>
          <w:szCs w:val="21"/>
        </w:rPr>
      </w:pPr>
      <w:r>
        <w:rPr>
          <w:rFonts w:hint="eastAsia"/>
          <w:b/>
          <w:szCs w:val="21"/>
        </w:rPr>
        <w:br w:type="page"/>
      </w:r>
    </w:p>
    <w:p>
      <w:pPr>
        <w:pStyle w:val="15"/>
        <w:numPr>
          <w:ilvl w:val="0"/>
          <w:numId w:val="1"/>
        </w:numPr>
      </w:pPr>
      <w:bookmarkStart w:id="4" w:name="_Toc220618498"/>
      <w:r>
        <w:rPr>
          <w:rFonts w:hint="eastAsia"/>
        </w:rPr>
        <w:t>评分标准</w:t>
      </w:r>
      <w:bookmarkEnd w:id="4"/>
    </w:p>
    <w:tbl>
      <w:tblPr>
        <w:tblStyle w:val="17"/>
        <w:tblW w:w="5153" w:type="pct"/>
        <w:tblInd w:w="-25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6413"/>
        <w:gridCol w:w="893"/>
        <w:gridCol w:w="81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78" w:type="pct"/>
            <w:vAlign w:val="center"/>
          </w:tcPr>
          <w:p>
            <w:pPr>
              <w:spacing w:line="276"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3649" w:type="pct"/>
            <w:vAlign w:val="center"/>
          </w:tcPr>
          <w:p>
            <w:pPr>
              <w:spacing w:line="276" w:lineRule="auto"/>
              <w:ind w:right="-313" w:rightChars="-149"/>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评审细则</w:t>
            </w:r>
          </w:p>
        </w:tc>
        <w:tc>
          <w:tcPr>
            <w:tcW w:w="508" w:type="pct"/>
            <w:vAlign w:val="center"/>
          </w:tcPr>
          <w:p>
            <w:pPr>
              <w:spacing w:line="276"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说明</w:t>
            </w:r>
          </w:p>
        </w:tc>
        <w:tc>
          <w:tcPr>
            <w:tcW w:w="463" w:type="pct"/>
            <w:vAlign w:val="center"/>
          </w:tcPr>
          <w:p>
            <w:pPr>
              <w:spacing w:line="276"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649" w:type="pct"/>
            <w:vAlign w:val="center"/>
          </w:tcPr>
          <w:p>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响应文件情况：响应文件资料完整性、真实性及编制质量（应字迹清晰，内容齐全，真实有据，不得有涂改、漏页、错页、夹页、漏章等情况）综合评定0-2分。</w:t>
            </w:r>
          </w:p>
        </w:tc>
        <w:tc>
          <w:tcPr>
            <w:tcW w:w="50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主观分</w:t>
            </w: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3649" w:type="pct"/>
            <w:vAlign w:val="center"/>
          </w:tcPr>
          <w:p>
            <w:pPr>
              <w:spacing w:line="276"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企业生产能力评价：</w:t>
            </w:r>
            <w:r>
              <w:rPr>
                <w:rFonts w:hint="eastAsia" w:ascii="宋体" w:hAnsi="宋体" w:eastAsia="宋体" w:cs="宋体"/>
                <w:b w:val="0"/>
                <w:bCs w:val="0"/>
                <w:color w:val="auto"/>
                <w:kern w:val="0"/>
                <w:sz w:val="21"/>
                <w:szCs w:val="21"/>
              </w:rPr>
              <w:t>设备与技术能力</w:t>
            </w:r>
            <w:r>
              <w:rPr>
                <w:rFonts w:hint="eastAsia" w:ascii="宋体" w:hAnsi="宋体" w:eastAsia="宋体" w:cs="宋体"/>
                <w:color w:val="auto"/>
                <w:kern w:val="0"/>
                <w:sz w:val="21"/>
                <w:szCs w:val="21"/>
              </w:rPr>
              <w:t>、生产环境等。</w:t>
            </w:r>
          </w:p>
        </w:tc>
        <w:tc>
          <w:tcPr>
            <w:tcW w:w="50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主观分</w:t>
            </w: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5分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Align w:val="center"/>
          </w:tcPr>
          <w:p>
            <w:pPr>
              <w:spacing w:line="276"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3649" w:type="pct"/>
            <w:shd w:val="clear" w:color="auto" w:fill="auto"/>
            <w:vAlign w:val="center"/>
          </w:tcPr>
          <w:p>
            <w:pPr>
              <w:spacing w:line="276"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技术功能符合度：对应于 “采购内容及需求”响应情况，△每一条不满足采购文件的扣</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分，其他每一条不满足采购文件的扣</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分，扣完为止。▲为实质性条款，若不满足响应无效。</w:t>
            </w:r>
          </w:p>
        </w:tc>
        <w:tc>
          <w:tcPr>
            <w:tcW w:w="508" w:type="pct"/>
            <w:shd w:val="clear" w:color="auto" w:fill="auto"/>
            <w:vAlign w:val="center"/>
          </w:tcPr>
          <w:p>
            <w:pPr>
              <w:spacing w:line="276"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客</w:t>
            </w:r>
            <w:r>
              <w:rPr>
                <w:rFonts w:hint="eastAsia" w:ascii="宋体" w:hAnsi="宋体" w:eastAsia="宋体" w:cs="宋体"/>
                <w:color w:val="auto"/>
                <w:sz w:val="21"/>
                <w:szCs w:val="21"/>
              </w:rPr>
              <w:t>观分</w:t>
            </w:r>
          </w:p>
        </w:tc>
        <w:tc>
          <w:tcPr>
            <w:tcW w:w="463" w:type="pct"/>
            <w:shd w:val="clear" w:color="auto" w:fill="auto"/>
            <w:vAlign w:val="center"/>
          </w:tcPr>
          <w:p>
            <w:pPr>
              <w:spacing w:line="276"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lang w:val="en-US" w:eastAsia="zh-CN"/>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Merge w:val="restar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p>
        </w:tc>
        <w:tc>
          <w:tcPr>
            <w:tcW w:w="3649" w:type="pct"/>
            <w:shd w:val="clear" w:color="auto" w:fill="auto"/>
            <w:vAlign w:val="center"/>
          </w:tcPr>
          <w:p>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对本项目需求的理解与分析的合理性、准确性评价。评价因素包括需求理解与分析阐述是否清晰、准确、全面。</w:t>
            </w:r>
          </w:p>
          <w:p>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（评分范围：</w:t>
            </w:r>
            <w:r>
              <w:rPr>
                <w:rFonts w:hint="eastAsia" w:ascii="宋体" w:hAnsi="宋体" w:eastAsia="宋体" w:cs="宋体"/>
                <w:color w:val="auto"/>
                <w:sz w:val="21"/>
                <w:szCs w:val="21"/>
                <w:lang w:val="en-US" w:eastAsia="zh-CN"/>
              </w:rPr>
              <w:t>0-10分</w:t>
            </w:r>
            <w:r>
              <w:rPr>
                <w:rFonts w:hint="eastAsia" w:ascii="宋体" w:hAnsi="宋体" w:eastAsia="宋体" w:cs="宋体"/>
                <w:color w:val="auto"/>
                <w:sz w:val="21"/>
                <w:szCs w:val="21"/>
              </w:rPr>
              <w:t>）</w:t>
            </w:r>
          </w:p>
        </w:tc>
        <w:tc>
          <w:tcPr>
            <w:tcW w:w="508" w:type="pct"/>
            <w:shd w:val="clear" w:color="auto" w:fill="auto"/>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rPr>
              <w:t>主观分</w:t>
            </w:r>
          </w:p>
        </w:tc>
        <w:tc>
          <w:tcPr>
            <w:tcW w:w="463" w:type="pct"/>
            <w:shd w:val="clear" w:color="auto" w:fill="auto"/>
            <w:vAlign w:val="center"/>
          </w:tcPr>
          <w:p>
            <w:pPr>
              <w:spacing w:line="276" w:lineRule="auto"/>
              <w:jc w:val="center"/>
              <w:rPr>
                <w:rFonts w:hint="eastAsia" w:ascii="宋体" w:hAnsi="宋体" w:cs="宋体"/>
                <w:color w:val="auto"/>
                <w:sz w:val="21"/>
                <w:szCs w:val="21"/>
                <w:highlight w:val="none"/>
                <w:lang w:val="en-US" w:eastAsia="zh-CN"/>
              </w:rPr>
            </w:pPr>
            <w:r>
              <w:rPr>
                <w:rFonts w:hint="eastAsia" w:ascii="宋体" w:hAnsi="宋体" w:eastAsia="宋体" w:cs="宋体"/>
                <w:color w:val="auto"/>
                <w:kern w:val="0"/>
                <w:sz w:val="21"/>
                <w:szCs w:val="21"/>
                <w:lang w:val="en-US" w:eastAsia="zh-CN"/>
              </w:rPr>
              <w:t>10</w:t>
            </w:r>
            <w:r>
              <w:rPr>
                <w:rFonts w:hint="eastAsia" w:ascii="宋体" w:hAnsi="宋体" w:eastAsia="宋体" w:cs="宋体"/>
                <w:color w:val="auto"/>
                <w:kern w:val="0"/>
                <w:sz w:val="21"/>
                <w:szCs w:val="21"/>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378" w:type="pct"/>
            <w:vMerge w:val="continue"/>
            <w:vAlign w:val="center"/>
          </w:tcPr>
          <w:p>
            <w:pPr>
              <w:spacing w:line="276" w:lineRule="auto"/>
              <w:jc w:val="center"/>
              <w:rPr>
                <w:rFonts w:hint="eastAsia" w:ascii="宋体" w:hAnsi="宋体" w:eastAsia="宋体" w:cs="宋体"/>
                <w:color w:val="auto"/>
                <w:sz w:val="21"/>
                <w:szCs w:val="21"/>
                <w:lang w:eastAsia="zh-CN"/>
              </w:rPr>
            </w:pPr>
          </w:p>
        </w:tc>
        <w:tc>
          <w:tcPr>
            <w:tcW w:w="3649" w:type="pct"/>
            <w:vAlign w:val="center"/>
          </w:tcPr>
          <w:p>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供应商根据需求理解与分析的结论，提出的项目实施技术重点、难点的解决方案与合理化建议的评价。评价因素包括解决方案的针对性和有效性，建议等。</w:t>
            </w:r>
          </w:p>
          <w:p>
            <w:pPr>
              <w:spacing w:line="276"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（评分范围：</w:t>
            </w:r>
            <w:r>
              <w:rPr>
                <w:rFonts w:hint="eastAsia" w:ascii="宋体" w:hAnsi="宋体" w:eastAsia="宋体" w:cs="宋体"/>
                <w:color w:val="auto"/>
                <w:sz w:val="21"/>
                <w:szCs w:val="21"/>
                <w:lang w:val="en-US" w:eastAsia="zh-CN"/>
              </w:rPr>
              <w:t>0-10分</w:t>
            </w:r>
            <w:r>
              <w:rPr>
                <w:rFonts w:hint="eastAsia" w:ascii="宋体" w:hAnsi="宋体" w:eastAsia="宋体" w:cs="宋体"/>
                <w:color w:val="auto"/>
                <w:sz w:val="21"/>
                <w:szCs w:val="21"/>
              </w:rPr>
              <w:t>）</w:t>
            </w:r>
          </w:p>
        </w:tc>
        <w:tc>
          <w:tcPr>
            <w:tcW w:w="508" w:type="pct"/>
            <w:vAlign w:val="center"/>
          </w:tcPr>
          <w:p>
            <w:pPr>
              <w:spacing w:line="276"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主观分</w:t>
            </w:r>
          </w:p>
        </w:tc>
        <w:tc>
          <w:tcPr>
            <w:tcW w:w="463" w:type="pct"/>
            <w:vAlign w:val="center"/>
          </w:tcPr>
          <w:p>
            <w:pPr>
              <w:spacing w:line="276"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w:t>
            </w:r>
            <w:r>
              <w:rPr>
                <w:rFonts w:hint="eastAsia" w:ascii="宋体" w:hAnsi="宋体" w:eastAsia="宋体" w:cs="宋体"/>
                <w:color w:val="auto"/>
                <w:kern w:val="0"/>
                <w:sz w:val="21"/>
                <w:szCs w:val="21"/>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p>
        </w:tc>
        <w:tc>
          <w:tcPr>
            <w:tcW w:w="3649" w:type="pct"/>
            <w:vAlign w:val="center"/>
          </w:tcPr>
          <w:p>
            <w:pPr>
              <w:spacing w:line="276"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售后服务方案，包括配送能力、服务响应时间、不良事件解决能力等完善性及时性0-</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c>
          <w:tcPr>
            <w:tcW w:w="50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主观分</w:t>
            </w: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6</w:t>
            </w:r>
          </w:p>
        </w:tc>
        <w:tc>
          <w:tcPr>
            <w:tcW w:w="3649" w:type="pct"/>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市场覆盖率：提供202</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年以来</w:t>
            </w:r>
            <w:r>
              <w:rPr>
                <w:rFonts w:hint="eastAsia" w:ascii="宋体" w:hAnsi="宋体" w:eastAsia="宋体" w:cs="宋体"/>
                <w:color w:val="auto"/>
                <w:kern w:val="0"/>
                <w:sz w:val="21"/>
                <w:szCs w:val="21"/>
              </w:rPr>
              <w:t>该投标产品在省内三甲医院合同/发票证明材料,</w:t>
            </w:r>
            <w:r>
              <w:rPr>
                <w:rFonts w:hint="eastAsia" w:ascii="宋体" w:hAnsi="宋体" w:eastAsia="宋体" w:cs="宋体"/>
                <w:color w:val="auto"/>
                <w:sz w:val="21"/>
                <w:szCs w:val="21"/>
              </w:rPr>
              <w:t>每提供1份合同（或相关证明）得</w:t>
            </w:r>
            <w:r>
              <w:rPr>
                <w:rFonts w:hint="eastAsia" w:ascii="宋体" w:hAnsi="宋体" w:eastAsia="宋体" w:cs="宋体"/>
                <w:color w:val="auto"/>
                <w:sz w:val="21"/>
                <w:szCs w:val="21"/>
                <w:lang w:val="en-US" w:eastAsia="zh-CN"/>
              </w:rPr>
              <w:t>0.5</w:t>
            </w:r>
            <w:r>
              <w:rPr>
                <w:rFonts w:hint="eastAsia" w:ascii="宋体" w:hAnsi="宋体" w:eastAsia="宋体" w:cs="宋体"/>
                <w:color w:val="auto"/>
                <w:sz w:val="21"/>
                <w:szCs w:val="21"/>
              </w:rPr>
              <w:t>分，最高分值为</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分；同一用户多份合同按一份计分。</w:t>
            </w:r>
          </w:p>
        </w:tc>
        <w:tc>
          <w:tcPr>
            <w:tcW w:w="50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客观分</w:t>
            </w: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7</w:t>
            </w:r>
          </w:p>
        </w:tc>
        <w:tc>
          <w:tcPr>
            <w:tcW w:w="3649" w:type="pct"/>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优惠条件：评委对响应文件中是否有超出采购文件的优惠条件进行评价，没有实质性优惠条件得0分；有优惠条件的给1-</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c>
          <w:tcPr>
            <w:tcW w:w="50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主观分</w:t>
            </w: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78" w:type="pc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8</w:t>
            </w:r>
          </w:p>
        </w:tc>
        <w:tc>
          <w:tcPr>
            <w:tcW w:w="3649" w:type="pct"/>
            <w:vAlign w:val="center"/>
          </w:tcPr>
          <w:p>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以满足采购文件要求且有效报价的最低价格为评标基准价，其价格分为</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0分。其他报价人的价格分统一按照下列公式计算：报价得分＝(评标基准价/有效报价)×价格分分值 (精确到小数点后二位，</w:t>
            </w:r>
            <w:r>
              <w:rPr>
                <w:rFonts w:hint="eastAsia" w:ascii="宋体" w:hAnsi="宋体" w:eastAsia="宋体" w:cs="宋体"/>
                <w:color w:val="auto"/>
                <w:kern w:val="0"/>
                <w:sz w:val="21"/>
                <w:szCs w:val="21"/>
              </w:rPr>
              <w:t>第三位四舍五入</w:t>
            </w:r>
            <w:r>
              <w:rPr>
                <w:rFonts w:hint="eastAsia" w:ascii="宋体" w:hAnsi="宋体" w:eastAsia="宋体" w:cs="宋体"/>
                <w:color w:val="auto"/>
                <w:sz w:val="21"/>
                <w:szCs w:val="21"/>
              </w:rPr>
              <w:t>)。各报价得分按评分公式由采购人计算，评委审核。</w:t>
            </w:r>
          </w:p>
        </w:tc>
        <w:tc>
          <w:tcPr>
            <w:tcW w:w="508"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价格分</w:t>
            </w: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0分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78" w:type="pct"/>
            <w:vAlign w:val="center"/>
          </w:tcPr>
          <w:p>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9</w:t>
            </w:r>
          </w:p>
        </w:tc>
        <w:tc>
          <w:tcPr>
            <w:tcW w:w="3649" w:type="pct"/>
            <w:vAlign w:val="center"/>
          </w:tcPr>
          <w:p>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总分</w:t>
            </w:r>
          </w:p>
        </w:tc>
        <w:tc>
          <w:tcPr>
            <w:tcW w:w="508" w:type="pct"/>
            <w:vAlign w:val="center"/>
          </w:tcPr>
          <w:p>
            <w:pPr>
              <w:spacing w:line="276" w:lineRule="auto"/>
              <w:jc w:val="center"/>
              <w:rPr>
                <w:rFonts w:hint="eastAsia" w:ascii="宋体" w:hAnsi="宋体" w:eastAsia="宋体" w:cs="宋体"/>
                <w:color w:val="auto"/>
                <w:sz w:val="21"/>
                <w:szCs w:val="21"/>
              </w:rPr>
            </w:pPr>
          </w:p>
        </w:tc>
        <w:tc>
          <w:tcPr>
            <w:tcW w:w="463" w:type="pct"/>
            <w:vAlign w:val="center"/>
          </w:tcPr>
          <w:p>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100分</w:t>
            </w:r>
          </w:p>
        </w:tc>
      </w:tr>
    </w:tbl>
    <w:p>
      <w:pPr>
        <w:rPr>
          <w:rFonts w:hint="eastAsia"/>
        </w:rPr>
      </w:pPr>
    </w:p>
    <w:p>
      <w:pPr>
        <w:widowControl/>
        <w:jc w:val="center"/>
        <w:rPr>
          <w:rFonts w:hint="eastAsia" w:eastAsia="宋体" w:asciiTheme="majorHAnsi" w:hAnsiTheme="majorHAnsi" w:cstheme="majorBidi"/>
          <w:b/>
          <w:bCs/>
          <w:kern w:val="2"/>
          <w:sz w:val="32"/>
          <w:szCs w:val="32"/>
          <w:lang w:val="en-US" w:eastAsia="zh-CN" w:bidi="ar-SA"/>
        </w:rPr>
      </w:pPr>
      <w:r>
        <w:br w:type="page"/>
      </w:r>
      <w:bookmarkStart w:id="5" w:name="_Toc220618499"/>
      <w:r>
        <w:rPr>
          <w:rFonts w:hint="eastAsia" w:eastAsia="宋体" w:asciiTheme="majorHAnsi" w:hAnsiTheme="majorHAnsi" w:cstheme="majorBidi"/>
          <w:b/>
          <w:bCs/>
          <w:kern w:val="2"/>
          <w:sz w:val="32"/>
          <w:szCs w:val="32"/>
          <w:lang w:val="en-US" w:eastAsia="zh-CN" w:bidi="ar-SA"/>
        </w:rPr>
        <w:t>第四章</w:t>
      </w:r>
      <w:r>
        <w:rPr>
          <w:rFonts w:hint="eastAsia" w:eastAsia="宋体" w:asciiTheme="majorHAnsi" w:hAnsiTheme="majorHAnsi" w:cstheme="majorBidi"/>
          <w:b/>
          <w:bCs/>
          <w:kern w:val="2"/>
          <w:sz w:val="32"/>
          <w:szCs w:val="32"/>
          <w:lang w:val="en-US" w:eastAsia="zh-CN" w:bidi="ar-SA"/>
        </w:rPr>
        <w:tab/>
      </w:r>
      <w:r>
        <w:rPr>
          <w:rFonts w:hint="eastAsia" w:eastAsia="宋体" w:asciiTheme="majorHAnsi" w:hAnsiTheme="majorHAnsi" w:cstheme="majorBidi"/>
          <w:b/>
          <w:bCs/>
          <w:kern w:val="2"/>
          <w:sz w:val="32"/>
          <w:szCs w:val="32"/>
          <w:lang w:val="en-US" w:eastAsia="zh-CN" w:bidi="ar-SA"/>
        </w:rPr>
        <w:t>响应文件格式</w:t>
      </w:r>
      <w:bookmarkEnd w:id="5"/>
    </w:p>
    <w:p>
      <w:pPr>
        <w:rPr>
          <w:b/>
          <w:bCs/>
          <w:sz w:val="30"/>
          <w:szCs w:val="30"/>
        </w:rPr>
      </w:pPr>
      <w:r>
        <w:rPr>
          <w:rFonts w:hint="eastAsia"/>
          <w:b/>
          <w:bCs/>
          <w:sz w:val="30"/>
          <w:szCs w:val="30"/>
        </w:rPr>
        <w:t>一、响应</w:t>
      </w:r>
      <w:r>
        <w:rPr>
          <w:b/>
          <w:bCs/>
          <w:sz w:val="30"/>
          <w:szCs w:val="30"/>
        </w:rPr>
        <w:t>文件的组成</w:t>
      </w:r>
    </w:p>
    <w:p>
      <w:pPr>
        <w:rPr>
          <w:rFonts w:eastAsiaTheme="minorEastAsia"/>
          <w:sz w:val="24"/>
          <w:szCs w:val="22"/>
        </w:rPr>
      </w:pPr>
      <w:r>
        <w:rPr>
          <w:rFonts w:hint="eastAsia" w:eastAsiaTheme="minorEastAsia"/>
          <w:sz w:val="24"/>
          <w:szCs w:val="22"/>
        </w:rPr>
        <w:t>响应文件由资格证明文件、商务技术文件、报价文件三部份组成。</w:t>
      </w:r>
    </w:p>
    <w:p>
      <w:pPr>
        <w:rPr>
          <w:rFonts w:eastAsiaTheme="minorEastAsia"/>
          <w:sz w:val="24"/>
          <w:szCs w:val="22"/>
        </w:rPr>
      </w:pPr>
    </w:p>
    <w:p>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314"/>
        <w:gridCol w:w="4389"/>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9" w:type="pct"/>
            <w:vAlign w:val="center"/>
          </w:tcPr>
          <w:p>
            <w:r>
              <w:t>序号</w:t>
            </w:r>
          </w:p>
        </w:tc>
        <w:tc>
          <w:tcPr>
            <w:tcW w:w="771" w:type="pct"/>
            <w:vAlign w:val="center"/>
          </w:tcPr>
          <w:p>
            <w:r>
              <w:rPr>
                <w:rFonts w:hint="eastAsia"/>
              </w:rPr>
              <w:t>组成</w:t>
            </w:r>
          </w:p>
        </w:tc>
        <w:tc>
          <w:tcPr>
            <w:tcW w:w="2575" w:type="pct"/>
            <w:vAlign w:val="center"/>
          </w:tcPr>
          <w:p>
            <w:r>
              <w:t>材料名称</w:t>
            </w:r>
          </w:p>
        </w:tc>
        <w:tc>
          <w:tcPr>
            <w:tcW w:w="1245" w:type="pct"/>
            <w:vAlign w:val="center"/>
          </w:tcPr>
          <w:p>
            <w: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w:t>
            </w:r>
          </w:p>
        </w:tc>
        <w:tc>
          <w:tcPr>
            <w:tcW w:w="771" w:type="pct"/>
            <w:vAlign w:val="center"/>
          </w:tcPr>
          <w:p>
            <w:r>
              <w:rPr>
                <w:rFonts w:hint="eastAsia"/>
              </w:rPr>
              <w:t>封面</w:t>
            </w:r>
          </w:p>
        </w:tc>
        <w:tc>
          <w:tcPr>
            <w:tcW w:w="2575" w:type="pct"/>
            <w:vAlign w:val="center"/>
          </w:tcPr>
          <w:p>
            <w:r>
              <w:t>封面（附件1）</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2</w:t>
            </w:r>
          </w:p>
        </w:tc>
        <w:tc>
          <w:tcPr>
            <w:tcW w:w="771" w:type="pct"/>
            <w:vMerge w:val="restart"/>
            <w:vAlign w:val="center"/>
          </w:tcPr>
          <w:p>
            <w:r>
              <w:rPr>
                <w:rFonts w:hint="eastAsia"/>
              </w:rPr>
              <w:t>资格</w:t>
            </w:r>
            <w:r>
              <w:t>证明文件</w:t>
            </w:r>
          </w:p>
        </w:tc>
        <w:tc>
          <w:tcPr>
            <w:tcW w:w="2575" w:type="pct"/>
            <w:vAlign w:val="center"/>
          </w:tcPr>
          <w:p>
            <w:r>
              <w:t>采购公告发布之日起至公告截止日内任意时间的“信用中国”网站（www.creditchina.gov.cn）的响应供应商信用查询网页截图</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3</w:t>
            </w:r>
          </w:p>
        </w:tc>
        <w:tc>
          <w:tcPr>
            <w:tcW w:w="771" w:type="pct"/>
            <w:vMerge w:val="continue"/>
            <w:vAlign w:val="center"/>
          </w:tcPr>
          <w:p/>
        </w:tc>
        <w:tc>
          <w:tcPr>
            <w:tcW w:w="2575" w:type="pct"/>
            <w:vAlign w:val="center"/>
          </w:tcPr>
          <w:p>
            <w:r>
              <w:t>企业营业执照</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4</w:t>
            </w:r>
          </w:p>
        </w:tc>
        <w:tc>
          <w:tcPr>
            <w:tcW w:w="771" w:type="pct"/>
            <w:vMerge w:val="continue"/>
            <w:vAlign w:val="center"/>
          </w:tcPr>
          <w:p/>
        </w:tc>
        <w:tc>
          <w:tcPr>
            <w:tcW w:w="2575" w:type="pct"/>
            <w:vAlign w:val="center"/>
          </w:tcPr>
          <w:p>
            <w:r>
              <w:t>法人代表身份证复印件</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5</w:t>
            </w:r>
          </w:p>
        </w:tc>
        <w:tc>
          <w:tcPr>
            <w:tcW w:w="771" w:type="pct"/>
            <w:vMerge w:val="continue"/>
            <w:vAlign w:val="center"/>
          </w:tcPr>
          <w:p/>
        </w:tc>
        <w:tc>
          <w:tcPr>
            <w:tcW w:w="2575" w:type="pct"/>
            <w:vAlign w:val="center"/>
          </w:tcPr>
          <w:p>
            <w:r>
              <w:t>销售人员身份证复印件</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6</w:t>
            </w:r>
          </w:p>
        </w:tc>
        <w:tc>
          <w:tcPr>
            <w:tcW w:w="771" w:type="pct"/>
            <w:vMerge w:val="restart"/>
            <w:vAlign w:val="center"/>
          </w:tcPr>
          <w:p>
            <w:r>
              <w:rPr>
                <w:rFonts w:hint="eastAsia" w:eastAsiaTheme="minorEastAsia"/>
                <w:sz w:val="24"/>
                <w:szCs w:val="22"/>
              </w:rPr>
              <w:t>商务技术文件</w:t>
            </w:r>
          </w:p>
        </w:tc>
        <w:tc>
          <w:tcPr>
            <w:tcW w:w="2575" w:type="pct"/>
            <w:vAlign w:val="center"/>
          </w:tcPr>
          <w:p>
            <w:r>
              <w:t>声明书（附件2）</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7</w:t>
            </w:r>
          </w:p>
        </w:tc>
        <w:tc>
          <w:tcPr>
            <w:tcW w:w="771" w:type="pct"/>
            <w:vMerge w:val="continue"/>
          </w:tcPr>
          <w:p/>
        </w:tc>
        <w:tc>
          <w:tcPr>
            <w:tcW w:w="2575" w:type="pct"/>
            <w:vAlign w:val="center"/>
          </w:tcPr>
          <w:p>
            <w:r>
              <w:t>法定代表人授权委托书（附件3）</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9" w:type="pct"/>
          </w:tcPr>
          <w:p>
            <w:r>
              <w:rPr>
                <w:rFonts w:hint="eastAsia"/>
              </w:rPr>
              <w:t>8</w:t>
            </w:r>
          </w:p>
        </w:tc>
        <w:tc>
          <w:tcPr>
            <w:tcW w:w="771" w:type="pct"/>
            <w:vMerge w:val="continue"/>
          </w:tcPr>
          <w:p/>
        </w:tc>
        <w:tc>
          <w:tcPr>
            <w:tcW w:w="2575" w:type="pct"/>
            <w:vAlign w:val="center"/>
          </w:tcPr>
          <w:p>
            <w:r>
              <w:t>经营许可证或生产许可证</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9" w:type="pct"/>
          </w:tcPr>
          <w:p>
            <w:r>
              <w:t>9</w:t>
            </w:r>
          </w:p>
        </w:tc>
        <w:tc>
          <w:tcPr>
            <w:tcW w:w="771" w:type="pct"/>
            <w:vMerge w:val="continue"/>
          </w:tcPr>
          <w:p/>
        </w:tc>
        <w:tc>
          <w:tcPr>
            <w:tcW w:w="2575" w:type="pct"/>
            <w:vAlign w:val="center"/>
          </w:tcPr>
          <w:p>
            <w:r>
              <w:rPr>
                <w:rFonts w:hint="eastAsia"/>
              </w:rPr>
              <w:t>生产企业质量体系认证资质</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10</w:t>
            </w:r>
          </w:p>
        </w:tc>
        <w:tc>
          <w:tcPr>
            <w:tcW w:w="771" w:type="pct"/>
            <w:vMerge w:val="continue"/>
          </w:tcPr>
          <w:p/>
        </w:tc>
        <w:tc>
          <w:tcPr>
            <w:tcW w:w="2575" w:type="pct"/>
            <w:vAlign w:val="center"/>
          </w:tcPr>
          <w:p>
            <w:r>
              <w:t>医疗器械注册证及注册表</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11</w:t>
            </w:r>
          </w:p>
        </w:tc>
        <w:tc>
          <w:tcPr>
            <w:tcW w:w="771" w:type="pct"/>
            <w:vMerge w:val="continue"/>
          </w:tcPr>
          <w:p/>
        </w:tc>
        <w:tc>
          <w:tcPr>
            <w:tcW w:w="2575" w:type="pct"/>
            <w:vAlign w:val="center"/>
          </w:tcPr>
          <w:p>
            <w:r>
              <w:rPr>
                <w:rFonts w:hint="eastAsia"/>
              </w:rPr>
              <w:t>所投</w:t>
            </w:r>
            <w:r>
              <w:t>产品彩页</w:t>
            </w:r>
            <w:r>
              <w:rPr>
                <w:rFonts w:hint="eastAsia"/>
              </w:rPr>
              <w:t>、产品说明书等</w:t>
            </w:r>
            <w:r>
              <w:t>文件</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w:t>
            </w:r>
            <w:r>
              <w:rPr>
                <w:rFonts w:hint="eastAsia"/>
              </w:rPr>
              <w:t>2</w:t>
            </w:r>
          </w:p>
        </w:tc>
        <w:tc>
          <w:tcPr>
            <w:tcW w:w="771" w:type="pct"/>
            <w:vMerge w:val="continue"/>
          </w:tcPr>
          <w:p/>
        </w:tc>
        <w:tc>
          <w:tcPr>
            <w:tcW w:w="2575" w:type="pct"/>
            <w:vAlign w:val="center"/>
          </w:tcPr>
          <w:p>
            <w:r>
              <w:t>厂家给经销商</w:t>
            </w:r>
            <w:r>
              <w:rPr>
                <w:rFonts w:hint="eastAsia"/>
              </w:rPr>
              <w:t>的逐级</w:t>
            </w:r>
            <w:r>
              <w:t>授权</w:t>
            </w:r>
            <w:r>
              <w:rPr>
                <w:rFonts w:hint="eastAsia"/>
              </w:rPr>
              <w:t>书</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13</w:t>
            </w:r>
          </w:p>
        </w:tc>
        <w:tc>
          <w:tcPr>
            <w:tcW w:w="771" w:type="pct"/>
            <w:vMerge w:val="continue"/>
          </w:tcPr>
          <w:p/>
        </w:tc>
        <w:tc>
          <w:tcPr>
            <w:tcW w:w="2575" w:type="pct"/>
            <w:vAlign w:val="center"/>
          </w:tcPr>
          <w:p>
            <w:r>
              <w:rPr>
                <w:rFonts w:hint="eastAsia"/>
              </w:rPr>
              <w:t>配套设备、耗材试剂（质控品等）清单及相关资质（如有）</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t>1</w:t>
            </w:r>
            <w:r>
              <w:rPr>
                <w:rFonts w:hint="eastAsia"/>
              </w:rPr>
              <w:t>4</w:t>
            </w:r>
          </w:p>
        </w:tc>
        <w:tc>
          <w:tcPr>
            <w:tcW w:w="771" w:type="pct"/>
            <w:vMerge w:val="continue"/>
          </w:tcPr>
          <w:p/>
        </w:tc>
        <w:tc>
          <w:tcPr>
            <w:tcW w:w="2575" w:type="pct"/>
            <w:vAlign w:val="center"/>
          </w:tcPr>
          <w:p>
            <w:r>
              <w:t>技术响应表（附件4）</w:t>
            </w:r>
          </w:p>
        </w:tc>
        <w:tc>
          <w:tcPr>
            <w:tcW w:w="1245" w:type="pct"/>
          </w:tcPr>
          <w:p>
            <w:r>
              <w:rPr>
                <w:rFonts w:hint="eastAsia"/>
                <w:b/>
              </w:rPr>
              <w:t>总体要求和采购内容要求均需逐项响应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15</w:t>
            </w:r>
          </w:p>
        </w:tc>
        <w:tc>
          <w:tcPr>
            <w:tcW w:w="771" w:type="pct"/>
            <w:vMerge w:val="continue"/>
          </w:tcPr>
          <w:p/>
        </w:tc>
        <w:tc>
          <w:tcPr>
            <w:tcW w:w="2575" w:type="pct"/>
            <w:vAlign w:val="center"/>
          </w:tcPr>
          <w:p>
            <w:r>
              <w:rPr>
                <w:rFonts w:hint="eastAsia"/>
              </w:rPr>
              <w:t>售后</w:t>
            </w:r>
            <w:r>
              <w:t>服务方案</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16</w:t>
            </w:r>
          </w:p>
        </w:tc>
        <w:tc>
          <w:tcPr>
            <w:tcW w:w="771" w:type="pct"/>
            <w:vMerge w:val="continue"/>
          </w:tcPr>
          <w:p/>
        </w:tc>
        <w:tc>
          <w:tcPr>
            <w:tcW w:w="2575" w:type="pct"/>
            <w:vAlign w:val="center"/>
          </w:tcPr>
          <w:p>
            <w:r>
              <w:rPr>
                <w:rFonts w:hAnsi="宋体"/>
                <w:kern w:val="0"/>
                <w:szCs w:val="21"/>
              </w:rPr>
              <w:t>提供</w:t>
            </w:r>
            <w:r>
              <w:rPr>
                <w:rFonts w:hint="eastAsia" w:hAnsi="宋体"/>
                <w:kern w:val="0"/>
                <w:szCs w:val="21"/>
              </w:rPr>
              <w:t>三甲</w:t>
            </w:r>
            <w:r>
              <w:rPr>
                <w:rFonts w:hAnsi="宋体"/>
                <w:kern w:val="0"/>
                <w:szCs w:val="21"/>
              </w:rPr>
              <w:t>用户名单及合同复印件</w:t>
            </w:r>
            <w:r>
              <w:rPr>
                <w:rFonts w:hint="eastAsia" w:hAnsi="宋体"/>
                <w:kern w:val="0"/>
                <w:szCs w:val="21"/>
              </w:rPr>
              <w:t>（或发票）</w:t>
            </w:r>
          </w:p>
        </w:tc>
        <w:tc>
          <w:tcPr>
            <w:tcW w:w="1245" w:type="pct"/>
          </w:tcPr>
          <w:p>
            <w:r>
              <w:rPr>
                <w:rFonts w:hint="eastAsia"/>
                <w:b/>
              </w:rPr>
              <w:t>合同配置及价格清晰可见，否则案例无效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17</w:t>
            </w:r>
          </w:p>
        </w:tc>
        <w:tc>
          <w:tcPr>
            <w:tcW w:w="771" w:type="pct"/>
            <w:vMerge w:val="continue"/>
          </w:tcPr>
          <w:p/>
        </w:tc>
        <w:tc>
          <w:tcPr>
            <w:tcW w:w="2575" w:type="pct"/>
            <w:vAlign w:val="center"/>
          </w:tcPr>
          <w:p>
            <w:r>
              <w:t>其他优惠条件</w:t>
            </w:r>
          </w:p>
        </w:tc>
        <w:tc>
          <w:tcPr>
            <w:tcW w:w="1245" w:type="pct"/>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r>
              <w:rPr>
                <w:rFonts w:hint="eastAsia"/>
              </w:rPr>
              <w:t>18</w:t>
            </w:r>
          </w:p>
        </w:tc>
        <w:tc>
          <w:tcPr>
            <w:tcW w:w="771" w:type="pct"/>
            <w:vAlign w:val="center"/>
          </w:tcPr>
          <w:p>
            <w:r>
              <w:rPr>
                <w:rFonts w:hint="eastAsia" w:eastAsiaTheme="minorEastAsia"/>
                <w:sz w:val="24"/>
                <w:szCs w:val="22"/>
              </w:rPr>
              <w:t>报价文件</w:t>
            </w:r>
          </w:p>
        </w:tc>
        <w:tc>
          <w:tcPr>
            <w:tcW w:w="2575" w:type="pct"/>
            <w:vAlign w:val="center"/>
          </w:tcPr>
          <w:p>
            <w:r>
              <w:t>项目报价单（附件</w:t>
            </w:r>
            <w:r>
              <w:rPr>
                <w:rFonts w:hint="eastAsia"/>
              </w:rPr>
              <w:t>5</w:t>
            </w:r>
            <w:r>
              <w:t>）</w:t>
            </w:r>
          </w:p>
        </w:tc>
        <w:tc>
          <w:tcPr>
            <w:tcW w:w="1245"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409" w:type="pct"/>
          </w:tcPr>
          <w:p>
            <w:pPr>
              <w:rPr>
                <w:rFonts w:hint="default" w:eastAsia="宋体"/>
                <w:lang w:val="en-US" w:eastAsia="zh-CN"/>
              </w:rPr>
            </w:pPr>
            <w:r>
              <w:rPr>
                <w:rFonts w:hint="eastAsia"/>
                <w:lang w:val="en-US" w:eastAsia="zh-CN"/>
              </w:rPr>
              <w:t>19</w:t>
            </w:r>
          </w:p>
        </w:tc>
        <w:tc>
          <w:tcPr>
            <w:tcW w:w="771" w:type="pct"/>
            <w:vAlign w:val="center"/>
          </w:tcPr>
          <w:p>
            <w:pPr>
              <w:rPr>
                <w:rFonts w:hint="eastAsia" w:eastAsiaTheme="minorEastAsia"/>
                <w:sz w:val="24"/>
                <w:szCs w:val="22"/>
                <w:lang w:eastAsia="zh-CN"/>
              </w:rPr>
            </w:pPr>
            <w:r>
              <w:rPr>
                <w:rFonts w:hint="eastAsia" w:eastAsiaTheme="minorEastAsia"/>
                <w:sz w:val="24"/>
                <w:szCs w:val="22"/>
                <w:lang w:eastAsia="zh-CN"/>
              </w:rPr>
              <w:t>其他材料</w:t>
            </w:r>
          </w:p>
        </w:tc>
        <w:tc>
          <w:tcPr>
            <w:tcW w:w="2575" w:type="pct"/>
            <w:vAlign w:val="center"/>
          </w:tcPr>
          <w:p>
            <w:pPr>
              <w:rPr>
                <w:rFonts w:hint="eastAsia" w:eastAsia="宋体"/>
                <w:lang w:eastAsia="zh-CN"/>
              </w:rPr>
            </w:pPr>
            <w:r>
              <w:rPr>
                <w:rFonts w:hint="eastAsia"/>
                <w:lang w:eastAsia="zh-CN"/>
              </w:rPr>
              <w:t>按需提供</w:t>
            </w:r>
          </w:p>
        </w:tc>
        <w:tc>
          <w:tcPr>
            <w:tcW w:w="1245" w:type="pct"/>
          </w:tcPr>
          <w:p/>
        </w:tc>
      </w:tr>
    </w:tbl>
    <w:p>
      <w:pPr>
        <w:rPr>
          <w:b/>
          <w:bCs/>
          <w:sz w:val="24"/>
        </w:rPr>
      </w:pPr>
      <w:r>
        <w:rPr>
          <w:b/>
        </w:rPr>
        <w:t>注：正本所有文件需加盖公司红章，副本为正本的复印件。</w:t>
      </w:r>
    </w:p>
    <w:p>
      <w:pPr>
        <w:rPr>
          <w:b/>
          <w:bCs/>
          <w:sz w:val="32"/>
        </w:rPr>
      </w:pPr>
    </w:p>
    <w:p>
      <w:pPr>
        <w:rPr>
          <w:b/>
          <w:bCs/>
          <w:sz w:val="32"/>
        </w:rPr>
      </w:pPr>
    </w:p>
    <w:p>
      <w:pPr>
        <w:rPr>
          <w:b/>
          <w:bCs/>
          <w:sz w:val="32"/>
        </w:rPr>
      </w:pP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pPr>
        <w:ind w:firstLine="1320" w:firstLineChars="300"/>
        <w:rPr>
          <w:sz w:val="44"/>
          <w:szCs w:val="44"/>
        </w:rPr>
      </w:pPr>
      <w:r>
        <w:rPr>
          <w:rFonts w:hAnsi="Calibri"/>
          <w:sz w:val="44"/>
          <w:szCs w:val="44"/>
        </w:rPr>
        <w:t>浙江大学医学院附属妇产科医院</w:t>
      </w:r>
    </w:p>
    <w:p>
      <w:pPr>
        <w:ind w:firstLine="3080" w:firstLineChars="700"/>
        <w:rPr>
          <w:sz w:val="44"/>
          <w:szCs w:val="44"/>
        </w:rPr>
      </w:pPr>
      <w:r>
        <w:rPr>
          <w:rFonts w:hAnsi="Calibri"/>
          <w:sz w:val="44"/>
          <w:szCs w:val="44"/>
        </w:rPr>
        <w:t>（</w:t>
      </w:r>
      <w:r>
        <w:rPr>
          <w:rFonts w:hint="eastAsia" w:hAnsi="Calibri"/>
          <w:sz w:val="44"/>
          <w:szCs w:val="44"/>
          <w:lang w:eastAsia="zh-CN"/>
        </w:rPr>
        <w:t>服务</w:t>
      </w:r>
      <w:r>
        <w:rPr>
          <w:rFonts w:hAnsi="Calibri"/>
          <w:sz w:val="44"/>
          <w:szCs w:val="44"/>
        </w:rPr>
        <w:t>）</w:t>
      </w:r>
    </w:p>
    <w:tbl>
      <w:tblPr>
        <w:tblStyle w:val="41"/>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项目编号：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pPr>
              <w:rPr>
                <w:rFonts w:ascii="Calibri" w:hAnsi="Calibri"/>
                <w:sz w:val="28"/>
                <w:szCs w:val="28"/>
              </w:rPr>
            </w:pPr>
          </w:p>
        </w:tc>
        <w:tc>
          <w:tcPr>
            <w:tcW w:w="1704" w:type="dxa"/>
          </w:tcPr>
          <w:p>
            <w:pPr>
              <w:rPr>
                <w:rFonts w:ascii="Calibri" w:hAnsi="Calibri"/>
                <w:sz w:val="28"/>
                <w:szCs w:val="28"/>
              </w:rPr>
            </w:pPr>
          </w:p>
        </w:tc>
        <w:tc>
          <w:tcPr>
            <w:tcW w:w="1704" w:type="dxa"/>
            <w:vMerge w:val="restart"/>
          </w:tcPr>
          <w:p>
            <w:pPr>
              <w:spacing w:line="720" w:lineRule="auto"/>
              <w:rPr>
                <w:rFonts w:ascii="Calibri" w:hAnsi="Calibri"/>
                <w:sz w:val="84"/>
                <w:szCs w:val="84"/>
              </w:rPr>
            </w:pPr>
          </w:p>
          <w:p>
            <w:pPr>
              <w:spacing w:line="720" w:lineRule="auto"/>
              <w:rPr>
                <w:rFonts w:ascii="Calibri" w:hAnsi="Calibri"/>
                <w:sz w:val="36"/>
                <w:szCs w:val="36"/>
              </w:rPr>
            </w:pPr>
          </w:p>
          <w:p>
            <w:pPr>
              <w:spacing w:line="720" w:lineRule="auto"/>
              <w:rPr>
                <w:rFonts w:ascii="Calibri" w:hAnsi="Calibri"/>
                <w:sz w:val="84"/>
                <w:szCs w:val="84"/>
              </w:rPr>
            </w:pPr>
            <w:r>
              <w:rPr>
                <w:rFonts w:ascii="Calibri" w:hAnsi="Calibri"/>
                <w:sz w:val="84"/>
                <w:szCs w:val="84"/>
              </w:rPr>
              <w:t>响应文件</w:t>
            </w:r>
          </w:p>
        </w:tc>
        <w:tc>
          <w:tcPr>
            <w:tcW w:w="3501" w:type="dxa"/>
            <w:vMerge w:val="restart"/>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pPr>
              <w:rPr>
                <w:rFonts w:ascii="Calibri" w:hAnsi="Calibri"/>
                <w:sz w:val="28"/>
                <w:szCs w:val="28"/>
              </w:rPr>
            </w:pPr>
          </w:p>
        </w:tc>
        <w:tc>
          <w:tcPr>
            <w:tcW w:w="1704" w:type="dxa"/>
          </w:tcPr>
          <w:p>
            <w:pPr>
              <w:rPr>
                <w:rFonts w:ascii="Calibri" w:hAnsi="Calibri"/>
                <w:sz w:val="28"/>
                <w:szCs w:val="28"/>
              </w:rPr>
            </w:pPr>
          </w:p>
        </w:tc>
        <w:tc>
          <w:tcPr>
            <w:tcW w:w="1704" w:type="dxa"/>
            <w:vMerge w:val="continue"/>
          </w:tcPr>
          <w:p>
            <w:pPr>
              <w:rPr>
                <w:rFonts w:ascii="Calibri" w:hAnsi="Calibri"/>
                <w:sz w:val="28"/>
                <w:szCs w:val="28"/>
              </w:rPr>
            </w:pPr>
          </w:p>
        </w:tc>
        <w:tc>
          <w:tcPr>
            <w:tcW w:w="3501" w:type="dxa"/>
            <w:vMerge w:val="continue"/>
          </w:tcPr>
          <w:p>
            <w:pPr>
              <w:rPr>
                <w:rFonts w:ascii="Calibri" w:hAnsi="Calibri"/>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供应商全称：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trike/>
                <w:color w:val="FF0000"/>
                <w:sz w:val="36"/>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pPr>
              <w:rPr>
                <w:rFonts w:ascii="Calibri" w:hAnsi="Calibri"/>
                <w:sz w:val="36"/>
                <w:szCs w:val="36"/>
              </w:rPr>
            </w:pPr>
            <w:r>
              <w:rPr>
                <w:rFonts w:ascii="Calibri" w:hAnsi="Calibri"/>
                <w:sz w:val="36"/>
                <w:szCs w:val="36"/>
              </w:rPr>
              <w:t>时      间：</w:t>
            </w:r>
          </w:p>
        </w:tc>
      </w:tr>
    </w:tbl>
    <w:p>
      <w:pPr>
        <w:rPr>
          <w:szCs w:val="22"/>
        </w:rPr>
      </w:pPr>
    </w:p>
    <w:p>
      <w:pPr>
        <w:rPr>
          <w:szCs w:val="22"/>
        </w:rPr>
      </w:pP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pPr>
        <w:snapToGrid w:val="0"/>
        <w:spacing w:before="156" w:beforeLines="50" w:after="50" w:line="460" w:lineRule="exact"/>
        <w:ind w:firstLine="560" w:firstLineChars="200"/>
        <w:rPr>
          <w:rFonts w:eastAsiaTheme="minorEastAsia"/>
          <w:sz w:val="28"/>
          <w:szCs w:val="28"/>
        </w:rPr>
      </w:pPr>
    </w:p>
    <w:p>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pPr>
        <w:snapToGrid w:val="0"/>
        <w:spacing w:before="156" w:beforeLines="50" w:line="460" w:lineRule="exact"/>
        <w:ind w:firstLine="200"/>
        <w:rPr>
          <w:rFonts w:eastAsiaTheme="minorEastAsia"/>
          <w:sz w:val="28"/>
          <w:szCs w:val="28"/>
          <w:u w:val="single"/>
        </w:rPr>
      </w:pPr>
    </w:p>
    <w:p>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全称（公章）：</w:t>
      </w:r>
      <w:r>
        <w:rPr>
          <w:rFonts w:eastAsiaTheme="minorEastAsia"/>
          <w:sz w:val="28"/>
          <w:szCs w:val="28"/>
          <w:u w:val="single"/>
        </w:rPr>
        <w:t xml:space="preserve">             </w:t>
      </w:r>
      <w:r>
        <w:rPr>
          <w:rFonts w:eastAsiaTheme="minorEastAsia"/>
          <w:sz w:val="28"/>
          <w:szCs w:val="28"/>
        </w:rPr>
        <w:t xml:space="preserve">       </w:t>
      </w: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pPr>
        <w:snapToGrid w:val="0"/>
        <w:spacing w:before="50" w:after="50"/>
        <w:jc w:val="center"/>
        <w:rPr>
          <w:rFonts w:eastAsia="仿宋"/>
          <w:b/>
          <w:sz w:val="36"/>
          <w:szCs w:val="36"/>
        </w:rPr>
      </w:pPr>
      <w:r>
        <w:rPr>
          <w:rFonts w:hAnsi="仿宋" w:eastAsia="仿宋"/>
          <w:b/>
          <w:sz w:val="36"/>
          <w:szCs w:val="36"/>
        </w:rPr>
        <w:t>法定代表人授权委托书</w:t>
      </w:r>
    </w:p>
    <w:p>
      <w:pPr>
        <w:snapToGrid w:val="0"/>
        <w:spacing w:before="156" w:beforeLines="50" w:after="50"/>
        <w:rPr>
          <w:rFonts w:eastAsia="仿宋"/>
          <w:b/>
          <w:sz w:val="30"/>
          <w:szCs w:val="30"/>
        </w:rPr>
      </w:pPr>
    </w:p>
    <w:p>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pPr>
        <w:snapToGrid w:val="0"/>
        <w:spacing w:before="156" w:beforeLines="50" w:after="50" w:line="460" w:lineRule="exact"/>
        <w:ind w:firstLine="480"/>
        <w:rPr>
          <w:rFonts w:eastAsia="仿宋"/>
          <w:sz w:val="30"/>
          <w:szCs w:val="30"/>
        </w:rPr>
      </w:pPr>
    </w:p>
    <w:p>
      <w:pPr>
        <w:snapToGrid w:val="0"/>
        <w:spacing w:before="156" w:beforeLines="50" w:after="50" w:line="460" w:lineRule="exact"/>
        <w:ind w:firstLine="480"/>
        <w:rPr>
          <w:rFonts w:eastAsia="仿宋"/>
          <w:sz w:val="30"/>
          <w:szCs w:val="30"/>
        </w:rPr>
      </w:pPr>
    </w:p>
    <w:p>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pPr>
        <w:snapToGrid w:val="0"/>
        <w:spacing w:before="156" w:beforeLines="50" w:after="50" w:line="460" w:lineRule="exact"/>
        <w:rPr>
          <w:rFonts w:eastAsia="仿宋"/>
          <w:sz w:val="30"/>
          <w:szCs w:val="30"/>
        </w:rPr>
      </w:pPr>
    </w:p>
    <w:p>
      <w:pPr>
        <w:snapToGrid w:val="0"/>
        <w:spacing w:before="156" w:beforeLines="50" w:after="50" w:line="460" w:lineRule="exact"/>
        <w:rPr>
          <w:rFonts w:eastAsia="仿宋"/>
          <w:sz w:val="30"/>
          <w:szCs w:val="30"/>
        </w:rPr>
      </w:pPr>
      <w:r>
        <w:rPr>
          <w:rFonts w:eastAsia="仿宋"/>
          <w:sz w:val="30"/>
          <w:szCs w:val="30"/>
        </w:rPr>
        <w:t xml:space="preserve">                                     </w:t>
      </w:r>
    </w:p>
    <w:p>
      <w:pPr>
        <w:snapToGrid w:val="0"/>
        <w:spacing w:before="156" w:beforeLines="50" w:after="50" w:line="460" w:lineRule="exact"/>
        <w:ind w:firstLine="6150" w:firstLineChars="2050"/>
        <w:rPr>
          <w:rFonts w:eastAsia="仿宋"/>
          <w:sz w:val="30"/>
          <w:szCs w:val="30"/>
        </w:rPr>
      </w:pPr>
    </w:p>
    <w:p>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pPr>
        <w:pStyle w:val="34"/>
        <w:spacing w:line="360" w:lineRule="auto"/>
        <w:jc w:val="both"/>
        <w:rPr>
          <w:sz w:val="21"/>
          <w:szCs w:val="21"/>
        </w:rPr>
      </w:pPr>
    </w:p>
    <w:p>
      <w:pPr>
        <w:pStyle w:val="34"/>
        <w:spacing w:line="360" w:lineRule="auto"/>
        <w:jc w:val="both"/>
        <w:rPr>
          <w:sz w:val="21"/>
          <w:szCs w:val="21"/>
        </w:rPr>
      </w:pPr>
    </w:p>
    <w:p>
      <w:pPr>
        <w:pStyle w:val="34"/>
        <w:spacing w:line="360" w:lineRule="auto"/>
        <w:jc w:val="both"/>
        <w:rPr>
          <w:sz w:val="21"/>
          <w:szCs w:val="21"/>
        </w:rPr>
      </w:pP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pPr>
        <w:jc w:val="center"/>
        <w:rPr>
          <w:b/>
          <w:sz w:val="36"/>
          <w:szCs w:val="36"/>
        </w:rPr>
      </w:pPr>
      <w:r>
        <w:rPr>
          <w:b/>
          <w:sz w:val="36"/>
          <w:szCs w:val="36"/>
        </w:rPr>
        <w:t>技术响应表</w:t>
      </w:r>
    </w:p>
    <w:p>
      <w:pPr>
        <w:rPr>
          <w:sz w:val="32"/>
          <w:szCs w:val="32"/>
          <w:u w:val="single"/>
        </w:rPr>
      </w:pPr>
      <w:r>
        <w:rPr>
          <w:sz w:val="32"/>
          <w:szCs w:val="32"/>
        </w:rPr>
        <w:t>供应商全称（公章）：</w:t>
      </w:r>
      <w:r>
        <w:rPr>
          <w:sz w:val="32"/>
          <w:szCs w:val="32"/>
          <w:u w:val="single"/>
        </w:rPr>
        <w:t xml:space="preserve">                        </w:t>
      </w:r>
    </w:p>
    <w:p>
      <w:pPr>
        <w:rPr>
          <w:sz w:val="32"/>
          <w:szCs w:val="32"/>
          <w:u w:val="single"/>
        </w:rPr>
      </w:pPr>
    </w:p>
    <w:tbl>
      <w:tblPr>
        <w:tblStyle w:val="18"/>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b/>
                <w:sz w:val="28"/>
                <w:szCs w:val="28"/>
              </w:rPr>
            </w:pPr>
            <w:r>
              <w:rPr>
                <w:rFonts w:hAnsi="宋体"/>
                <w:b/>
                <w:sz w:val="28"/>
                <w:szCs w:val="28"/>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b/>
                <w:sz w:val="28"/>
                <w:szCs w:val="28"/>
              </w:rPr>
            </w:pPr>
          </w:p>
        </w:tc>
      </w:tr>
    </w:tbl>
    <w:p>
      <w:pPr>
        <w:rPr>
          <w:sz w:val="32"/>
          <w:szCs w:val="32"/>
        </w:rPr>
      </w:pPr>
    </w:p>
    <w:p>
      <w:pPr>
        <w:rPr>
          <w:sz w:val="32"/>
          <w:szCs w:val="32"/>
          <w:u w:val="single"/>
        </w:rPr>
      </w:pPr>
      <w:r>
        <w:rPr>
          <w:sz w:val="32"/>
          <w:szCs w:val="32"/>
        </w:rPr>
        <w:t>授权代表签名及手机：</w:t>
      </w:r>
      <w:r>
        <w:rPr>
          <w:sz w:val="32"/>
          <w:szCs w:val="32"/>
          <w:u w:val="single"/>
        </w:rPr>
        <w:t xml:space="preserve">                 </w:t>
      </w:r>
    </w:p>
    <w:p>
      <w:pPr>
        <w:rPr>
          <w:sz w:val="32"/>
          <w:szCs w:val="32"/>
          <w:u w:val="single"/>
        </w:rPr>
      </w:pPr>
      <w:r>
        <w:rPr>
          <w:sz w:val="32"/>
          <w:szCs w:val="32"/>
        </w:rPr>
        <w:t>日期：</w:t>
      </w:r>
      <w:r>
        <w:rPr>
          <w:sz w:val="32"/>
          <w:szCs w:val="32"/>
          <w:u w:val="single"/>
        </w:rPr>
        <w:t xml:space="preserve">                   </w:t>
      </w:r>
    </w:p>
    <w:p>
      <w:pPr>
        <w:pStyle w:val="34"/>
        <w:spacing w:line="360" w:lineRule="auto"/>
        <w:jc w:val="both"/>
        <w:rPr>
          <w:sz w:val="21"/>
          <w:szCs w:val="21"/>
        </w:rPr>
      </w:pPr>
    </w:p>
    <w:p>
      <w:pPr>
        <w:pStyle w:val="34"/>
        <w:spacing w:line="360" w:lineRule="auto"/>
        <w:jc w:val="both"/>
        <w:rPr>
          <w:rFonts w:hint="eastAsia"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pPr>
        <w:rPr>
          <w:rFonts w:hint="eastAsia" w:hAnsi="仿宋" w:eastAsia="仿宋"/>
          <w:sz w:val="30"/>
          <w:szCs w:val="30"/>
        </w:rPr>
      </w:pPr>
      <w:r>
        <w:rPr>
          <w:rFonts w:hAnsi="仿宋" w:eastAsia="仿宋"/>
          <w:sz w:val="30"/>
          <w:szCs w:val="30"/>
        </w:rPr>
        <w:br w:type="page"/>
      </w:r>
    </w:p>
    <w:p>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pPr>
        <w:jc w:val="center"/>
        <w:rPr>
          <w:rFonts w:hint="eastAsia" w:eastAsia="宋体"/>
          <w:b/>
          <w:sz w:val="36"/>
          <w:szCs w:val="36"/>
          <w:lang w:eastAsia="zh-CN"/>
        </w:rPr>
      </w:pPr>
      <w:r>
        <w:rPr>
          <w:b/>
          <w:sz w:val="36"/>
          <w:szCs w:val="36"/>
        </w:rPr>
        <w:t>报价明细表</w:t>
      </w:r>
      <w:r>
        <w:rPr>
          <w:rFonts w:hint="eastAsia"/>
          <w:b/>
          <w:sz w:val="36"/>
          <w:szCs w:val="36"/>
          <w:lang w:eastAsia="zh-CN"/>
        </w:rPr>
        <w:t>（参考）</w:t>
      </w:r>
    </w:p>
    <w:p>
      <w:pPr>
        <w:rPr>
          <w:sz w:val="32"/>
          <w:szCs w:val="32"/>
          <w:u w:val="single"/>
        </w:rPr>
      </w:pPr>
      <w:r>
        <w:rPr>
          <w:sz w:val="32"/>
          <w:szCs w:val="32"/>
        </w:rPr>
        <w:t>供应商全称：</w:t>
      </w:r>
      <w:r>
        <w:rPr>
          <w:sz w:val="32"/>
          <w:szCs w:val="32"/>
          <w:u w:val="single"/>
        </w:rPr>
        <w:t xml:space="preserve">                        </w:t>
      </w:r>
    </w:p>
    <w:p>
      <w:pPr>
        <w:rPr>
          <w:sz w:val="32"/>
          <w:szCs w:val="32"/>
          <w:u w:val="single"/>
        </w:rPr>
      </w:pPr>
      <w:r>
        <w:rPr>
          <w:sz w:val="32"/>
          <w:szCs w:val="32"/>
        </w:rPr>
        <w:t>项目编号：</w:t>
      </w:r>
      <w:r>
        <w:rPr>
          <w:sz w:val="32"/>
          <w:szCs w:val="32"/>
          <w:u w:val="single"/>
        </w:rPr>
        <w:t xml:space="preserve">                          </w:t>
      </w:r>
    </w:p>
    <w:tbl>
      <w:tblPr>
        <w:tblStyle w:val="18"/>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3466"/>
        <w:gridCol w:w="4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3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r>
              <w:rPr>
                <w:rFonts w:hint="eastAsia" w:hAnsi="宋体"/>
                <w:sz w:val="32"/>
                <w:szCs w:val="32"/>
                <w:lang w:eastAsia="zh-CN"/>
              </w:rPr>
              <w:t>服务</w:t>
            </w:r>
            <w:r>
              <w:rPr>
                <w:rFonts w:hAnsi="宋体"/>
                <w:sz w:val="32"/>
                <w:szCs w:val="32"/>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int="eastAsia" w:hAnsi="宋体"/>
                <w:b/>
                <w:sz w:val="28"/>
                <w:szCs w:val="28"/>
                <w:lang w:eastAsia="zh-CN"/>
              </w:rPr>
              <w:t>项目</w:t>
            </w:r>
            <w:r>
              <w:rPr>
                <w:rFonts w:hAnsi="宋体"/>
                <w:b/>
                <w:sz w:val="28"/>
                <w:szCs w:val="28"/>
              </w:rPr>
              <w:t>名称</w:t>
            </w:r>
          </w:p>
        </w:tc>
        <w:tc>
          <w:tcPr>
            <w:tcW w:w="44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heme="minorEastAsia"/>
                <w:b/>
                <w:sz w:val="28"/>
                <w:szCs w:val="28"/>
              </w:rPr>
            </w:pPr>
            <w:r>
              <w:rPr>
                <w:rFonts w:hAnsi="宋体"/>
                <w:b/>
                <w:sz w:val="28"/>
                <w:szCs w:val="28"/>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c>
          <w:tcPr>
            <w:tcW w:w="44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sz w:val="28"/>
                <w:szCs w:val="28"/>
              </w:rPr>
            </w:pPr>
          </w:p>
          <w:p>
            <w:pPr>
              <w:rPr>
                <w:sz w:val="28"/>
                <w:szCs w:val="28"/>
              </w:rPr>
            </w:pPr>
          </w:p>
          <w:p>
            <w:pPr>
              <w:rPr>
                <w:sz w:val="28"/>
                <w:szCs w:val="28"/>
              </w:rPr>
            </w:pPr>
          </w:p>
          <w:p>
            <w:pPr>
              <w:rPr>
                <w:sz w:val="28"/>
                <w:szCs w:val="28"/>
              </w:rPr>
            </w:pPr>
            <w:r>
              <w:rPr>
                <w:rFonts w:hAnsi="宋体"/>
                <w:sz w:val="28"/>
                <w:szCs w:val="28"/>
              </w:rPr>
              <w:t>备</w:t>
            </w:r>
          </w:p>
          <w:p>
            <w:pPr>
              <w:rPr>
                <w:sz w:val="28"/>
                <w:szCs w:val="28"/>
              </w:rPr>
            </w:pPr>
          </w:p>
          <w:p>
            <w:pPr>
              <w:rPr>
                <w:sz w:val="28"/>
                <w:szCs w:val="28"/>
              </w:rPr>
            </w:pPr>
            <w:r>
              <w:rPr>
                <w:rFonts w:hAnsi="宋体"/>
                <w:sz w:val="28"/>
                <w:szCs w:val="28"/>
              </w:rPr>
              <w:t>注</w:t>
            </w:r>
          </w:p>
          <w:p>
            <w:pPr>
              <w:rPr>
                <w:sz w:val="28"/>
                <w:szCs w:val="28"/>
              </w:rPr>
            </w:pPr>
          </w:p>
          <w:p>
            <w:pPr>
              <w:rPr>
                <w:sz w:val="28"/>
                <w:szCs w:val="28"/>
              </w:rPr>
            </w:pPr>
          </w:p>
          <w:p>
            <w:pPr>
              <w:rPr>
                <w:rFonts w:eastAsiaTheme="minorEastAsia"/>
                <w:sz w:val="28"/>
                <w:szCs w:val="28"/>
              </w:rPr>
            </w:pPr>
          </w:p>
        </w:tc>
        <w:tc>
          <w:tcPr>
            <w:tcW w:w="796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pPr>
              <w:rPr>
                <w:sz w:val="28"/>
                <w:szCs w:val="28"/>
              </w:rPr>
            </w:pPr>
            <w:r>
              <w:rPr>
                <w:sz w:val="28"/>
                <w:szCs w:val="28"/>
              </w:rPr>
              <w:t>3</w:t>
            </w:r>
            <w:r>
              <w:rPr>
                <w:rFonts w:hAnsi="宋体"/>
                <w:sz w:val="28"/>
                <w:szCs w:val="28"/>
              </w:rPr>
              <w:t>、报价中不允许出现报价优惠等字样，合计总价应与明细报价汇总相等。</w:t>
            </w:r>
          </w:p>
          <w:p>
            <w:pPr>
              <w:rPr>
                <w:rFonts w:eastAsiaTheme="minorEastAsia"/>
                <w:sz w:val="28"/>
                <w:szCs w:val="28"/>
              </w:rPr>
            </w:pPr>
          </w:p>
        </w:tc>
      </w:tr>
    </w:tbl>
    <w:p>
      <w:pPr>
        <w:rPr>
          <w:sz w:val="32"/>
          <w:szCs w:val="32"/>
        </w:rPr>
      </w:pPr>
    </w:p>
    <w:p>
      <w:pPr>
        <w:rPr>
          <w:sz w:val="32"/>
          <w:szCs w:val="32"/>
          <w:u w:val="single"/>
        </w:rPr>
      </w:pPr>
      <w:r>
        <w:rPr>
          <w:sz w:val="32"/>
          <w:szCs w:val="32"/>
        </w:rPr>
        <w:t>授权代表签名：</w:t>
      </w:r>
      <w:r>
        <w:rPr>
          <w:sz w:val="32"/>
          <w:szCs w:val="32"/>
          <w:u w:val="single"/>
        </w:rPr>
        <w:t xml:space="preserve">                 </w:t>
      </w:r>
    </w:p>
    <w:p>
      <w:pPr>
        <w:rPr>
          <w:sz w:val="32"/>
          <w:szCs w:val="32"/>
          <w:u w:val="single"/>
        </w:rPr>
      </w:pPr>
      <w:r>
        <w:rPr>
          <w:sz w:val="32"/>
          <w:szCs w:val="32"/>
        </w:rPr>
        <w:t>日期：</w:t>
      </w:r>
      <w:r>
        <w:rPr>
          <w:sz w:val="32"/>
          <w:szCs w:val="32"/>
          <w:u w:val="single"/>
        </w:rPr>
        <w:t xml:space="preserve">                   </w:t>
      </w:r>
    </w:p>
    <w:p>
      <w:pPr>
        <w:rPr>
          <w:szCs w:val="22"/>
        </w:rPr>
      </w:pPr>
    </w:p>
    <w:p>
      <w:r>
        <w:rPr>
          <w:rFonts w:hint="eastAsia"/>
        </w:rPr>
        <w:br w:type="page"/>
      </w:r>
    </w:p>
    <w:p>
      <w:pPr>
        <w:pStyle w:val="15"/>
        <w:numPr>
          <w:ilvl w:val="0"/>
          <w:numId w:val="1"/>
        </w:numPr>
        <w:ind w:left="0" w:leftChars="0" w:firstLine="0" w:firstLineChars="0"/>
      </w:pPr>
      <w:bookmarkStart w:id="6" w:name="_Toc220618500"/>
      <w:r>
        <w:rPr>
          <w:rFonts w:hint="eastAsia"/>
        </w:rPr>
        <w:t>合同主要条款</w:t>
      </w:r>
      <w:bookmarkEnd w:id="6"/>
    </w:p>
    <w:p>
      <w:pPr>
        <w:pStyle w:val="15"/>
        <w:numPr>
          <w:ilvl w:val="0"/>
          <w:numId w:val="0"/>
        </w:numPr>
        <w:ind w:leftChars="0"/>
        <w:jc w:val="center"/>
      </w:pPr>
      <w:r>
        <w:rPr>
          <w:rFonts w:hint="eastAsia" w:ascii="宋体" w:hAnsi="宋体"/>
          <w:b w:val="0"/>
          <w:bCs/>
          <w:sz w:val="24"/>
        </w:rPr>
        <w:t>（本条款为双方必须遵守的基本条款，双方可根据实际情况签订合同文本；正式合同以双方签字盖章的文本为准。）</w:t>
      </w:r>
    </w:p>
    <w:p>
      <w:pPr>
        <w:ind w:left="-540" w:leftChars="-257"/>
        <w:rPr>
          <w:rFonts w:hint="eastAsia" w:ascii="新宋体" w:hAnsi="新宋体" w:eastAsia="新宋体"/>
          <w:szCs w:val="21"/>
        </w:rPr>
      </w:pPr>
    </w:p>
    <w:p>
      <w:pPr>
        <w:ind w:left="-540" w:leftChars="-257"/>
        <w:rPr>
          <w:rFonts w:ascii="新宋体" w:hAnsi="新宋体" w:eastAsia="新宋体"/>
          <w:szCs w:val="21"/>
        </w:rPr>
      </w:pPr>
      <w:r>
        <w:rPr>
          <w:rFonts w:hint="eastAsia" w:ascii="新宋体" w:hAnsi="新宋体" w:eastAsia="新宋体"/>
          <w:szCs w:val="21"/>
        </w:rPr>
        <w:t xml:space="preserve">甲方（采购人）：浙江大学医学院附属妇产科医院 </w:t>
      </w:r>
      <w:r>
        <w:rPr>
          <w:rFonts w:hint="eastAsia" w:ascii="新宋体" w:hAnsi="新宋体" w:eastAsia="新宋体"/>
          <w:szCs w:val="21"/>
          <w:lang w:val="en-US" w:eastAsia="zh-CN"/>
        </w:rPr>
        <w:t xml:space="preserve">           </w:t>
      </w:r>
      <w:r>
        <w:rPr>
          <w:rFonts w:hint="eastAsia" w:ascii="新宋体" w:hAnsi="新宋体" w:eastAsia="新宋体"/>
          <w:szCs w:val="21"/>
        </w:rPr>
        <w:t xml:space="preserve">  合同编号：</w:t>
      </w:r>
    </w:p>
    <w:p>
      <w:pPr>
        <w:ind w:left="-540" w:leftChars="-257" w:right="-512" w:rightChars="-244"/>
        <w:rPr>
          <w:rFonts w:ascii="新宋体" w:hAnsi="新宋体" w:eastAsia="新宋体"/>
          <w:szCs w:val="21"/>
        </w:rPr>
      </w:pPr>
      <w:r>
        <w:rPr>
          <w:rFonts w:hint="eastAsia" w:ascii="新宋体" w:hAnsi="新宋体" w:eastAsia="新宋体"/>
          <w:szCs w:val="21"/>
        </w:rPr>
        <w:t xml:space="preserve">乙方（供应商）：            </w:t>
      </w:r>
      <w:r>
        <w:rPr>
          <w:rFonts w:hint="eastAsia" w:ascii="新宋体" w:hAnsi="新宋体" w:eastAsia="新宋体"/>
          <w:b/>
          <w:bCs/>
          <w:szCs w:val="21"/>
        </w:rPr>
        <w:t xml:space="preserve">                                   </w:t>
      </w:r>
    </w:p>
    <w:p>
      <w:pPr>
        <w:ind w:left="-540" w:leftChars="-257" w:right="-512" w:rightChars="-244" w:firstLine="420" w:firstLineChars="200"/>
        <w:rPr>
          <w:rFonts w:ascii="新宋体" w:hAnsi="新宋体" w:eastAsia="新宋体"/>
          <w:szCs w:val="21"/>
        </w:rPr>
      </w:pPr>
      <w:r>
        <w:rPr>
          <w:rFonts w:hint="eastAsia" w:ascii="新宋体" w:hAnsi="新宋体" w:eastAsia="新宋体"/>
          <w:szCs w:val="21"/>
        </w:rPr>
        <w:t>根据《中华人民共和国民法典》等有关规定，经双方友好协商，签订本合同，其中配置清单作为本合同组成部分，具有相同的法律效应。</w:t>
      </w:r>
    </w:p>
    <w:tbl>
      <w:tblPr>
        <w:tblStyle w:val="17"/>
        <w:tblW w:w="9509"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701"/>
        <w:gridCol w:w="1485"/>
        <w:gridCol w:w="1350"/>
        <w:gridCol w:w="141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4" w:type="dxa"/>
            <w:vAlign w:val="center"/>
          </w:tcPr>
          <w:p>
            <w:pPr>
              <w:jc w:val="center"/>
              <w:rPr>
                <w:rFonts w:ascii="新宋体" w:hAnsi="新宋体" w:eastAsia="新宋体"/>
                <w:szCs w:val="21"/>
              </w:rPr>
            </w:pPr>
            <w:r>
              <w:rPr>
                <w:rFonts w:hint="eastAsia" w:ascii="新宋体" w:hAnsi="新宋体" w:eastAsia="新宋体"/>
                <w:szCs w:val="21"/>
              </w:rPr>
              <w:t>产品名称</w:t>
            </w:r>
          </w:p>
        </w:tc>
        <w:tc>
          <w:tcPr>
            <w:tcW w:w="1701" w:type="dxa"/>
            <w:vAlign w:val="center"/>
          </w:tcPr>
          <w:p>
            <w:pPr>
              <w:jc w:val="center"/>
              <w:rPr>
                <w:rFonts w:ascii="新宋体" w:hAnsi="新宋体" w:eastAsia="新宋体"/>
                <w:szCs w:val="21"/>
              </w:rPr>
            </w:pPr>
            <w:r>
              <w:rPr>
                <w:rFonts w:hint="eastAsia" w:ascii="新宋体" w:hAnsi="新宋体" w:eastAsia="新宋体"/>
                <w:szCs w:val="21"/>
              </w:rPr>
              <w:t>品牌规格型号</w:t>
            </w:r>
          </w:p>
        </w:tc>
        <w:tc>
          <w:tcPr>
            <w:tcW w:w="1485" w:type="dxa"/>
            <w:vAlign w:val="center"/>
          </w:tcPr>
          <w:p>
            <w:pPr>
              <w:jc w:val="center"/>
              <w:rPr>
                <w:rFonts w:ascii="新宋体" w:hAnsi="新宋体" w:eastAsia="新宋体"/>
                <w:szCs w:val="21"/>
              </w:rPr>
            </w:pPr>
            <w:r>
              <w:rPr>
                <w:rFonts w:hint="eastAsia" w:ascii="新宋体" w:hAnsi="新宋体" w:eastAsia="新宋体"/>
                <w:szCs w:val="21"/>
              </w:rPr>
              <w:t xml:space="preserve">厂家产地 </w:t>
            </w:r>
          </w:p>
        </w:tc>
        <w:tc>
          <w:tcPr>
            <w:tcW w:w="1350" w:type="dxa"/>
            <w:vAlign w:val="center"/>
          </w:tcPr>
          <w:p>
            <w:pPr>
              <w:jc w:val="center"/>
              <w:rPr>
                <w:rFonts w:ascii="新宋体" w:hAnsi="新宋体" w:eastAsia="新宋体"/>
                <w:szCs w:val="21"/>
              </w:rPr>
            </w:pPr>
            <w:r>
              <w:rPr>
                <w:rFonts w:hint="eastAsia" w:ascii="新宋体" w:hAnsi="新宋体" w:eastAsia="新宋体"/>
                <w:szCs w:val="21"/>
              </w:rPr>
              <w:t>数量（单位）</w:t>
            </w:r>
          </w:p>
        </w:tc>
        <w:tc>
          <w:tcPr>
            <w:tcW w:w="1418" w:type="dxa"/>
            <w:vAlign w:val="center"/>
          </w:tcPr>
          <w:p>
            <w:pPr>
              <w:jc w:val="center"/>
              <w:rPr>
                <w:rFonts w:ascii="新宋体" w:hAnsi="新宋体" w:eastAsia="新宋体"/>
                <w:szCs w:val="21"/>
              </w:rPr>
            </w:pPr>
            <w:r>
              <w:rPr>
                <w:rFonts w:hint="eastAsia" w:ascii="新宋体" w:hAnsi="新宋体" w:eastAsia="新宋体"/>
                <w:szCs w:val="21"/>
              </w:rPr>
              <w:t>单价（元）</w:t>
            </w:r>
          </w:p>
        </w:tc>
        <w:tc>
          <w:tcPr>
            <w:tcW w:w="1701" w:type="dxa"/>
            <w:vAlign w:val="center"/>
          </w:tcPr>
          <w:p>
            <w:pPr>
              <w:jc w:val="center"/>
              <w:rPr>
                <w:rFonts w:ascii="新宋体" w:hAnsi="新宋体" w:eastAsia="新宋体"/>
                <w:szCs w:val="21"/>
              </w:rPr>
            </w:pPr>
            <w:r>
              <w:rPr>
                <w:rFonts w:hint="eastAsia" w:ascii="新宋体" w:hAnsi="新宋体" w:eastAsia="新宋体"/>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54" w:type="dxa"/>
            <w:vAlign w:val="center"/>
          </w:tcPr>
          <w:p>
            <w:pPr>
              <w:jc w:val="center"/>
              <w:rPr>
                <w:rFonts w:ascii="新宋体" w:hAnsi="新宋体" w:eastAsia="新宋体"/>
                <w:szCs w:val="21"/>
              </w:rPr>
            </w:pPr>
          </w:p>
        </w:tc>
        <w:tc>
          <w:tcPr>
            <w:tcW w:w="1701" w:type="dxa"/>
            <w:vAlign w:val="center"/>
          </w:tcPr>
          <w:p>
            <w:pPr>
              <w:jc w:val="center"/>
              <w:rPr>
                <w:rFonts w:ascii="新宋体" w:hAnsi="新宋体" w:eastAsia="新宋体"/>
                <w:szCs w:val="21"/>
              </w:rPr>
            </w:pPr>
          </w:p>
        </w:tc>
        <w:tc>
          <w:tcPr>
            <w:tcW w:w="1485" w:type="dxa"/>
            <w:vAlign w:val="center"/>
          </w:tcPr>
          <w:p>
            <w:pPr>
              <w:jc w:val="center"/>
              <w:rPr>
                <w:rFonts w:ascii="新宋体" w:hAnsi="新宋体" w:eastAsia="新宋体"/>
                <w:szCs w:val="21"/>
              </w:rPr>
            </w:pPr>
          </w:p>
        </w:tc>
        <w:tc>
          <w:tcPr>
            <w:tcW w:w="1350" w:type="dxa"/>
            <w:vAlign w:val="center"/>
          </w:tcPr>
          <w:p>
            <w:pPr>
              <w:jc w:val="center"/>
              <w:rPr>
                <w:rFonts w:ascii="新宋体" w:hAnsi="新宋体" w:eastAsia="新宋体"/>
                <w:szCs w:val="21"/>
              </w:rPr>
            </w:pPr>
          </w:p>
        </w:tc>
        <w:tc>
          <w:tcPr>
            <w:tcW w:w="1418" w:type="dxa"/>
            <w:vAlign w:val="center"/>
          </w:tcPr>
          <w:p>
            <w:pPr>
              <w:jc w:val="center"/>
              <w:rPr>
                <w:rFonts w:ascii="新宋体" w:hAnsi="新宋体" w:eastAsia="新宋体"/>
                <w:szCs w:val="21"/>
              </w:rPr>
            </w:pPr>
          </w:p>
        </w:tc>
        <w:tc>
          <w:tcPr>
            <w:tcW w:w="1701" w:type="dxa"/>
            <w:vAlign w:val="center"/>
          </w:tcPr>
          <w:p>
            <w:pPr>
              <w:jc w:val="center"/>
              <w:rPr>
                <w:rFonts w:ascii="新宋体" w:hAnsi="新宋体" w:eastAsia="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54" w:type="dxa"/>
            <w:vAlign w:val="center"/>
          </w:tcPr>
          <w:p>
            <w:pPr>
              <w:jc w:val="center"/>
              <w:rPr>
                <w:rFonts w:ascii="新宋体" w:hAnsi="新宋体" w:eastAsia="新宋体"/>
                <w:szCs w:val="21"/>
              </w:rPr>
            </w:pPr>
          </w:p>
        </w:tc>
        <w:tc>
          <w:tcPr>
            <w:tcW w:w="1701" w:type="dxa"/>
            <w:vAlign w:val="center"/>
          </w:tcPr>
          <w:p>
            <w:pPr>
              <w:jc w:val="center"/>
              <w:rPr>
                <w:rFonts w:ascii="新宋体" w:hAnsi="新宋体" w:eastAsia="新宋体"/>
                <w:szCs w:val="21"/>
              </w:rPr>
            </w:pPr>
          </w:p>
        </w:tc>
        <w:tc>
          <w:tcPr>
            <w:tcW w:w="1485" w:type="dxa"/>
            <w:vAlign w:val="center"/>
          </w:tcPr>
          <w:p>
            <w:pPr>
              <w:jc w:val="center"/>
              <w:rPr>
                <w:rFonts w:ascii="新宋体" w:hAnsi="新宋体" w:eastAsia="新宋体"/>
                <w:szCs w:val="21"/>
              </w:rPr>
            </w:pPr>
          </w:p>
        </w:tc>
        <w:tc>
          <w:tcPr>
            <w:tcW w:w="1350" w:type="dxa"/>
            <w:vAlign w:val="center"/>
          </w:tcPr>
          <w:p>
            <w:pPr>
              <w:jc w:val="center"/>
              <w:rPr>
                <w:rFonts w:ascii="新宋体" w:hAnsi="新宋体" w:eastAsia="新宋体"/>
                <w:szCs w:val="21"/>
              </w:rPr>
            </w:pPr>
          </w:p>
        </w:tc>
        <w:tc>
          <w:tcPr>
            <w:tcW w:w="1418" w:type="dxa"/>
            <w:vAlign w:val="center"/>
          </w:tcPr>
          <w:p>
            <w:pPr>
              <w:jc w:val="center"/>
              <w:rPr>
                <w:rFonts w:ascii="新宋体" w:hAnsi="新宋体" w:eastAsia="新宋体"/>
                <w:szCs w:val="21"/>
              </w:rPr>
            </w:pPr>
          </w:p>
        </w:tc>
        <w:tc>
          <w:tcPr>
            <w:tcW w:w="1701" w:type="dxa"/>
            <w:vAlign w:val="center"/>
          </w:tcPr>
          <w:p>
            <w:pPr>
              <w:jc w:val="center"/>
              <w:rPr>
                <w:rFonts w:ascii="新宋体" w:hAnsi="新宋体" w:eastAsia="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854" w:type="dxa"/>
            <w:vAlign w:val="center"/>
          </w:tcPr>
          <w:p>
            <w:pPr>
              <w:jc w:val="center"/>
              <w:rPr>
                <w:rFonts w:ascii="新宋体" w:hAnsi="新宋体" w:eastAsia="新宋体"/>
                <w:szCs w:val="21"/>
              </w:rPr>
            </w:pPr>
          </w:p>
        </w:tc>
        <w:tc>
          <w:tcPr>
            <w:tcW w:w="1701" w:type="dxa"/>
            <w:vAlign w:val="center"/>
          </w:tcPr>
          <w:p>
            <w:pPr>
              <w:jc w:val="center"/>
              <w:rPr>
                <w:rFonts w:ascii="新宋体" w:hAnsi="新宋体" w:eastAsia="新宋体"/>
                <w:szCs w:val="21"/>
              </w:rPr>
            </w:pPr>
          </w:p>
        </w:tc>
        <w:tc>
          <w:tcPr>
            <w:tcW w:w="1485" w:type="dxa"/>
            <w:vAlign w:val="center"/>
          </w:tcPr>
          <w:p>
            <w:pPr>
              <w:jc w:val="center"/>
              <w:rPr>
                <w:rFonts w:ascii="新宋体" w:hAnsi="新宋体" w:eastAsia="新宋体"/>
                <w:szCs w:val="21"/>
              </w:rPr>
            </w:pPr>
          </w:p>
        </w:tc>
        <w:tc>
          <w:tcPr>
            <w:tcW w:w="1350" w:type="dxa"/>
            <w:vAlign w:val="center"/>
          </w:tcPr>
          <w:p>
            <w:pPr>
              <w:jc w:val="center"/>
              <w:rPr>
                <w:rFonts w:ascii="新宋体" w:hAnsi="新宋体" w:eastAsia="新宋体"/>
                <w:szCs w:val="21"/>
              </w:rPr>
            </w:pPr>
          </w:p>
        </w:tc>
        <w:tc>
          <w:tcPr>
            <w:tcW w:w="1418" w:type="dxa"/>
            <w:vAlign w:val="center"/>
          </w:tcPr>
          <w:p>
            <w:pPr>
              <w:jc w:val="center"/>
              <w:rPr>
                <w:rFonts w:ascii="新宋体" w:hAnsi="新宋体" w:eastAsia="新宋体"/>
                <w:szCs w:val="21"/>
              </w:rPr>
            </w:pPr>
          </w:p>
        </w:tc>
        <w:tc>
          <w:tcPr>
            <w:tcW w:w="1701" w:type="dxa"/>
            <w:vAlign w:val="center"/>
          </w:tcPr>
          <w:p>
            <w:pPr>
              <w:jc w:val="center"/>
              <w:rPr>
                <w:rFonts w:ascii="新宋体" w:hAnsi="新宋体" w:eastAsia="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09" w:type="dxa"/>
            <w:gridSpan w:val="6"/>
            <w:vAlign w:val="center"/>
          </w:tcPr>
          <w:p>
            <w:pPr>
              <w:ind w:firstLine="210" w:firstLineChars="100"/>
              <w:rPr>
                <w:rFonts w:ascii="新宋体" w:hAnsi="新宋体" w:eastAsia="新宋体"/>
                <w:szCs w:val="21"/>
              </w:rPr>
            </w:pPr>
            <w:r>
              <w:rPr>
                <w:rFonts w:hint="eastAsia" w:ascii="新宋体" w:hAnsi="新宋体" w:eastAsia="新宋体"/>
                <w:szCs w:val="21"/>
              </w:rPr>
              <w:t>总金额（大写）:</w:t>
            </w:r>
          </w:p>
        </w:tc>
      </w:tr>
    </w:tbl>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rPr>
        <w:t>一、质量要求：符合国家有关技术规范和技术标准，应与产品原始样本技术数据及供方书面承诺一致。</w:t>
      </w:r>
    </w:p>
    <w:p>
      <w:pPr>
        <w:snapToGrid w:val="0"/>
        <w:ind w:left="-420" w:leftChars="-400" w:right="-487" w:rightChars="-232" w:hanging="420" w:hangingChars="200"/>
        <w:rPr>
          <w:rFonts w:hint="eastAsia" w:ascii="新宋体" w:hAnsi="新宋体" w:eastAsia="新宋体"/>
          <w:szCs w:val="21"/>
        </w:rPr>
      </w:pPr>
      <w:r>
        <w:rPr>
          <w:rFonts w:hint="eastAsia" w:ascii="新宋体" w:hAnsi="新宋体" w:eastAsia="新宋体"/>
          <w:szCs w:val="21"/>
        </w:rPr>
        <w:t>二、包装要求：包装牢固，符合储存、运输要求，符合特殊行业外包装质量标准要求。包装物不回收。</w:t>
      </w:r>
    </w:p>
    <w:p>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三、知识产权：乙方应保证所提供的货物或其任何一部分均不会侵犯任何第三方的知识产权。</w:t>
      </w:r>
    </w:p>
    <w:p>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四、产权担保：乙方保证所交付的货物的所有权完全属于乙方且无任何抵押、查封等产权瑕疵。</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五</w:t>
      </w:r>
      <w:r>
        <w:rPr>
          <w:rFonts w:hint="eastAsia" w:ascii="新宋体" w:hAnsi="新宋体" w:eastAsia="新宋体"/>
          <w:szCs w:val="21"/>
        </w:rPr>
        <w:t>、验收方式：甲方与乙方共同按照国家标准及企业产品原始样本技术数据验收。</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六</w:t>
      </w:r>
      <w:r>
        <w:rPr>
          <w:rFonts w:hint="eastAsia" w:ascii="新宋体" w:hAnsi="新宋体" w:eastAsia="新宋体"/>
          <w:szCs w:val="21"/>
        </w:rPr>
        <w:t>、交货期限：合同签订后</w:t>
      </w:r>
      <w:r>
        <w:rPr>
          <w:rFonts w:hint="eastAsia" w:ascii="新宋体" w:hAnsi="新宋体" w:eastAsia="新宋体"/>
          <w:szCs w:val="21"/>
          <w:lang w:eastAsia="zh-CN"/>
        </w:rPr>
        <w:t>次日起</w:t>
      </w:r>
      <w:r>
        <w:rPr>
          <w:rFonts w:hint="eastAsia" w:ascii="新宋体" w:hAnsi="新宋体" w:eastAsia="新宋体"/>
          <w:szCs w:val="21"/>
          <w:u w:val="single"/>
        </w:rPr>
        <w:t xml:space="preserve">  </w:t>
      </w:r>
      <w:r>
        <w:rPr>
          <w:rFonts w:hint="eastAsia" w:ascii="新宋体" w:hAnsi="新宋体" w:eastAsia="新宋体"/>
          <w:szCs w:val="21"/>
          <w:highlight w:val="none"/>
          <w:u w:val="single"/>
        </w:rPr>
        <w:t xml:space="preserve">  </w:t>
      </w:r>
      <w:r>
        <w:rPr>
          <w:rFonts w:hint="eastAsia" w:ascii="新宋体" w:hAnsi="新宋体" w:eastAsia="新宋体"/>
          <w:szCs w:val="21"/>
          <w:highlight w:val="none"/>
          <w:u w:val="single"/>
          <w:lang w:val="en-US" w:eastAsia="zh-CN"/>
        </w:rPr>
        <w:t xml:space="preserve"> 天</w:t>
      </w:r>
      <w:r>
        <w:rPr>
          <w:rFonts w:hint="eastAsia" w:ascii="新宋体" w:hAnsi="新宋体" w:eastAsia="新宋体"/>
          <w:szCs w:val="21"/>
          <w:highlight w:val="none"/>
        </w:rPr>
        <w:t>内。</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七</w:t>
      </w:r>
      <w:r>
        <w:rPr>
          <w:rFonts w:hint="eastAsia" w:ascii="新宋体" w:hAnsi="新宋体" w:eastAsia="新宋体"/>
          <w:szCs w:val="21"/>
        </w:rPr>
        <w:t>、付款方式：货到甲方指定地点并安装验收合格，且正常使用三个月内支付合同金额的100</w:t>
      </w:r>
      <w:r>
        <w:rPr>
          <w:rFonts w:ascii="新宋体" w:hAnsi="新宋体" w:eastAsia="新宋体"/>
          <w:szCs w:val="21"/>
        </w:rPr>
        <w:t>%</w:t>
      </w:r>
      <w:r>
        <w:rPr>
          <w:rFonts w:hint="eastAsia" w:ascii="新宋体" w:hAnsi="新宋体" w:eastAsia="新宋体"/>
          <w:szCs w:val="21"/>
        </w:rPr>
        <w:t>。</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八</w:t>
      </w:r>
      <w:r>
        <w:rPr>
          <w:rFonts w:hint="eastAsia" w:ascii="新宋体" w:hAnsi="新宋体" w:eastAsia="新宋体"/>
          <w:szCs w:val="21"/>
        </w:rPr>
        <w:t>、运输方式：由乙方送货，运费、保险费由乙方承担。</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九</w:t>
      </w:r>
      <w:r>
        <w:rPr>
          <w:rFonts w:hint="eastAsia" w:ascii="新宋体" w:hAnsi="新宋体" w:eastAsia="新宋体"/>
          <w:szCs w:val="21"/>
        </w:rPr>
        <w:t>、交货地点：甲方</w:t>
      </w:r>
      <w:r>
        <w:rPr>
          <w:rFonts w:ascii="新宋体" w:hAnsi="新宋体" w:eastAsia="新宋体"/>
          <w:szCs w:val="21"/>
        </w:rPr>
        <w:t>指定地点。</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w:t>
      </w:r>
      <w:r>
        <w:rPr>
          <w:rFonts w:hint="eastAsia" w:ascii="新宋体" w:hAnsi="新宋体" w:eastAsia="新宋体"/>
          <w:szCs w:val="21"/>
        </w:rPr>
        <w:t>、违约纠纷处理：本合同在履行过程中发生的争议，由双方当事人协商解决；协商不成的，依法向甲方所在地法院起诉。</w:t>
      </w:r>
    </w:p>
    <w:p>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十一</w:t>
      </w:r>
      <w:r>
        <w:rPr>
          <w:rFonts w:hint="eastAsia" w:ascii="新宋体" w:hAnsi="新宋体" w:eastAsia="新宋体"/>
          <w:szCs w:val="21"/>
        </w:rPr>
        <w:t>、解决合同争议所在地：甲方所在地。</w:t>
      </w:r>
    </w:p>
    <w:p>
      <w:pPr>
        <w:spacing w:line="60" w:lineRule="auto"/>
        <w:ind w:left="-840" w:right="-487" w:rightChars="-232"/>
        <w:rPr>
          <w:rFonts w:ascii="新宋体" w:hAnsi="新宋体" w:eastAsia="新宋体"/>
          <w:szCs w:val="21"/>
          <w:u w:val="single"/>
        </w:rPr>
      </w:pPr>
      <w:r>
        <w:rPr>
          <w:rFonts w:hint="eastAsia" w:ascii="新宋体" w:hAnsi="新宋体" w:eastAsia="新宋体"/>
          <w:szCs w:val="21"/>
        </w:rPr>
        <w:t>十</w:t>
      </w:r>
      <w:r>
        <w:rPr>
          <w:rFonts w:hint="eastAsia" w:ascii="新宋体" w:hAnsi="新宋体" w:eastAsia="新宋体"/>
          <w:szCs w:val="21"/>
          <w:lang w:eastAsia="zh-CN"/>
        </w:rPr>
        <w:t>二</w:t>
      </w:r>
      <w:r>
        <w:rPr>
          <w:rFonts w:hint="eastAsia" w:ascii="新宋体" w:hAnsi="新宋体" w:eastAsia="新宋体"/>
          <w:szCs w:val="21"/>
        </w:rPr>
        <w:t>、其它约定事项：</w:t>
      </w:r>
    </w:p>
    <w:p>
      <w:pPr>
        <w:numPr>
          <w:ilvl w:val="0"/>
          <w:numId w:val="2"/>
        </w:numPr>
        <w:spacing w:line="340" w:lineRule="exact"/>
        <w:ind w:right="-512" w:rightChars="-244"/>
        <w:rPr>
          <w:rFonts w:ascii="新宋体" w:hAnsi="新宋体" w:eastAsia="新宋体"/>
          <w:szCs w:val="21"/>
        </w:rPr>
      </w:pPr>
      <w:r>
        <w:rPr>
          <w:rFonts w:hint="eastAsia" w:ascii="新宋体" w:hAnsi="新宋体" w:eastAsia="新宋体"/>
          <w:szCs w:val="21"/>
        </w:rPr>
        <w:t>甲方在收到货物开箱验收后即日起，如出现质量异议或品名规格、数量不符合合同规定，外观质量在30天内向乙方提出异议，甲方未按合同期限提出异议的，视为所交付产品外观符合合同规定。设备的内在质量，自安装调试验收合格之日起六个月内，甲方未提出异议的，视为所交付产品符合合同规定。如发生所供货物与合同、采购文件要求不符，甲方（使用方）有权拒绝收货或退货并终止合同，由此产生的一切责任和后果由乙方承担。</w:t>
      </w:r>
    </w:p>
    <w:p>
      <w:pPr>
        <w:numPr>
          <w:ilvl w:val="0"/>
          <w:numId w:val="2"/>
        </w:numPr>
        <w:spacing w:line="340" w:lineRule="exact"/>
        <w:ind w:right="-512" w:rightChars="-244"/>
        <w:rPr>
          <w:rFonts w:ascii="仿宋_GB2312" w:eastAsia="仿宋_GB2312"/>
          <w:sz w:val="24"/>
        </w:rPr>
      </w:pPr>
      <w:r>
        <w:rPr>
          <w:rFonts w:hint="eastAsia"/>
        </w:rPr>
        <w:t>保修期满后，先维修，后付款。设备维修仅收配件费，不收人工费。</w:t>
      </w:r>
      <w:r>
        <w:rPr>
          <w:rFonts w:hint="eastAsia" w:ascii="新宋体" w:hAnsi="新宋体" w:eastAsia="新宋体"/>
          <w:szCs w:val="21"/>
        </w:rPr>
        <w:t xml:space="preserve">甲方因使用、保管、保养不善造成产品质量下降的，不属保修范围；但乙方应根据具体情况，负责维修，实际费用支出由甲方承担。 </w:t>
      </w:r>
    </w:p>
    <w:p>
      <w:pPr>
        <w:numPr>
          <w:ilvl w:val="0"/>
          <w:numId w:val="2"/>
        </w:numPr>
        <w:spacing w:line="340" w:lineRule="exact"/>
        <w:ind w:right="-512" w:rightChars="-244"/>
        <w:rPr>
          <w:rFonts w:ascii="新宋体" w:hAnsi="新宋体" w:eastAsia="新宋体"/>
          <w:szCs w:val="21"/>
        </w:rPr>
      </w:pPr>
      <w:r>
        <w:rPr>
          <w:rFonts w:hint="eastAsia" w:ascii="新宋体" w:hAnsi="新宋体" w:eastAsia="新宋体"/>
          <w:szCs w:val="21"/>
        </w:rPr>
        <w:t>乙方无正当理由逾期履行合同的，自逾期之日起，向甲方每日偿付合同总价万分之五的违约金；乙方逾期30日不能交货的，应向甲方支付合同总价百分之五的违约金。</w:t>
      </w:r>
    </w:p>
    <w:p>
      <w:pPr>
        <w:numPr>
          <w:ilvl w:val="0"/>
          <w:numId w:val="2"/>
        </w:numPr>
        <w:spacing w:line="340" w:lineRule="exact"/>
        <w:ind w:right="-512" w:rightChars="-244"/>
        <w:rPr>
          <w:rFonts w:ascii="新宋体" w:hAnsi="新宋体" w:eastAsia="新宋体"/>
          <w:szCs w:val="21"/>
        </w:rPr>
      </w:pPr>
      <w:r>
        <w:rPr>
          <w:rFonts w:hint="eastAsia" w:ascii="新宋体" w:hAnsi="新宋体" w:eastAsia="新宋体"/>
          <w:szCs w:val="21"/>
        </w:rPr>
        <w:t xml:space="preserve">甲方无正当理由逾期支付货款的，应向乙方每日偿付合同总价万分之五的违约金。甲方无正当理由而拒收货物、拒付货款的，应向乙方偿付合同总价百分之五的违约金。    </w:t>
      </w:r>
    </w:p>
    <w:p>
      <w:pPr>
        <w:numPr>
          <w:ilvl w:val="0"/>
          <w:numId w:val="2"/>
        </w:numPr>
        <w:spacing w:line="340" w:lineRule="exact"/>
        <w:ind w:right="-512" w:rightChars="-244"/>
        <w:rPr>
          <w:rFonts w:ascii="新宋体" w:hAnsi="新宋体" w:eastAsia="新宋体"/>
          <w:szCs w:val="21"/>
        </w:rPr>
      </w:pPr>
      <w:r>
        <w:rPr>
          <w:rFonts w:hint="eastAsia" w:ascii="新宋体" w:hAnsi="新宋体" w:eastAsia="新宋体"/>
          <w:szCs w:val="21"/>
        </w:rPr>
        <w:t>本合同一</w:t>
      </w:r>
      <w:r>
        <w:rPr>
          <w:rFonts w:hint="eastAsia" w:ascii="新宋体" w:hAnsi="新宋体" w:eastAsia="新宋体"/>
          <w:szCs w:val="21"/>
          <w:u w:val="none"/>
        </w:rPr>
        <w:t>式</w:t>
      </w:r>
      <w:r>
        <w:rPr>
          <w:rFonts w:hint="eastAsia" w:ascii="新宋体" w:hAnsi="新宋体" w:eastAsia="新宋体"/>
          <w:szCs w:val="21"/>
          <w:u w:val="single"/>
        </w:rPr>
        <w:t xml:space="preserve"> 贰</w:t>
      </w:r>
      <w:r>
        <w:rPr>
          <w:rFonts w:hint="eastAsia" w:ascii="新宋体" w:hAnsi="新宋体" w:eastAsia="新宋体"/>
          <w:szCs w:val="21"/>
        </w:rPr>
        <w:t>份，甲</w:t>
      </w:r>
      <w:r>
        <w:rPr>
          <w:rFonts w:hint="eastAsia" w:ascii="新宋体" w:hAnsi="新宋体" w:eastAsia="新宋体"/>
          <w:szCs w:val="21"/>
          <w:u w:val="single"/>
        </w:rPr>
        <w:t xml:space="preserve">方 壹 </w:t>
      </w:r>
      <w:r>
        <w:rPr>
          <w:rFonts w:hint="eastAsia" w:ascii="新宋体" w:hAnsi="新宋体" w:eastAsia="新宋体"/>
          <w:szCs w:val="21"/>
        </w:rPr>
        <w:t>份，乙方</w:t>
      </w:r>
      <w:r>
        <w:rPr>
          <w:rFonts w:hint="eastAsia" w:ascii="新宋体" w:hAnsi="新宋体" w:eastAsia="新宋体"/>
          <w:szCs w:val="21"/>
          <w:u w:val="single"/>
        </w:rPr>
        <w:t xml:space="preserve"> 壹 </w:t>
      </w:r>
      <w:r>
        <w:rPr>
          <w:rFonts w:hint="eastAsia" w:ascii="新宋体" w:hAnsi="新宋体" w:eastAsia="新宋体"/>
          <w:szCs w:val="21"/>
        </w:rPr>
        <w:t>份。</w:t>
      </w:r>
    </w:p>
    <w:p>
      <w:pPr>
        <w:numPr>
          <w:ilvl w:val="0"/>
          <w:numId w:val="2"/>
        </w:numPr>
        <w:spacing w:line="340" w:lineRule="exact"/>
        <w:ind w:right="-512" w:rightChars="-244"/>
        <w:rPr>
          <w:rFonts w:ascii="新宋体" w:hAnsi="新宋体" w:eastAsia="新宋体"/>
          <w:szCs w:val="21"/>
          <w:highlight w:val="none"/>
        </w:rPr>
      </w:pPr>
      <w:r>
        <w:rPr>
          <w:rFonts w:ascii="新宋体" w:hAnsi="新宋体" w:eastAsia="新宋体"/>
          <w:szCs w:val="21"/>
          <w:highlight w:val="none"/>
        </w:rPr>
        <w:t>本合同经甲方、乙方</w:t>
      </w:r>
      <w:r>
        <w:rPr>
          <w:rFonts w:hint="eastAsia" w:ascii="新宋体" w:hAnsi="新宋体" w:eastAsia="新宋体"/>
          <w:szCs w:val="21"/>
          <w:highlight w:val="none"/>
          <w:lang w:eastAsia="zh-CN"/>
        </w:rPr>
        <w:t>双方</w:t>
      </w:r>
      <w:r>
        <w:rPr>
          <w:rFonts w:ascii="新宋体" w:hAnsi="新宋体" w:eastAsia="新宋体"/>
          <w:szCs w:val="21"/>
          <w:highlight w:val="none"/>
        </w:rPr>
        <w:t>签字盖章后生效。</w:t>
      </w:r>
    </w:p>
    <w:p>
      <w:pPr>
        <w:numPr>
          <w:ilvl w:val="0"/>
          <w:numId w:val="2"/>
        </w:numPr>
        <w:spacing w:line="340" w:lineRule="exact"/>
        <w:ind w:right="-512" w:rightChars="-244"/>
        <w:rPr>
          <w:rFonts w:ascii="新宋体" w:hAnsi="新宋体" w:eastAsia="新宋体"/>
          <w:szCs w:val="21"/>
          <w:u w:val="single"/>
        </w:rPr>
      </w:pPr>
      <w:r>
        <w:rPr>
          <w:rFonts w:hint="eastAsia" w:ascii="新宋体" w:hAnsi="新宋体" w:eastAsia="新宋体"/>
          <w:szCs w:val="21"/>
        </w:rPr>
        <w:t>其他约定：</w:t>
      </w:r>
      <w:r>
        <w:rPr>
          <w:rFonts w:hint="eastAsia" w:ascii="新宋体" w:hAnsi="新宋体" w:eastAsia="新宋体"/>
          <w:szCs w:val="21"/>
          <w:u w:val="single"/>
        </w:rPr>
        <w:t xml:space="preserve">                                              </w:t>
      </w:r>
    </w:p>
    <w:p>
      <w:pPr>
        <w:widowControl/>
        <w:jc w:val="left"/>
        <w:rPr>
          <w:rFonts w:ascii="新宋体" w:hAnsi="新宋体" w:eastAsia="新宋体"/>
          <w:szCs w:val="21"/>
          <w:u w:val="single"/>
        </w:rPr>
      </w:pPr>
      <w:r>
        <w:rPr>
          <w:rFonts w:ascii="新宋体" w:hAnsi="新宋体" w:eastAsia="新宋体"/>
          <w:szCs w:val="21"/>
          <w:u w:val="single"/>
        </w:rPr>
        <w:br w:type="page"/>
      </w:r>
    </w:p>
    <w:p>
      <w:pPr>
        <w:spacing w:line="340" w:lineRule="exact"/>
        <w:ind w:left="-120" w:right="-512" w:rightChars="-244"/>
        <w:rPr>
          <w:rFonts w:ascii="新宋体" w:hAnsi="新宋体" w:eastAsia="新宋体"/>
          <w:szCs w:val="21"/>
          <w:u w:val="single"/>
        </w:rPr>
      </w:pPr>
    </w:p>
    <w:tbl>
      <w:tblPr>
        <w:tblStyle w:val="17"/>
        <w:tblpPr w:leftFromText="180" w:rightFromText="180" w:vertAnchor="text" w:horzAnchor="margin" w:tblpXSpec="center" w:tblpY="64"/>
        <w:tblW w:w="10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6"/>
        <w:gridCol w:w="5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56" w:type="dxa"/>
            <w:vAlign w:val="center"/>
          </w:tcPr>
          <w:p>
            <w:pPr>
              <w:rPr>
                <w:rFonts w:ascii="新宋体" w:hAnsi="新宋体" w:eastAsia="新宋体"/>
                <w:szCs w:val="21"/>
              </w:rPr>
            </w:pPr>
            <w:r>
              <w:rPr>
                <w:rFonts w:hint="eastAsia" w:ascii="新宋体" w:hAnsi="新宋体" w:eastAsia="新宋体"/>
                <w:szCs w:val="21"/>
              </w:rPr>
              <w:t xml:space="preserve">甲方单位：浙江大学医学院附属妇产科医院 </w:t>
            </w:r>
          </w:p>
        </w:tc>
        <w:tc>
          <w:tcPr>
            <w:tcW w:w="5116" w:type="dxa"/>
            <w:vAlign w:val="center"/>
          </w:tcPr>
          <w:p>
            <w:pPr>
              <w:rPr>
                <w:rFonts w:ascii="新宋体" w:hAnsi="新宋体" w:eastAsia="新宋体"/>
                <w:szCs w:val="21"/>
              </w:rPr>
            </w:pPr>
            <w:r>
              <w:rPr>
                <w:rFonts w:hint="eastAsia" w:ascii="新宋体" w:hAnsi="新宋体" w:eastAsia="新宋体"/>
                <w:szCs w:val="21"/>
              </w:rPr>
              <w:t>乙方单位：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5256" w:type="dxa"/>
            <w:vAlign w:val="center"/>
          </w:tcPr>
          <w:p>
            <w:pPr>
              <w:rPr>
                <w:rFonts w:ascii="新宋体" w:hAnsi="新宋体" w:eastAsia="新宋体"/>
                <w:szCs w:val="21"/>
              </w:rPr>
            </w:pPr>
            <w:r>
              <w:rPr>
                <w:rFonts w:hint="eastAsia" w:ascii="新宋体" w:hAnsi="新宋体" w:eastAsia="新宋体"/>
                <w:szCs w:val="21"/>
              </w:rPr>
              <w:t>地址： 浙江省杭州市上城区学士路1号</w:t>
            </w:r>
          </w:p>
        </w:tc>
        <w:tc>
          <w:tcPr>
            <w:tcW w:w="5116" w:type="dxa"/>
            <w:vAlign w:val="center"/>
          </w:tcPr>
          <w:p>
            <w:pPr>
              <w:rPr>
                <w:rFonts w:ascii="新宋体" w:hAnsi="新宋体" w:eastAsia="新宋体"/>
                <w:szCs w:val="21"/>
              </w:rPr>
            </w:pPr>
            <w:r>
              <w:rPr>
                <w:rFonts w:hint="eastAsia" w:ascii="新宋体" w:hAnsi="新宋体" w:eastAsia="新宋体"/>
                <w:szCs w:val="21"/>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5256" w:type="dxa"/>
            <w:vAlign w:val="center"/>
          </w:tcPr>
          <w:p>
            <w:pPr>
              <w:rPr>
                <w:rFonts w:ascii="新宋体" w:hAnsi="新宋体" w:eastAsia="新宋体"/>
                <w:szCs w:val="21"/>
              </w:rPr>
            </w:pPr>
            <w:r>
              <w:rPr>
                <w:rFonts w:hint="eastAsia" w:ascii="新宋体" w:hAnsi="新宋体" w:eastAsia="新宋体"/>
                <w:szCs w:val="21"/>
              </w:rPr>
              <w:t>电话：0571-87061501</w:t>
            </w:r>
          </w:p>
        </w:tc>
        <w:tc>
          <w:tcPr>
            <w:tcW w:w="5116" w:type="dxa"/>
            <w:vAlign w:val="center"/>
          </w:tcPr>
          <w:p>
            <w:pPr>
              <w:rPr>
                <w:rFonts w:ascii="新宋体" w:hAnsi="新宋体" w:eastAsia="新宋体"/>
                <w:szCs w:val="21"/>
              </w:rPr>
            </w:pPr>
            <w:r>
              <w:rPr>
                <w:rFonts w:hint="eastAsia" w:ascii="新宋体" w:hAnsi="新宋体" w:eastAsia="新宋体"/>
                <w:szCs w:val="21"/>
              </w:rPr>
              <w:t>电话</w:t>
            </w:r>
            <w:r>
              <w:rPr>
                <w:rFonts w:hint="eastAsia" w:ascii="新宋体" w:hAnsi="新宋体" w:eastAsia="新宋体"/>
                <w:szCs w:val="21"/>
                <w:lang w:eastAsia="zh-CN"/>
              </w:rPr>
              <w:t>或</w:t>
            </w:r>
            <w:r>
              <w:rPr>
                <w:rFonts w:hint="eastAsia" w:ascii="新宋体" w:hAnsi="新宋体" w:eastAsia="新宋体"/>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5256" w:type="dxa"/>
            <w:vAlign w:val="center"/>
          </w:tcPr>
          <w:p>
            <w:pPr>
              <w:rPr>
                <w:rFonts w:ascii="新宋体" w:hAnsi="新宋体" w:eastAsia="新宋体"/>
                <w:szCs w:val="21"/>
              </w:rPr>
            </w:pPr>
          </w:p>
        </w:tc>
        <w:tc>
          <w:tcPr>
            <w:tcW w:w="5116" w:type="dxa"/>
            <w:vAlign w:val="center"/>
          </w:tcPr>
          <w:p>
            <w:pPr>
              <w:rPr>
                <w:rFonts w:ascii="新宋体" w:hAnsi="新宋体" w:eastAsia="新宋体"/>
                <w:szCs w:val="21"/>
              </w:rPr>
            </w:pPr>
            <w:r>
              <w:rPr>
                <w:rFonts w:hint="eastAsia" w:ascii="新宋体" w:hAnsi="新宋体" w:eastAsia="新宋体"/>
                <w:szCs w:val="21"/>
              </w:rPr>
              <w:t>开户行：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5256" w:type="dxa"/>
            <w:vAlign w:val="center"/>
          </w:tcPr>
          <w:p>
            <w:pPr>
              <w:rPr>
                <w:rFonts w:ascii="新宋体" w:hAnsi="新宋体" w:eastAsia="新宋体"/>
                <w:szCs w:val="21"/>
              </w:rPr>
            </w:pPr>
            <w:r>
              <w:rPr>
                <w:rFonts w:hint="eastAsia" w:ascii="新宋体" w:hAnsi="新宋体" w:eastAsia="新宋体"/>
                <w:szCs w:val="21"/>
              </w:rPr>
              <w:t xml:space="preserve">邮编： </w:t>
            </w:r>
            <w:r>
              <w:rPr>
                <w:rFonts w:ascii="新宋体" w:hAnsi="新宋体" w:eastAsia="新宋体"/>
                <w:szCs w:val="21"/>
              </w:rPr>
              <w:t>310006</w:t>
            </w:r>
          </w:p>
        </w:tc>
        <w:tc>
          <w:tcPr>
            <w:tcW w:w="5116" w:type="dxa"/>
            <w:vAlign w:val="center"/>
          </w:tcPr>
          <w:p>
            <w:pPr>
              <w:rPr>
                <w:rFonts w:ascii="新宋体" w:hAnsi="新宋体" w:eastAsia="新宋体"/>
                <w:szCs w:val="21"/>
              </w:rPr>
            </w:pPr>
            <w:r>
              <w:rPr>
                <w:rFonts w:hint="eastAsia" w:ascii="新宋体" w:hAnsi="新宋体" w:eastAsia="新宋体"/>
                <w:szCs w:val="21"/>
              </w:rPr>
              <w:t xml:space="preserve">开户账号：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5256" w:type="dxa"/>
            <w:vAlign w:val="center"/>
          </w:tcPr>
          <w:p>
            <w:pPr>
              <w:rPr>
                <w:rFonts w:ascii="新宋体" w:hAnsi="新宋体" w:eastAsia="新宋体"/>
                <w:szCs w:val="21"/>
              </w:rPr>
            </w:pPr>
            <w:r>
              <w:rPr>
                <w:rFonts w:hint="eastAsia" w:ascii="新宋体" w:hAnsi="新宋体" w:eastAsia="新宋体"/>
                <w:szCs w:val="21"/>
              </w:rPr>
              <w:t>法定（授权）代表人：</w:t>
            </w:r>
          </w:p>
        </w:tc>
        <w:tc>
          <w:tcPr>
            <w:tcW w:w="5116" w:type="dxa"/>
            <w:vAlign w:val="center"/>
          </w:tcPr>
          <w:p>
            <w:pPr>
              <w:rPr>
                <w:rFonts w:ascii="新宋体" w:hAnsi="新宋体" w:eastAsia="新宋体"/>
                <w:szCs w:val="21"/>
              </w:rPr>
            </w:pPr>
            <w:r>
              <w:rPr>
                <w:rFonts w:hint="eastAsia" w:ascii="新宋体" w:hAnsi="新宋体" w:eastAsia="新宋体"/>
                <w:szCs w:val="21"/>
              </w:rPr>
              <w:t>法定（授权）代表人：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6" w:type="dxa"/>
            <w:vAlign w:val="center"/>
          </w:tcPr>
          <w:p>
            <w:pPr>
              <w:rPr>
                <w:rFonts w:ascii="新宋体" w:hAnsi="新宋体" w:eastAsia="新宋体"/>
                <w:szCs w:val="21"/>
              </w:rPr>
            </w:pPr>
            <w:r>
              <w:rPr>
                <w:rFonts w:hint="eastAsia" w:ascii="新宋体" w:hAnsi="新宋体" w:eastAsia="新宋体"/>
                <w:szCs w:val="21"/>
              </w:rPr>
              <w:t>甲方签订时间：</w:t>
            </w:r>
          </w:p>
        </w:tc>
        <w:tc>
          <w:tcPr>
            <w:tcW w:w="5116" w:type="dxa"/>
            <w:vAlign w:val="center"/>
          </w:tcPr>
          <w:p>
            <w:pPr>
              <w:rPr>
                <w:rFonts w:ascii="新宋体" w:hAnsi="新宋体" w:eastAsia="新宋体"/>
                <w:szCs w:val="21"/>
              </w:rPr>
            </w:pPr>
            <w:r>
              <w:rPr>
                <w:rFonts w:hint="eastAsia" w:ascii="新宋体" w:hAnsi="新宋体" w:eastAsia="新宋体"/>
                <w:szCs w:val="21"/>
              </w:rPr>
              <w:t>乙方签订时间：</w:t>
            </w:r>
          </w:p>
        </w:tc>
      </w:tr>
    </w:tbl>
    <w:p>
      <w:pPr>
        <w:spacing w:line="340" w:lineRule="exact"/>
        <w:ind w:right="-512" w:rightChars="-244"/>
        <w:rPr>
          <w:rFonts w:ascii="新宋体" w:hAnsi="新宋体" w:eastAsia="新宋体"/>
          <w:szCs w:val="21"/>
        </w:rPr>
      </w:pPr>
      <w:r>
        <w:rPr>
          <w:rFonts w:hint="eastAsia" w:ascii="新宋体" w:hAnsi="新宋体" w:eastAsia="新宋体"/>
          <w:szCs w:val="21"/>
        </w:rPr>
        <w:t>附件：1、配置清单</w:t>
      </w: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spacing w:line="340" w:lineRule="exact"/>
        <w:ind w:right="-512" w:rightChars="-244"/>
        <w:rPr>
          <w:rFonts w:ascii="新宋体" w:hAnsi="新宋体" w:eastAsia="新宋体"/>
          <w:szCs w:val="21"/>
        </w:rPr>
      </w:pPr>
    </w:p>
    <w:p>
      <w:pPr>
        <w:widowControl/>
        <w:adjustRightInd w:val="0"/>
        <w:spacing w:line="360" w:lineRule="auto"/>
        <w:ind w:left="210" w:leftChars="100" w:right="210" w:rightChars="100"/>
        <w:jc w:val="center"/>
        <w:rPr>
          <w:rFonts w:hint="eastAsia" w:ascii="宋体" w:hAnsi="宋体" w:cs="宋体"/>
          <w:bCs/>
          <w:kern w:val="0"/>
          <w:sz w:val="24"/>
        </w:rPr>
      </w:pPr>
      <w:r>
        <w:rPr>
          <w:rFonts w:hint="eastAsia" w:ascii="宋体" w:hAnsi="宋体" w:cs="宋体"/>
          <w:bCs/>
          <w:kern w:val="0"/>
          <w:sz w:val="24"/>
        </w:rPr>
        <w:t>浙江大学医学院附属妇产科医院</w:t>
      </w:r>
    </w:p>
    <w:p>
      <w:pPr>
        <w:widowControl/>
        <w:adjustRightInd w:val="0"/>
        <w:spacing w:line="360" w:lineRule="auto"/>
        <w:ind w:left="210" w:leftChars="100" w:right="210" w:rightChars="100"/>
        <w:jc w:val="center"/>
        <w:rPr>
          <w:rFonts w:ascii="宋体" w:hAnsi="宋体" w:cs="宋体"/>
          <w:kern w:val="0"/>
          <w:sz w:val="36"/>
          <w:szCs w:val="36"/>
        </w:rPr>
      </w:pPr>
      <w:r>
        <w:rPr>
          <w:rFonts w:hint="eastAsia" w:ascii="宋体" w:hAnsi="宋体" w:cs="宋体"/>
          <w:b/>
          <w:bCs/>
          <w:kern w:val="0"/>
          <w:sz w:val="36"/>
          <w:szCs w:val="36"/>
        </w:rPr>
        <w:t>物资服务采购廉洁协议</w:t>
      </w:r>
    </w:p>
    <w:p>
      <w:pPr>
        <w:spacing w:line="480" w:lineRule="auto"/>
        <w:rPr>
          <w:rFonts w:hint="eastAsia" w:ascii="宋体" w:hAnsi="宋体" w:cs="宋体"/>
          <w:color w:val="FF0000"/>
          <w:kern w:val="0"/>
          <w:sz w:val="24"/>
        </w:rPr>
      </w:pPr>
      <w:r>
        <w:rPr>
          <w:rFonts w:hint="eastAsia" w:ascii="宋体" w:hAnsi="宋体" w:cs="宋体"/>
          <w:kern w:val="0"/>
          <w:sz w:val="24"/>
        </w:rPr>
        <w:br w:type="textWrapping"/>
      </w:r>
      <w:r>
        <w:rPr>
          <w:rFonts w:hint="eastAsia" w:ascii="宋体" w:hAnsi="宋体" w:cs="宋体"/>
          <w:kern w:val="0"/>
          <w:sz w:val="24"/>
        </w:rPr>
        <w:t>甲方：浙江大学医学院附属妇产科医院                （采购方）</w:t>
      </w:r>
      <w:r>
        <w:rPr>
          <w:rFonts w:hint="eastAsia" w:ascii="宋体" w:hAnsi="宋体" w:cs="宋体"/>
          <w:kern w:val="0"/>
          <w:sz w:val="24"/>
        </w:rPr>
        <w:br w:type="textWrapping"/>
      </w:r>
      <w:r>
        <w:rPr>
          <w:rFonts w:hint="eastAsia" w:ascii="宋体" w:hAnsi="宋体" w:cs="宋体"/>
          <w:color w:val="FF0000"/>
          <w:kern w:val="0"/>
          <w:sz w:val="24"/>
        </w:rPr>
        <w:t xml:space="preserve">乙方： </w:t>
      </w:r>
      <w:r>
        <w:rPr>
          <w:rFonts w:ascii="宋体" w:hAnsi="宋体" w:cs="宋体"/>
          <w:color w:val="FF0000"/>
          <w:kern w:val="0"/>
          <w:sz w:val="24"/>
        </w:rPr>
        <w:t xml:space="preserve">               </w:t>
      </w:r>
      <w:r>
        <w:rPr>
          <w:rFonts w:hint="eastAsia" w:ascii="宋体" w:hAnsi="宋体" w:cs="宋体"/>
          <w:color w:val="FF0000"/>
          <w:kern w:val="0"/>
          <w:sz w:val="24"/>
        </w:rPr>
        <w:t>          （供货、服务方）</w:t>
      </w:r>
    </w:p>
    <w:p>
      <w:pPr>
        <w:spacing w:line="480" w:lineRule="auto"/>
        <w:rPr>
          <w:rFonts w:hint="eastAsia" w:ascii="宋体" w:hAnsi="宋体" w:cs="宋体"/>
          <w:kern w:val="0"/>
          <w:sz w:val="24"/>
        </w:rPr>
      </w:pPr>
      <w:r>
        <w:rPr>
          <w:rFonts w:hint="eastAsia" w:ascii="宋体" w:hAnsi="宋体" w:cs="宋体"/>
          <w:color w:val="FF0000"/>
          <w:kern w:val="0"/>
          <w:sz w:val="24"/>
        </w:rPr>
        <w:t xml:space="preserve">采购物资服务名称： </w:t>
      </w:r>
      <w:r>
        <w:rPr>
          <w:rFonts w:ascii="宋体" w:hAnsi="宋体" w:cs="宋体"/>
          <w:kern w:val="0"/>
          <w:sz w:val="24"/>
        </w:rPr>
        <w:t xml:space="preserve"> </w:t>
      </w:r>
    </w:p>
    <w:p>
      <w:pPr>
        <w:spacing w:line="480" w:lineRule="auto"/>
        <w:rPr>
          <w:rFonts w:hint="eastAsia" w:ascii="宋体" w:hAnsi="宋体" w:cs="宋体"/>
          <w:kern w:val="0"/>
          <w:sz w:val="24"/>
        </w:rPr>
      </w:pPr>
    </w:p>
    <w:p>
      <w:pPr>
        <w:spacing w:line="580" w:lineRule="exact"/>
        <w:ind w:firstLine="480" w:firstLineChars="200"/>
        <w:rPr>
          <w:rFonts w:hint="eastAsia" w:ascii="宋体" w:hAnsi="宋体" w:cs="宋体"/>
          <w:kern w:val="0"/>
          <w:sz w:val="24"/>
        </w:rPr>
      </w:pPr>
      <w:r>
        <w:rPr>
          <w:rFonts w:hint="eastAsia" w:ascii="宋体" w:hAnsi="宋体" w:cs="宋体"/>
          <w:kern w:val="0"/>
          <w:sz w:val="24"/>
        </w:rPr>
        <w:t>为进一步加强医疗卫生行风建设，规范医院购销行为，有效防范商业贿赂行为，营造公平交易、诚实守信的购销环境，经甲、乙双方协商，同意签订本协议，并共同遵守以下约定：</w:t>
      </w:r>
    </w:p>
    <w:p>
      <w:pPr>
        <w:spacing w:line="480" w:lineRule="auto"/>
        <w:ind w:firstLine="480" w:firstLineChars="200"/>
        <w:rPr>
          <w:rFonts w:hint="eastAsia"/>
          <w:color w:val="000000"/>
          <w:sz w:val="24"/>
        </w:rPr>
      </w:pPr>
      <w:r>
        <w:rPr>
          <w:rFonts w:hint="eastAsia" w:ascii="宋体" w:hAnsi="宋体" w:cs="宋体"/>
          <w:kern w:val="0"/>
          <w:sz w:val="24"/>
        </w:rPr>
        <w:t>一、</w:t>
      </w:r>
      <w:r>
        <w:rPr>
          <w:rFonts w:hint="eastAsia"/>
          <w:color w:val="000000"/>
          <w:sz w:val="24"/>
        </w:rPr>
        <w:t>甲、乙双方</w:t>
      </w:r>
      <w:r>
        <w:rPr>
          <w:rFonts w:hint="eastAsia" w:ascii="宋体" w:hAnsi="宋体" w:cs="宋体"/>
          <w:kern w:val="0"/>
          <w:sz w:val="24"/>
        </w:rPr>
        <w:t>在采购活动中</w:t>
      </w:r>
      <w:r>
        <w:rPr>
          <w:rFonts w:hint="eastAsia"/>
          <w:color w:val="000000"/>
          <w:sz w:val="24"/>
        </w:rPr>
        <w:t>必须严格遵守国家法律法规和招标采购工作管理规章制度，</w:t>
      </w:r>
      <w:r>
        <w:rPr>
          <w:rFonts w:hint="eastAsia" w:ascii="宋体" w:hAnsi="宋体" w:cs="宋体"/>
          <w:kern w:val="0"/>
          <w:sz w:val="24"/>
        </w:rPr>
        <w:t>遵循“公开、公平、公正”的原则，</w:t>
      </w:r>
      <w:r>
        <w:rPr>
          <w:rFonts w:hint="eastAsia"/>
          <w:color w:val="000000"/>
          <w:sz w:val="24"/>
        </w:rPr>
        <w:t>认真履行各自职责，积极维护国家和集体利益。</w:t>
      </w:r>
    </w:p>
    <w:p>
      <w:pPr>
        <w:spacing w:line="480" w:lineRule="auto"/>
        <w:rPr>
          <w:rFonts w:hint="eastAsia"/>
          <w:color w:val="000000"/>
          <w:sz w:val="24"/>
        </w:rPr>
      </w:pPr>
      <w:r>
        <w:rPr>
          <w:rFonts w:hint="eastAsia" w:ascii="宋体" w:hAnsi="宋体" w:cs="宋体"/>
          <w:kern w:val="0"/>
          <w:sz w:val="24"/>
        </w:rPr>
        <w:t>  二、</w:t>
      </w:r>
      <w:r>
        <w:rPr>
          <w:rFonts w:hint="eastAsia"/>
          <w:color w:val="000000"/>
          <w:sz w:val="24"/>
        </w:rPr>
        <w:t>甲方工作人员（含家属、子女，下同）应坚守廉洁自律规定，不得以任何形式索要和收受贿赂，包括但不限于不得索要或接受乙方的钱物、有价证券、贵重物品；不得参加可能影响公正执行公务的宴请和高消费娱乐活动；不得要求或接受乙方报销应由个人支付的费用；不得要求或者接受乙方为其住房装修、参加婚丧嫁娶活动、配偶子女的工作安排以及境内外旅游、考察活动等一切影响公平竞争的活动。</w:t>
      </w:r>
    </w:p>
    <w:p>
      <w:pPr>
        <w:spacing w:line="480" w:lineRule="auto"/>
        <w:ind w:firstLine="480" w:firstLineChars="200"/>
        <w:rPr>
          <w:rFonts w:hint="eastAsia" w:ascii="宋体" w:hAnsi="宋体" w:cs="宋体"/>
          <w:kern w:val="0"/>
          <w:sz w:val="24"/>
        </w:rPr>
      </w:pPr>
      <w:r>
        <w:rPr>
          <w:rFonts w:hint="eastAsia" w:ascii="宋体" w:hAnsi="宋体" w:cs="宋体"/>
          <w:kern w:val="0"/>
          <w:sz w:val="24"/>
        </w:rPr>
        <w:t>三、乙方</w:t>
      </w:r>
      <w:r>
        <w:rPr>
          <w:rFonts w:hint="eastAsia"/>
          <w:color w:val="FF0000"/>
          <w:sz w:val="24"/>
        </w:rPr>
        <w:t>指定</w:t>
      </w:r>
      <w:r>
        <w:rPr>
          <w:rFonts w:hint="eastAsia"/>
          <w:color w:val="FF0000"/>
          <w:sz w:val="24"/>
          <w:u w:val="single"/>
        </w:rPr>
        <w:t xml:space="preserve">  </w:t>
      </w:r>
      <w:r>
        <w:rPr>
          <w:color w:val="FF0000"/>
          <w:sz w:val="24"/>
          <w:u w:val="single"/>
        </w:rPr>
        <w:t xml:space="preserve">      </w:t>
      </w:r>
      <w:r>
        <w:rPr>
          <w:rFonts w:hint="eastAsia"/>
          <w:color w:val="FF0000"/>
          <w:sz w:val="24"/>
          <w:u w:val="single"/>
        </w:rPr>
        <w:t xml:space="preserve">（身份证号： </w:t>
      </w:r>
      <w:r>
        <w:rPr>
          <w:color w:val="FF0000"/>
          <w:sz w:val="24"/>
          <w:u w:val="single"/>
        </w:rPr>
        <w:t xml:space="preserve">                    </w:t>
      </w:r>
      <w:r>
        <w:rPr>
          <w:rFonts w:hint="eastAsia"/>
          <w:color w:val="FF0000"/>
          <w:sz w:val="24"/>
          <w:u w:val="single"/>
        </w:rPr>
        <w:t xml:space="preserve">） </w:t>
      </w:r>
      <w:r>
        <w:rPr>
          <w:rFonts w:hint="eastAsia"/>
          <w:color w:val="FF0000"/>
          <w:sz w:val="24"/>
        </w:rPr>
        <w:t xml:space="preserve"> </w:t>
      </w:r>
      <w:r>
        <w:rPr>
          <w:rFonts w:hint="eastAsia"/>
          <w:color w:val="000000"/>
          <w:sz w:val="24"/>
        </w:rPr>
        <w:t>作为业务代表洽谈业务。乙方代表及其工作人员应依法依规开展工作，不得以任何借口和形式向甲方工作人员赠送钱物、礼品、礼金，报销</w:t>
      </w:r>
      <w:r>
        <w:rPr>
          <w:rFonts w:hint="eastAsia" w:ascii="宋体" w:hAnsi="宋体" w:cs="宋体"/>
          <w:kern w:val="0"/>
          <w:sz w:val="24"/>
        </w:rPr>
        <w:t>甲方人员开支的发票等，不得以各种名目安排甲方工作人员参加影响公正执行公务的宴请和高消费娱乐活动和境内、外旅游等。</w:t>
      </w:r>
    </w:p>
    <w:p>
      <w:pPr>
        <w:spacing w:line="480" w:lineRule="auto"/>
        <w:ind w:firstLine="480" w:firstLineChars="200"/>
        <w:rPr>
          <w:rFonts w:hint="eastAsia" w:ascii="宋体" w:hAnsi="宋体" w:cs="宋体"/>
          <w:kern w:val="0"/>
          <w:sz w:val="24"/>
        </w:rPr>
      </w:pPr>
      <w:r>
        <w:rPr>
          <w:rFonts w:hint="eastAsia" w:ascii="宋体" w:hAnsi="宋体" w:cs="宋体"/>
          <w:kern w:val="0"/>
          <w:sz w:val="24"/>
        </w:rPr>
        <w:t>四、甲方工作人员如违反本协议规定，将视情节轻重给予党纪、政纪处分，涉嫌犯罪的移交司法机关追究刑事责任。乙方工作人员违反本协议规定，将视情节轻重予以罚款、终止采购合同，涉嫌犯罪的移交司法机关追究刑事责任。给对方造成经济损失的，应予以赔偿。</w:t>
      </w:r>
    </w:p>
    <w:p>
      <w:pPr>
        <w:spacing w:line="480" w:lineRule="auto"/>
        <w:rPr>
          <w:rFonts w:hint="eastAsia" w:ascii="宋体" w:hAnsi="宋体" w:cs="宋体"/>
          <w:kern w:val="0"/>
          <w:sz w:val="24"/>
        </w:rPr>
      </w:pPr>
      <w:r>
        <w:rPr>
          <w:rFonts w:hint="eastAsia" w:ascii="宋体" w:hAnsi="宋体" w:cs="宋体"/>
          <w:kern w:val="0"/>
          <w:sz w:val="24"/>
        </w:rPr>
        <w:t>五、本协议与物资采购合同一并签订并具同等法律效力。一式二份，甲、乙双方各执一份。本协议自双方签字</w:t>
      </w:r>
      <w:r>
        <w:rPr>
          <w:rFonts w:hint="eastAsia" w:ascii="宋体" w:hAnsi="宋体" w:cs="宋体"/>
          <w:kern w:val="0"/>
          <w:sz w:val="24"/>
          <w:lang w:eastAsia="zh-CN"/>
        </w:rPr>
        <w:t>盖章</w:t>
      </w:r>
      <w:r>
        <w:rPr>
          <w:rFonts w:hint="eastAsia" w:ascii="宋体" w:hAnsi="宋体" w:cs="宋体"/>
          <w:kern w:val="0"/>
          <w:sz w:val="24"/>
        </w:rPr>
        <w:t>即刻生效。</w:t>
      </w:r>
      <w:r>
        <w:rPr>
          <w:rFonts w:hint="eastAsia" w:ascii="宋体" w:hAnsi="宋体" w:cs="宋体"/>
          <w:kern w:val="0"/>
          <w:sz w:val="24"/>
        </w:rPr>
        <w:br w:type="textWrapping"/>
      </w:r>
      <w:r>
        <w:rPr>
          <w:rFonts w:hint="eastAsia" w:ascii="宋体" w:hAnsi="宋体" w:cs="宋体"/>
          <w:kern w:val="0"/>
          <w:sz w:val="24"/>
        </w:rPr>
        <w:br w:type="textWrapping"/>
      </w:r>
      <w:r>
        <w:rPr>
          <w:rFonts w:hint="eastAsia" w:ascii="宋体" w:hAnsi="宋体" w:cs="宋体"/>
          <w:kern w:val="0"/>
          <w:sz w:val="24"/>
        </w:rPr>
        <w:t>甲方单位（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pPr>
        <w:spacing w:line="480" w:lineRule="auto"/>
        <w:rPr>
          <w:rFonts w:hint="eastAsia" w:ascii="宋体" w:hAnsi="宋体" w:cs="宋体"/>
          <w:kern w:val="0"/>
          <w:sz w:val="24"/>
        </w:rPr>
      </w:pPr>
      <w:r>
        <w:rPr>
          <w:rFonts w:hint="eastAsia" w:ascii="宋体" w:hAnsi="宋体" w:cs="宋体"/>
          <w:kern w:val="0"/>
          <w:sz w:val="24"/>
        </w:rPr>
        <w:t xml:space="preserve">                           经办人签名：</w:t>
      </w:r>
    </w:p>
    <w:p>
      <w:pPr>
        <w:widowControl/>
        <w:spacing w:before="100" w:beforeAutospacing="1" w:after="100" w:afterAutospacing="1"/>
        <w:ind w:firstLine="4468" w:firstLineChars="1862"/>
        <w:rPr>
          <w:rFonts w:hint="eastAsia" w:ascii="宋体" w:hAnsi="宋体" w:cs="宋体"/>
          <w:kern w:val="0"/>
          <w:sz w:val="24"/>
        </w:rPr>
      </w:pPr>
      <w:r>
        <w:rPr>
          <w:rFonts w:hint="eastAsia" w:ascii="宋体" w:hAnsi="宋体" w:cs="宋体"/>
          <w:kern w:val="0"/>
          <w:sz w:val="24"/>
        </w:rPr>
        <w:t>年       月       日</w:t>
      </w:r>
    </w:p>
    <w:p>
      <w:pPr>
        <w:spacing w:line="480" w:lineRule="auto"/>
        <w:rPr>
          <w:rFonts w:hint="eastAsia" w:ascii="宋体" w:hAnsi="宋体" w:cs="宋体"/>
          <w:kern w:val="0"/>
          <w:sz w:val="24"/>
        </w:rPr>
      </w:pPr>
    </w:p>
    <w:p>
      <w:pPr>
        <w:spacing w:line="480" w:lineRule="auto"/>
        <w:rPr>
          <w:rFonts w:hint="eastAsia" w:ascii="宋体" w:hAnsi="宋体" w:cs="宋体"/>
          <w:kern w:val="0"/>
          <w:sz w:val="24"/>
        </w:rPr>
      </w:pPr>
    </w:p>
    <w:p>
      <w:pPr>
        <w:spacing w:line="480" w:lineRule="auto"/>
        <w:rPr>
          <w:rFonts w:hint="eastAsia" w:ascii="宋体" w:hAnsi="宋体" w:cs="宋体"/>
          <w:kern w:val="0"/>
          <w:sz w:val="24"/>
        </w:rPr>
      </w:pPr>
      <w:r>
        <w:rPr>
          <w:rFonts w:hint="eastAsia" w:ascii="宋体" w:hAnsi="宋体" w:cs="宋体"/>
          <w:kern w:val="0"/>
          <w:sz w:val="24"/>
        </w:rPr>
        <w:t>乙方单位（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pPr>
        <w:spacing w:line="480" w:lineRule="auto"/>
        <w:rPr>
          <w:rFonts w:hint="eastAsia" w:ascii="宋体" w:hAnsi="宋体" w:cs="宋体"/>
          <w:kern w:val="0"/>
          <w:sz w:val="24"/>
        </w:rPr>
      </w:pPr>
      <w:r>
        <w:rPr>
          <w:rFonts w:hint="eastAsia" w:ascii="宋体" w:hAnsi="宋体" w:cs="宋体"/>
          <w:kern w:val="0"/>
          <w:sz w:val="24"/>
        </w:rPr>
        <w:t xml:space="preserve">                           经办人签名：</w:t>
      </w:r>
    </w:p>
    <w:p>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年       月       日</w:t>
      </w:r>
    </w:p>
    <w:p>
      <w:pPr>
        <w:widowControl/>
        <w:spacing w:before="100" w:beforeAutospacing="1" w:after="100" w:afterAutospacing="1"/>
        <w:ind w:firstLine="1080" w:firstLineChars="450"/>
        <w:rPr>
          <w:rFonts w:ascii="宋体" w:hAnsi="宋体" w:cs="宋体"/>
          <w:kern w:val="0"/>
          <w:sz w:val="24"/>
        </w:rPr>
      </w:pPr>
    </w:p>
    <w:p>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w:t>
      </w:r>
    </w:p>
    <w:p/>
    <w:p>
      <w:pPr>
        <w:pStyle w:val="34"/>
        <w:spacing w:line="360" w:lineRule="auto"/>
        <w:jc w:val="both"/>
        <w:rPr>
          <w:rFonts w:hAnsi="宋体"/>
          <w:sz w:val="21"/>
          <w:szCs w:val="21"/>
        </w:rPr>
      </w:pPr>
    </w:p>
    <w:p>
      <w:pPr>
        <w:pStyle w:val="34"/>
        <w:spacing w:line="360" w:lineRule="auto"/>
        <w:jc w:val="both"/>
        <w:rPr>
          <w:sz w:val="21"/>
          <w:szCs w:val="21"/>
        </w:rPr>
      </w:pPr>
    </w:p>
    <w:p>
      <w:pPr>
        <w:snapToGrid w:val="0"/>
        <w:spacing w:line="480" w:lineRule="auto"/>
        <w:ind w:firstLine="420" w:firstLineChars="200"/>
        <w:jc w:val="left"/>
      </w:pPr>
    </w:p>
    <w:sectPr>
      <w:footerReference r:id="rId9"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libri Light">
    <w:panose1 w:val="020F0302020204030204"/>
    <w:charset w:val="00"/>
    <w:family w:val="swiss"/>
    <w:pitch w:val="default"/>
    <w:sig w:usb0="E4002EFF" w:usb1="C000247B" w:usb2="00000009" w:usb3="00000000" w:csb0="200001FF"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0"/>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25F45"/>
    <w:multiLevelType w:val="singleLevel"/>
    <w:tmpl w:val="FEA25F45"/>
    <w:lvl w:ilvl="0" w:tentative="0">
      <w:start w:val="3"/>
      <w:numFmt w:val="chineseCounting"/>
      <w:suff w:val="space"/>
      <w:lvlText w:val="第%1章"/>
      <w:lvlJc w:val="left"/>
      <w:rPr>
        <w:rFonts w:hint="eastAsia"/>
      </w:rPr>
    </w:lvl>
  </w:abstractNum>
  <w:abstractNum w:abstractNumId="1">
    <w:nsid w:val="14C469E7"/>
    <w:multiLevelType w:val="multilevel"/>
    <w:tmpl w:val="14C469E7"/>
    <w:lvl w:ilvl="0" w:tentative="0">
      <w:start w:val="1"/>
      <w:numFmt w:val="decimal"/>
      <w:lvlText w:val="%1."/>
      <w:lvlJc w:val="left"/>
      <w:pPr>
        <w:tabs>
          <w:tab w:val="left" w:pos="-120"/>
        </w:tabs>
        <w:ind w:left="-120" w:hanging="420"/>
      </w:pPr>
    </w:lvl>
    <w:lvl w:ilvl="1" w:tentative="0">
      <w:start w:val="1"/>
      <w:numFmt w:val="lowerLetter"/>
      <w:lvlText w:val="%2)"/>
      <w:lvlJc w:val="left"/>
      <w:pPr>
        <w:tabs>
          <w:tab w:val="left" w:pos="300"/>
        </w:tabs>
        <w:ind w:left="300" w:hanging="420"/>
      </w:pPr>
    </w:lvl>
    <w:lvl w:ilvl="2" w:tentative="0">
      <w:start w:val="1"/>
      <w:numFmt w:val="lowerRoman"/>
      <w:lvlText w:val="%3."/>
      <w:lvlJc w:val="right"/>
      <w:pPr>
        <w:tabs>
          <w:tab w:val="left" w:pos="720"/>
        </w:tabs>
        <w:ind w:left="720" w:hanging="420"/>
      </w:pPr>
    </w:lvl>
    <w:lvl w:ilvl="3" w:tentative="0">
      <w:start w:val="1"/>
      <w:numFmt w:val="decimal"/>
      <w:lvlText w:val="%4."/>
      <w:lvlJc w:val="left"/>
      <w:pPr>
        <w:tabs>
          <w:tab w:val="left" w:pos="1140"/>
        </w:tabs>
        <w:ind w:left="1140" w:hanging="420"/>
      </w:pPr>
    </w:lvl>
    <w:lvl w:ilvl="4" w:tentative="0">
      <w:start w:val="1"/>
      <w:numFmt w:val="lowerLetter"/>
      <w:lvlText w:val="%5)"/>
      <w:lvlJc w:val="left"/>
      <w:pPr>
        <w:tabs>
          <w:tab w:val="left" w:pos="1560"/>
        </w:tabs>
        <w:ind w:left="1560" w:hanging="420"/>
      </w:pPr>
    </w:lvl>
    <w:lvl w:ilvl="5" w:tentative="0">
      <w:start w:val="1"/>
      <w:numFmt w:val="lowerRoman"/>
      <w:lvlText w:val="%6."/>
      <w:lvlJc w:val="right"/>
      <w:pPr>
        <w:tabs>
          <w:tab w:val="left" w:pos="1980"/>
        </w:tabs>
        <w:ind w:left="1980" w:hanging="420"/>
      </w:pPr>
    </w:lvl>
    <w:lvl w:ilvl="6" w:tentative="0">
      <w:start w:val="1"/>
      <w:numFmt w:val="decimal"/>
      <w:lvlText w:val="%7."/>
      <w:lvlJc w:val="left"/>
      <w:pPr>
        <w:tabs>
          <w:tab w:val="left" w:pos="2400"/>
        </w:tabs>
        <w:ind w:left="2400" w:hanging="420"/>
      </w:pPr>
    </w:lvl>
    <w:lvl w:ilvl="7" w:tentative="0">
      <w:start w:val="1"/>
      <w:numFmt w:val="lowerLetter"/>
      <w:lvlText w:val="%8)"/>
      <w:lvlJc w:val="left"/>
      <w:pPr>
        <w:tabs>
          <w:tab w:val="left" w:pos="2820"/>
        </w:tabs>
        <w:ind w:left="2820" w:hanging="420"/>
      </w:pPr>
    </w:lvl>
    <w:lvl w:ilvl="8" w:tentative="0">
      <w:start w:val="1"/>
      <w:numFmt w:val="lowerRoman"/>
      <w:lvlText w:val="%9."/>
      <w:lvlJc w:val="right"/>
      <w:pPr>
        <w:tabs>
          <w:tab w:val="left" w:pos="3240"/>
        </w:tabs>
        <w:ind w:left="32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6B55"/>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752"/>
    <w:rsid w:val="000419BF"/>
    <w:rsid w:val="000422C7"/>
    <w:rsid w:val="000461FD"/>
    <w:rsid w:val="000464C0"/>
    <w:rsid w:val="000500D2"/>
    <w:rsid w:val="00052D91"/>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A7E"/>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B70"/>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08D"/>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371B"/>
    <w:rsid w:val="0015442D"/>
    <w:rsid w:val="00154DCD"/>
    <w:rsid w:val="00154E5F"/>
    <w:rsid w:val="0015603A"/>
    <w:rsid w:val="00161D83"/>
    <w:rsid w:val="00162EE5"/>
    <w:rsid w:val="001632A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985"/>
    <w:rsid w:val="001A4A98"/>
    <w:rsid w:val="001A6847"/>
    <w:rsid w:val="001B020B"/>
    <w:rsid w:val="001B1935"/>
    <w:rsid w:val="001B474C"/>
    <w:rsid w:val="001B7C87"/>
    <w:rsid w:val="001B7E63"/>
    <w:rsid w:val="001C0D02"/>
    <w:rsid w:val="001C12A0"/>
    <w:rsid w:val="001C31F8"/>
    <w:rsid w:val="001C35E1"/>
    <w:rsid w:val="001C379C"/>
    <w:rsid w:val="001C3B48"/>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2244"/>
    <w:rsid w:val="00323833"/>
    <w:rsid w:val="0032408B"/>
    <w:rsid w:val="003240B6"/>
    <w:rsid w:val="00325AD3"/>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4463"/>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2B71"/>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1BCB"/>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4F62A5"/>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46CB"/>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3F75"/>
    <w:rsid w:val="005D6AB3"/>
    <w:rsid w:val="005D6D46"/>
    <w:rsid w:val="005D6E69"/>
    <w:rsid w:val="005D7E0C"/>
    <w:rsid w:val="005E1353"/>
    <w:rsid w:val="005E27CD"/>
    <w:rsid w:val="005F0825"/>
    <w:rsid w:val="005F0EEF"/>
    <w:rsid w:val="005F2045"/>
    <w:rsid w:val="005F5748"/>
    <w:rsid w:val="005F7584"/>
    <w:rsid w:val="005F7BE5"/>
    <w:rsid w:val="005F7FE5"/>
    <w:rsid w:val="0060212D"/>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1F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22ED"/>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98"/>
    <w:rsid w:val="006E235B"/>
    <w:rsid w:val="006E2BD0"/>
    <w:rsid w:val="006E2D1D"/>
    <w:rsid w:val="006F0C73"/>
    <w:rsid w:val="006F4D88"/>
    <w:rsid w:val="006F56A8"/>
    <w:rsid w:val="006F672C"/>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1D1"/>
    <w:rsid w:val="007F227D"/>
    <w:rsid w:val="007F2677"/>
    <w:rsid w:val="007F3625"/>
    <w:rsid w:val="007F367D"/>
    <w:rsid w:val="007F4678"/>
    <w:rsid w:val="007F5765"/>
    <w:rsid w:val="007F5B92"/>
    <w:rsid w:val="007F6871"/>
    <w:rsid w:val="007F77B4"/>
    <w:rsid w:val="007F7FCB"/>
    <w:rsid w:val="00801077"/>
    <w:rsid w:val="00801DB6"/>
    <w:rsid w:val="00804ACB"/>
    <w:rsid w:val="00806168"/>
    <w:rsid w:val="0080745A"/>
    <w:rsid w:val="00807B9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5163"/>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3AB"/>
    <w:rsid w:val="0095258C"/>
    <w:rsid w:val="00952865"/>
    <w:rsid w:val="00954C35"/>
    <w:rsid w:val="0095515C"/>
    <w:rsid w:val="009552DE"/>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9F5CE4"/>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A62"/>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1898"/>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0DB"/>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E12"/>
    <w:rsid w:val="00C60F20"/>
    <w:rsid w:val="00C61021"/>
    <w:rsid w:val="00C6147B"/>
    <w:rsid w:val="00C6204E"/>
    <w:rsid w:val="00C6229C"/>
    <w:rsid w:val="00C628EB"/>
    <w:rsid w:val="00C62A34"/>
    <w:rsid w:val="00C63D6F"/>
    <w:rsid w:val="00C64DDD"/>
    <w:rsid w:val="00C65A6A"/>
    <w:rsid w:val="00C65DD2"/>
    <w:rsid w:val="00C6660F"/>
    <w:rsid w:val="00C67B84"/>
    <w:rsid w:val="00C7054D"/>
    <w:rsid w:val="00C7209C"/>
    <w:rsid w:val="00C72381"/>
    <w:rsid w:val="00C72CB1"/>
    <w:rsid w:val="00C737CE"/>
    <w:rsid w:val="00C74262"/>
    <w:rsid w:val="00C771B1"/>
    <w:rsid w:val="00C80403"/>
    <w:rsid w:val="00C80619"/>
    <w:rsid w:val="00C824DE"/>
    <w:rsid w:val="00C87891"/>
    <w:rsid w:val="00C879CA"/>
    <w:rsid w:val="00C901E1"/>
    <w:rsid w:val="00C91FE2"/>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E735D"/>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133A"/>
    <w:rsid w:val="00D34150"/>
    <w:rsid w:val="00D368D9"/>
    <w:rsid w:val="00D36A8C"/>
    <w:rsid w:val="00D374AF"/>
    <w:rsid w:val="00D3784D"/>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3A1E"/>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8BB"/>
    <w:rsid w:val="00D84A04"/>
    <w:rsid w:val="00D84E77"/>
    <w:rsid w:val="00D912AB"/>
    <w:rsid w:val="00D9150F"/>
    <w:rsid w:val="00D91923"/>
    <w:rsid w:val="00D91F26"/>
    <w:rsid w:val="00D923A4"/>
    <w:rsid w:val="00D93E07"/>
    <w:rsid w:val="00D95850"/>
    <w:rsid w:val="00D96953"/>
    <w:rsid w:val="00D97806"/>
    <w:rsid w:val="00DA0278"/>
    <w:rsid w:val="00DA1033"/>
    <w:rsid w:val="00DA33C0"/>
    <w:rsid w:val="00DA4748"/>
    <w:rsid w:val="00DA5746"/>
    <w:rsid w:val="00DA59F5"/>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5E12"/>
    <w:rsid w:val="00EB6226"/>
    <w:rsid w:val="00EC0B68"/>
    <w:rsid w:val="00EC3BD7"/>
    <w:rsid w:val="00EC5339"/>
    <w:rsid w:val="00EC59F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4BC"/>
    <w:rsid w:val="00EE3ABD"/>
    <w:rsid w:val="00EE3D7B"/>
    <w:rsid w:val="00EE4921"/>
    <w:rsid w:val="00EE5600"/>
    <w:rsid w:val="00EE660F"/>
    <w:rsid w:val="00EE67DA"/>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2B13500"/>
    <w:rsid w:val="06DF36B3"/>
    <w:rsid w:val="098A2D84"/>
    <w:rsid w:val="09EA6F07"/>
    <w:rsid w:val="0ADA132B"/>
    <w:rsid w:val="0B864DDD"/>
    <w:rsid w:val="0DF3355F"/>
    <w:rsid w:val="0FC56B5A"/>
    <w:rsid w:val="12015736"/>
    <w:rsid w:val="17324E66"/>
    <w:rsid w:val="178A795A"/>
    <w:rsid w:val="18B2243A"/>
    <w:rsid w:val="1B0511AB"/>
    <w:rsid w:val="1BF204F8"/>
    <w:rsid w:val="1CA46EC6"/>
    <w:rsid w:val="1DC32EB5"/>
    <w:rsid w:val="1E6A40E6"/>
    <w:rsid w:val="25B4635F"/>
    <w:rsid w:val="26CA426D"/>
    <w:rsid w:val="2AA05E26"/>
    <w:rsid w:val="2F4F65F6"/>
    <w:rsid w:val="35906A43"/>
    <w:rsid w:val="3E072CCD"/>
    <w:rsid w:val="40B25471"/>
    <w:rsid w:val="43E10162"/>
    <w:rsid w:val="46D63D94"/>
    <w:rsid w:val="4A5611F5"/>
    <w:rsid w:val="4ACD0E7F"/>
    <w:rsid w:val="4DFC0101"/>
    <w:rsid w:val="5085694D"/>
    <w:rsid w:val="51A4340C"/>
    <w:rsid w:val="51CB11FC"/>
    <w:rsid w:val="596A6026"/>
    <w:rsid w:val="599364B0"/>
    <w:rsid w:val="5A6645C8"/>
    <w:rsid w:val="5C97357F"/>
    <w:rsid w:val="5DBF0DF0"/>
    <w:rsid w:val="60275541"/>
    <w:rsid w:val="631B72A6"/>
    <w:rsid w:val="655517DA"/>
    <w:rsid w:val="66096397"/>
    <w:rsid w:val="709938DD"/>
    <w:rsid w:val="71E260CC"/>
    <w:rsid w:val="71FB2EF5"/>
    <w:rsid w:val="725676CF"/>
    <w:rsid w:val="73FD0AD3"/>
    <w:rsid w:val="74542618"/>
    <w:rsid w:val="75E13D4B"/>
    <w:rsid w:val="764C7A4B"/>
    <w:rsid w:val="793D5CDE"/>
    <w:rsid w:val="7A85787B"/>
    <w:rsid w:val="7CC00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qFormat="1" w:uiPriority="39" w:semiHidden="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3"/>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unhideWhenUsed/>
    <w:qFormat/>
    <w:uiPriority w:val="0"/>
    <w:pPr>
      <w:adjustRightInd/>
      <w:spacing w:after="120" w:line="240" w:lineRule="auto"/>
      <w:ind w:firstLine="100" w:firstLineChars="100"/>
      <w:jc w:val="both"/>
    </w:pPr>
    <w:rPr>
      <w:rFonts w:ascii="Times New Roman"/>
      <w:kern w:val="2"/>
      <w:sz w:val="21"/>
      <w:szCs w:val="24"/>
    </w:rPr>
  </w:style>
  <w:style w:type="paragraph" w:styleId="3">
    <w:name w:val="Body Text"/>
    <w:basedOn w:val="1"/>
    <w:next w:val="2"/>
    <w:link w:val="36"/>
    <w:qFormat/>
    <w:uiPriority w:val="0"/>
    <w:pPr>
      <w:widowControl/>
      <w:jc w:val="left"/>
    </w:pPr>
    <w:rPr>
      <w:rFonts w:eastAsia="PMingLiU"/>
      <w:kern w:val="0"/>
      <w:sz w:val="24"/>
      <w:szCs w:val="20"/>
      <w:lang w:eastAsia="en-US"/>
    </w:rPr>
  </w:style>
  <w:style w:type="paragraph" w:styleId="4">
    <w:name w:val="toc 6"/>
    <w:basedOn w:val="1"/>
    <w:next w:val="1"/>
    <w:unhideWhenUsed/>
    <w:qFormat/>
    <w:uiPriority w:val="39"/>
    <w:pPr>
      <w:ind w:left="1050"/>
      <w:jc w:val="left"/>
    </w:pPr>
    <w:rPr>
      <w:szCs w:val="21"/>
    </w:rPr>
  </w:style>
  <w:style w:type="paragraph" w:styleId="6">
    <w:name w:val="annotation text"/>
    <w:basedOn w:val="1"/>
    <w:link w:val="45"/>
    <w:semiHidden/>
    <w:unhideWhenUsed/>
    <w:qFormat/>
    <w:uiPriority w:val="0"/>
    <w:pPr>
      <w:jc w:val="left"/>
    </w:pPr>
  </w:style>
  <w:style w:type="paragraph" w:styleId="7">
    <w:name w:val="Body Text Indent"/>
    <w:basedOn w:val="1"/>
    <w:link w:val="35"/>
    <w:qFormat/>
    <w:uiPriority w:val="0"/>
    <w:pPr>
      <w:widowControl/>
      <w:ind w:left="-270" w:firstLine="270"/>
      <w:jc w:val="left"/>
    </w:pPr>
    <w:rPr>
      <w:rFonts w:eastAsia="PMingLiU"/>
      <w:kern w:val="0"/>
      <w:sz w:val="24"/>
      <w:szCs w:val="20"/>
      <w:lang w:val="en-GB" w:eastAsia="en-US"/>
    </w:rPr>
  </w:style>
  <w:style w:type="paragraph" w:styleId="8">
    <w:name w:val="Plain Text"/>
    <w:basedOn w:val="1"/>
    <w:link w:val="33"/>
    <w:qFormat/>
    <w:uiPriority w:val="0"/>
    <w:rPr>
      <w:rFonts w:ascii="宋体" w:hAnsi="Courier New"/>
      <w:szCs w:val="20"/>
    </w:rPr>
  </w:style>
  <w:style w:type="paragraph" w:styleId="9">
    <w:name w:val="Balloon Text"/>
    <w:basedOn w:val="1"/>
    <w:semiHidden/>
    <w:qFormat/>
    <w:uiPriority w:val="0"/>
    <w:rPr>
      <w:sz w:val="18"/>
      <w:szCs w:val="18"/>
    </w:rPr>
  </w:style>
  <w:style w:type="paragraph" w:styleId="10">
    <w:name w:val="footer"/>
    <w:basedOn w:val="1"/>
    <w:link w:val="26"/>
    <w:qFormat/>
    <w:uiPriority w:val="99"/>
    <w:pPr>
      <w:tabs>
        <w:tab w:val="center" w:pos="4153"/>
        <w:tab w:val="right" w:pos="8306"/>
      </w:tabs>
      <w:snapToGrid w:val="0"/>
      <w:jc w:val="left"/>
    </w:pPr>
    <w:rPr>
      <w:sz w:val="18"/>
      <w:szCs w:val="18"/>
    </w:rPr>
  </w:style>
  <w:style w:type="paragraph" w:styleId="11">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5">
    <w:name w:val="Title"/>
    <w:basedOn w:val="1"/>
    <w:next w:val="1"/>
    <w:link w:val="51"/>
    <w:qFormat/>
    <w:uiPriority w:val="0"/>
    <w:pPr>
      <w:spacing w:before="240" w:after="60"/>
      <w:jc w:val="center"/>
      <w:outlineLvl w:val="0"/>
    </w:pPr>
    <w:rPr>
      <w:rFonts w:asciiTheme="majorHAnsi" w:hAnsiTheme="majorHAnsi" w:cstheme="majorBidi"/>
      <w:b/>
      <w:bCs/>
      <w:sz w:val="32"/>
      <w:szCs w:val="32"/>
    </w:rPr>
  </w:style>
  <w:style w:type="paragraph" w:styleId="16">
    <w:name w:val="annotation subject"/>
    <w:basedOn w:val="6"/>
    <w:next w:val="6"/>
    <w:link w:val="4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Emphasis"/>
    <w:qFormat/>
    <w:uiPriority w:val="20"/>
    <w:rPr>
      <w:color w:val="DD4B39"/>
    </w:rPr>
  </w:style>
  <w:style w:type="character" w:styleId="22">
    <w:name w:val="Hyperlink"/>
    <w:qFormat/>
    <w:uiPriority w:val="99"/>
    <w:rPr>
      <w:color w:val="0000FF"/>
      <w:u w:val="single"/>
    </w:rPr>
  </w:style>
  <w:style w:type="character" w:styleId="23">
    <w:name w:val="annotation reference"/>
    <w:basedOn w:val="19"/>
    <w:semiHidden/>
    <w:unhideWhenUsed/>
    <w:qFormat/>
    <w:uiPriority w:val="0"/>
    <w:rPr>
      <w:sz w:val="21"/>
      <w:szCs w:val="21"/>
    </w:rPr>
  </w:style>
  <w:style w:type="paragraph" w:customStyle="1" w:styleId="24">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5">
    <w:name w:val="页眉 字符"/>
    <w:link w:val="11"/>
    <w:qFormat/>
    <w:uiPriority w:val="0"/>
    <w:rPr>
      <w:kern w:val="2"/>
      <w:sz w:val="18"/>
      <w:szCs w:val="18"/>
    </w:rPr>
  </w:style>
  <w:style w:type="character" w:customStyle="1" w:styleId="26">
    <w:name w:val="页脚 字符"/>
    <w:link w:val="10"/>
    <w:qFormat/>
    <w:uiPriority w:val="99"/>
    <w:rPr>
      <w:kern w:val="2"/>
      <w:sz w:val="18"/>
      <w:szCs w:val="18"/>
    </w:rPr>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Char"/>
    <w:basedOn w:val="1"/>
    <w:qFormat/>
    <w:uiPriority w:val="0"/>
    <w:pPr>
      <w:spacing w:line="360" w:lineRule="auto"/>
      <w:ind w:firstLine="200" w:firstLineChars="200"/>
    </w:pPr>
    <w:rPr>
      <w:rFonts w:ascii="宋体" w:hAnsi="宋体" w:cs="宋体"/>
      <w:sz w:val="24"/>
    </w:rPr>
  </w:style>
  <w:style w:type="paragraph" w:customStyle="1" w:styleId="2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apple-style-span"/>
    <w:basedOn w:val="19"/>
    <w:qFormat/>
    <w:uiPriority w:val="0"/>
  </w:style>
  <w:style w:type="paragraph" w:customStyle="1" w:styleId="31">
    <w:name w:val="列出段落1"/>
    <w:basedOn w:val="1"/>
    <w:qFormat/>
    <w:uiPriority w:val="0"/>
    <w:pPr>
      <w:ind w:firstLine="420" w:firstLineChars="200"/>
    </w:pPr>
  </w:style>
  <w:style w:type="character" w:customStyle="1" w:styleId="32">
    <w:name w:val="bumpedfont20"/>
    <w:basedOn w:val="19"/>
    <w:qFormat/>
    <w:uiPriority w:val="0"/>
  </w:style>
  <w:style w:type="character" w:customStyle="1" w:styleId="33">
    <w:name w:val="纯文本 字符"/>
    <w:link w:val="8"/>
    <w:qFormat/>
    <w:uiPriority w:val="0"/>
    <w:rPr>
      <w:rFonts w:ascii="宋体" w:hAnsi="Courier New"/>
      <w:kern w:val="2"/>
      <w:sz w:val="21"/>
    </w:rPr>
  </w:style>
  <w:style w:type="paragraph" w:styleId="34">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5">
    <w:name w:val="正文文本缩进 字符"/>
    <w:link w:val="7"/>
    <w:qFormat/>
    <w:uiPriority w:val="0"/>
    <w:rPr>
      <w:rFonts w:eastAsia="PMingLiU"/>
      <w:sz w:val="24"/>
      <w:lang w:val="en-GB" w:eastAsia="en-US"/>
    </w:rPr>
  </w:style>
  <w:style w:type="character" w:customStyle="1" w:styleId="36">
    <w:name w:val="正文文本 字符"/>
    <w:link w:val="3"/>
    <w:qFormat/>
    <w:uiPriority w:val="0"/>
    <w:rPr>
      <w:rFonts w:eastAsia="PMingLiU"/>
      <w:sz w:val="24"/>
      <w:lang w:eastAsia="en-US"/>
    </w:rPr>
  </w:style>
  <w:style w:type="character" w:customStyle="1" w:styleId="37">
    <w:name w:val="short_text"/>
    <w:qFormat/>
    <w:uiPriority w:val="0"/>
  </w:style>
  <w:style w:type="character" w:customStyle="1" w:styleId="38">
    <w:name w:val="st1"/>
    <w:qFormat/>
    <w:uiPriority w:val="0"/>
  </w:style>
  <w:style w:type="character" w:customStyle="1" w:styleId="39">
    <w:name w:val="apple-converted-space"/>
    <w:basedOn w:val="19"/>
    <w:qFormat/>
    <w:uiPriority w:val="99"/>
  </w:style>
  <w:style w:type="paragraph" w:customStyle="1" w:styleId="40">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1">
    <w:name w:val="网格型1"/>
    <w:basedOn w:val="17"/>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42">
    <w:name w:val="_Style 2"/>
    <w:basedOn w:val="1"/>
    <w:qFormat/>
    <w:uiPriority w:val="34"/>
    <w:pPr>
      <w:ind w:firstLine="420" w:firstLineChars="200"/>
    </w:pPr>
  </w:style>
  <w:style w:type="character" w:customStyle="1" w:styleId="43">
    <w:name w:val="标题 1 字符"/>
    <w:basedOn w:val="19"/>
    <w:link w:val="5"/>
    <w:qFormat/>
    <w:uiPriority w:val="9"/>
    <w:rPr>
      <w:rFonts w:asciiTheme="minorHAnsi" w:hAnsiTheme="minorHAnsi" w:eastAsiaTheme="minorEastAsia" w:cstheme="minorBidi"/>
      <w:b/>
      <w:bCs/>
      <w:kern w:val="44"/>
      <w:sz w:val="44"/>
      <w:szCs w:val="44"/>
    </w:rPr>
  </w:style>
  <w:style w:type="paragraph" w:customStyle="1" w:styleId="44">
    <w:name w:val="列出段落2"/>
    <w:basedOn w:val="1"/>
    <w:qFormat/>
    <w:uiPriority w:val="0"/>
    <w:pPr>
      <w:ind w:firstLine="420" w:firstLineChars="200"/>
    </w:pPr>
    <w:rPr>
      <w:rFonts w:ascii="Calibri" w:hAnsi="Calibri"/>
      <w:szCs w:val="22"/>
    </w:rPr>
  </w:style>
  <w:style w:type="character" w:customStyle="1" w:styleId="45">
    <w:name w:val="批注文字 字符"/>
    <w:basedOn w:val="19"/>
    <w:link w:val="6"/>
    <w:semiHidden/>
    <w:qFormat/>
    <w:uiPriority w:val="0"/>
    <w:rPr>
      <w:kern w:val="2"/>
      <w:sz w:val="21"/>
      <w:szCs w:val="24"/>
    </w:rPr>
  </w:style>
  <w:style w:type="character" w:customStyle="1" w:styleId="46">
    <w:name w:val="批注主题 字符"/>
    <w:basedOn w:val="45"/>
    <w:link w:val="16"/>
    <w:semiHidden/>
    <w:qFormat/>
    <w:uiPriority w:val="0"/>
    <w:rPr>
      <w:b/>
      <w:bCs/>
      <w:kern w:val="2"/>
      <w:sz w:val="21"/>
      <w:szCs w:val="24"/>
    </w:rPr>
  </w:style>
  <w:style w:type="table" w:customStyle="1" w:styleId="47">
    <w:name w:val="网格型2"/>
    <w:basedOn w:val="17"/>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9">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0">
    <w:name w:val="TOC 标题1"/>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1">
    <w:name w:val="标题 字符"/>
    <w:basedOn w:val="19"/>
    <w:link w:val="15"/>
    <w:qFormat/>
    <w:uiPriority w:val="0"/>
    <w:rPr>
      <w:rFonts w:asciiTheme="majorHAnsi" w:hAnsiTheme="majorHAnsi" w:cstheme="majorBidi"/>
      <w:b/>
      <w:bCs/>
      <w:kern w:val="2"/>
      <w:sz w:val="32"/>
      <w:szCs w:val="32"/>
    </w:rPr>
  </w:style>
  <w:style w:type="character" w:customStyle="1" w:styleId="52">
    <w:name w:val="font11"/>
    <w:basedOn w:val="19"/>
    <w:qFormat/>
    <w:uiPriority w:val="0"/>
    <w:rPr>
      <w:rFonts w:hint="eastAsia" w:ascii="宋体" w:hAnsi="宋体" w:eastAsia="宋体" w:cs="宋体"/>
      <w:color w:val="000000"/>
      <w:sz w:val="22"/>
      <w:szCs w:val="22"/>
      <w:u w:val="none"/>
    </w:rPr>
  </w:style>
  <w:style w:type="character" w:customStyle="1" w:styleId="53">
    <w:name w:val="font51"/>
    <w:basedOn w:val="19"/>
    <w:qFormat/>
    <w:uiPriority w:val="0"/>
    <w:rPr>
      <w:rFonts w:hint="default" w:ascii="Times New Roman" w:hAnsi="Times New Roman" w:cs="Times New Roman"/>
      <w:color w:val="000000"/>
      <w:sz w:val="22"/>
      <w:szCs w:val="22"/>
      <w:u w:val="none"/>
    </w:rPr>
  </w:style>
  <w:style w:type="character" w:customStyle="1" w:styleId="54">
    <w:name w:val="font41"/>
    <w:basedOn w:val="19"/>
    <w:qFormat/>
    <w:uiPriority w:val="0"/>
    <w:rPr>
      <w:rFonts w:hint="eastAsia" w:ascii="宋体" w:hAnsi="宋体" w:eastAsia="宋体" w:cs="宋体"/>
      <w:b/>
      <w:bCs/>
      <w:color w:val="000000"/>
      <w:sz w:val="22"/>
      <w:szCs w:val="22"/>
      <w:u w:val="none"/>
    </w:rPr>
  </w:style>
  <w:style w:type="character" w:customStyle="1" w:styleId="55">
    <w:name w:val="font81"/>
    <w:basedOn w:val="19"/>
    <w:qFormat/>
    <w:uiPriority w:val="0"/>
    <w:rPr>
      <w:rFonts w:hint="default" w:ascii="Times New Roman" w:hAnsi="Times New Roman" w:cs="Times New Roman"/>
      <w:color w:val="000000"/>
      <w:sz w:val="22"/>
      <w:szCs w:val="22"/>
      <w:u w:val="none"/>
      <w:vertAlign w:val="superscript"/>
    </w:rPr>
  </w:style>
  <w:style w:type="character" w:customStyle="1" w:styleId="56">
    <w:name w:val="font71"/>
    <w:basedOn w:val="19"/>
    <w:qFormat/>
    <w:uiPriority w:val="0"/>
    <w:rPr>
      <w:rFonts w:hint="eastAsia" w:ascii="宋体" w:hAnsi="宋体" w:eastAsia="宋体" w:cs="宋体"/>
      <w:color w:val="000000"/>
      <w:sz w:val="22"/>
      <w:szCs w:val="22"/>
      <w:u w:val="none"/>
    </w:rPr>
  </w:style>
  <w:style w:type="character" w:customStyle="1" w:styleId="57">
    <w:name w:val="font01"/>
    <w:basedOn w:val="19"/>
    <w:qFormat/>
    <w:uiPriority w:val="0"/>
    <w:rPr>
      <w:rFonts w:hint="default" w:ascii="Times New Roman" w:hAnsi="Times New Roman" w:cs="Times New Roman"/>
      <w:color w:val="000000"/>
      <w:sz w:val="22"/>
      <w:szCs w:val="22"/>
      <w:u w:val="none"/>
    </w:rPr>
  </w:style>
  <w:style w:type="character" w:customStyle="1" w:styleId="58">
    <w:name w:val="font91"/>
    <w:basedOn w:val="19"/>
    <w:qFormat/>
    <w:uiPriority w:val="0"/>
    <w:rPr>
      <w:rFonts w:hint="eastAsia" w:ascii="宋体" w:hAnsi="宋体" w:eastAsia="宋体" w:cs="宋体"/>
      <w:b/>
      <w:bCs/>
      <w:color w:val="000000"/>
      <w:sz w:val="22"/>
      <w:szCs w:val="22"/>
      <w:u w:val="none"/>
    </w:rPr>
  </w:style>
  <w:style w:type="character" w:customStyle="1" w:styleId="59">
    <w:name w:val="font61"/>
    <w:basedOn w:val="19"/>
    <w:qFormat/>
    <w:uiPriority w:val="0"/>
    <w:rPr>
      <w:rFonts w:hint="eastAsia" w:ascii="宋体" w:hAnsi="宋体" w:eastAsia="宋体" w:cs="宋体"/>
      <w:color w:val="000000"/>
      <w:sz w:val="22"/>
      <w:szCs w:val="22"/>
      <w:u w:val="none"/>
    </w:rPr>
  </w:style>
  <w:style w:type="character" w:customStyle="1" w:styleId="60">
    <w:name w:val="font101"/>
    <w:basedOn w:val="19"/>
    <w:qFormat/>
    <w:uiPriority w:val="0"/>
    <w:rPr>
      <w:rFonts w:hint="eastAsia" w:ascii="宋体" w:hAnsi="宋体" w:eastAsia="宋体" w:cs="宋体"/>
      <w:b/>
      <w:bCs/>
      <w:color w:val="000000"/>
      <w:sz w:val="22"/>
      <w:szCs w:val="22"/>
      <w:u w:val="none"/>
    </w:rPr>
  </w:style>
  <w:style w:type="character" w:customStyle="1" w:styleId="61">
    <w:name w:val="font112"/>
    <w:basedOn w:val="19"/>
    <w:qFormat/>
    <w:uiPriority w:val="0"/>
    <w:rPr>
      <w:rFonts w:hint="default" w:ascii="Times New Roman" w:hAnsi="Times New Roman" w:cs="Times New Roman"/>
      <w:color w:val="000000"/>
      <w:sz w:val="21"/>
      <w:szCs w:val="21"/>
      <w:u w:val="none"/>
    </w:rPr>
  </w:style>
  <w:style w:type="character" w:customStyle="1" w:styleId="62">
    <w:name w:val="font121"/>
    <w:basedOn w:val="19"/>
    <w:qFormat/>
    <w:uiPriority w:val="0"/>
    <w:rPr>
      <w:rFonts w:hint="default" w:ascii="Times New Roman" w:hAnsi="Times New Roman" w:cs="Times New Roman"/>
      <w:color w:val="000000"/>
      <w:sz w:val="21"/>
      <w:szCs w:val="21"/>
      <w:u w:val="none"/>
      <w:vertAlign w:val="superscript"/>
    </w:rPr>
  </w:style>
  <w:style w:type="character" w:customStyle="1" w:styleId="63">
    <w:name w:val="font31"/>
    <w:basedOn w:val="19"/>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19AEF-3227-4231-BD02-67834427550B}">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18</Pages>
  <Words>3496</Words>
  <Characters>4791</Characters>
  <Lines>1597</Lines>
  <Paragraphs>1183</Paragraphs>
  <TotalTime>6</TotalTime>
  <ScaleCrop>false</ScaleCrop>
  <LinksUpToDate>false</LinksUpToDate>
  <CharactersWithSpaces>7104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HP</dc:creator>
  <cp:lastModifiedBy>F.f</cp:lastModifiedBy>
  <cp:lastPrinted>2026-02-09T00:18:00Z</cp:lastPrinted>
  <dcterms:modified xsi:type="dcterms:W3CDTF">2026-08-24T09:30:57Z</dcterms:modified>
  <cp:revision>683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D680E1FFDF2C4F40A6B827C20713C5A7</vt:lpwstr>
  </property>
  <property fmtid="{D5CDD505-2E9C-101B-9397-08002B2CF9AE}" pid="4" name="KSOTemplateDocerSaveRecord">
    <vt:lpwstr>eyJoZGlkIjoiOTRmNzlmNjMxNmM3ZWZkYmQ3ODBhZGE0N2M5NzFmMWEiLCJ1c2VySWQiOiI0OTkyMjc2NzgifQ==</vt:lpwstr>
  </property>
</Properties>
</file>