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0EAA4">
      <w:pPr>
        <w:ind w:firstLine="880" w:firstLineChars="200"/>
        <w:jc w:val="both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浙江大学医学院附属妇产科医院</w:t>
      </w:r>
    </w:p>
    <w:p w14:paraId="07297BA5">
      <w:pPr>
        <w:spacing w:before="0" w:after="0" w:line="240" w:lineRule="auto"/>
        <w:jc w:val="center"/>
        <w:outlineLvl w:val="9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 w:eastAsia="宋体"/>
          <w:b/>
          <w:bCs/>
          <w:sz w:val="44"/>
          <w:szCs w:val="44"/>
          <w:lang w:val="en-US" w:eastAsia="zh-CN"/>
        </w:rPr>
        <w:t>浙大妇院OTN和互联网专线服务项目</w:t>
      </w:r>
    </w:p>
    <w:p w14:paraId="200C9A25">
      <w:pPr>
        <w:spacing w:before="0" w:after="0" w:line="240" w:lineRule="auto"/>
        <w:jc w:val="center"/>
        <w:outlineLvl w:val="9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 w:eastAsia="宋体"/>
          <w:b/>
          <w:bCs/>
          <w:sz w:val="44"/>
          <w:szCs w:val="44"/>
          <w:lang w:val="en-US" w:eastAsia="zh-CN"/>
        </w:rPr>
        <w:t>采购要求</w:t>
      </w:r>
    </w:p>
    <w:p w14:paraId="09922CEE">
      <w:pPr>
        <w:pStyle w:val="2"/>
        <w:numPr>
          <w:ilvl w:val="0"/>
          <w:numId w:val="2"/>
        </w:numPr>
        <w:tabs>
          <w:tab w:val="left" w:pos="720"/>
          <w:tab w:val="left" w:pos="1980"/>
        </w:tabs>
        <w:spacing w:before="0" w:after="0" w:line="440" w:lineRule="exact"/>
        <w:outlineLvl w:val="0"/>
        <w:rPr>
          <w:rFonts w:hAnsi="宋体" w:cs="宋体"/>
          <w:sz w:val="21"/>
          <w:szCs w:val="21"/>
        </w:rPr>
      </w:pPr>
      <w:r>
        <w:rPr>
          <w:rFonts w:hint="eastAsia" w:hAnsi="宋体" w:cs="宋体"/>
          <w:sz w:val="21"/>
          <w:szCs w:val="21"/>
        </w:rPr>
        <w:t>项目概况</w:t>
      </w:r>
    </w:p>
    <w:p w14:paraId="46956EF7">
      <w:pPr>
        <w:spacing w:line="360" w:lineRule="auto"/>
        <w:ind w:firstLine="424" w:firstLineChars="202"/>
        <w:rPr>
          <w:rFonts w:hint="eastAsia"/>
          <w:color w:val="000000"/>
        </w:rPr>
      </w:pPr>
      <w:r>
        <w:rPr>
          <w:rFonts w:hint="eastAsia"/>
          <w:color w:val="000000"/>
        </w:rPr>
        <w:t>湖滨院区与钱江院区之间、湖滨院区与余杭院区之间网络数据互联互通，需要安装电路来传输互通两院区的内部数据，且院区网络数据量大、稳定性要求高，湖滨院区与钱江院区之间、湖滨院区与余杭院区之间申请各安装1条1G的OTN线路作为两院区行政办公网络的主用线路，各安装1条10G的OTN线路作为两院区业务内网的主用线路。</w:t>
      </w:r>
    </w:p>
    <w:p w14:paraId="1F7E21A4">
      <w:pPr>
        <w:spacing w:line="360" w:lineRule="auto"/>
        <w:ind w:firstLine="424" w:firstLineChars="202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本项目旨在搭建跨院区高效稳定的网络传输体系，支撑多院区业务协同与外网访问需求。部署 1000M </w:t>
      </w:r>
      <w:r>
        <w:rPr>
          <w:rFonts w:hint="eastAsia"/>
          <w:color w:val="000000"/>
          <w:lang w:val="en-US" w:eastAsia="zh-CN"/>
        </w:rPr>
        <w:t>互联网</w:t>
      </w:r>
      <w:r>
        <w:rPr>
          <w:rFonts w:hint="eastAsia"/>
          <w:color w:val="000000"/>
        </w:rPr>
        <w:t>专线，配置 56 个固定 IP，覆盖湖滨、钱江、余杭三大院区，为全院工作人员终端及各类设备提供安全顺畅的外网访问服务，全面满足行政办公、核心业务及日常外网使用的网络支撑需求。网络是医院现代化运转的核心基础设施，专线中断将直接影响挂号、收费、检验检查、电子病历、医保对接等一线诊疗工作。三院区日常存在大量数据互通、业务联动、资源共享需求，需统一、稳定的专线支撑跨院区办公与协作。专业互联网专线具备安全隔离、流量管控、防攻击等能力，符合医疗机构网络安全及数据管理相关规范。</w:t>
      </w:r>
    </w:p>
    <w:p w14:paraId="62DEC3A2">
      <w:pPr>
        <w:spacing w:line="360" w:lineRule="auto"/>
        <w:ind w:firstLine="424" w:firstLineChars="202"/>
        <w:rPr>
          <w:rFonts w:hint="eastAsia"/>
          <w:color w:val="000000"/>
        </w:rPr>
      </w:pPr>
      <w:bookmarkStart w:id="6" w:name="_GoBack"/>
      <w:bookmarkEnd w:id="6"/>
    </w:p>
    <w:p w14:paraId="34ECCA6A">
      <w:pPr>
        <w:pStyle w:val="2"/>
        <w:numPr>
          <w:ilvl w:val="0"/>
          <w:numId w:val="2"/>
        </w:numPr>
        <w:tabs>
          <w:tab w:val="left" w:pos="720"/>
          <w:tab w:val="left" w:pos="1980"/>
        </w:tabs>
        <w:spacing w:before="0" w:after="0" w:line="440" w:lineRule="exact"/>
        <w:outlineLvl w:val="0"/>
        <w:rPr>
          <w:rFonts w:hAnsi="宋体" w:cs="宋体"/>
          <w:sz w:val="21"/>
          <w:szCs w:val="21"/>
        </w:rPr>
      </w:pPr>
      <w:r>
        <w:rPr>
          <w:rFonts w:hint="eastAsia" w:hAnsi="宋体" w:cs="宋体"/>
          <w:sz w:val="21"/>
          <w:szCs w:val="21"/>
        </w:rPr>
        <w:t>项目内容</w:t>
      </w:r>
    </w:p>
    <w:tbl>
      <w:tblPr>
        <w:tblStyle w:val="21"/>
        <w:tblW w:w="48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943"/>
        <w:gridCol w:w="3834"/>
        <w:gridCol w:w="1499"/>
      </w:tblGrid>
      <w:tr w14:paraId="4E09B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  <w:vAlign w:val="center"/>
          </w:tcPr>
          <w:p w14:paraId="5E2FC8BC">
            <w:pPr>
              <w:spacing w:line="4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1943" w:type="dxa"/>
            <w:vAlign w:val="center"/>
          </w:tcPr>
          <w:p w14:paraId="18810D0E">
            <w:pPr>
              <w:spacing w:line="4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内容</w:t>
            </w:r>
          </w:p>
        </w:tc>
        <w:tc>
          <w:tcPr>
            <w:tcW w:w="3834" w:type="dxa"/>
            <w:vAlign w:val="center"/>
          </w:tcPr>
          <w:p w14:paraId="3D38949D">
            <w:pPr>
              <w:spacing w:line="4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说明</w:t>
            </w:r>
          </w:p>
        </w:tc>
        <w:tc>
          <w:tcPr>
            <w:tcW w:w="1499" w:type="dxa"/>
            <w:vAlign w:val="center"/>
          </w:tcPr>
          <w:p w14:paraId="627D2252">
            <w:pPr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服务期</w:t>
            </w:r>
          </w:p>
        </w:tc>
      </w:tr>
      <w:tr w14:paraId="16E5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  <w:vAlign w:val="center"/>
          </w:tcPr>
          <w:p w14:paraId="0DBBC5A7">
            <w:pPr>
              <w:pStyle w:val="29"/>
              <w:spacing w:line="360" w:lineRule="auto"/>
              <w:ind w:firstLine="0" w:firstLineChars="0"/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</w:p>
        </w:tc>
        <w:tc>
          <w:tcPr>
            <w:tcW w:w="1943" w:type="dxa"/>
            <w:vMerge w:val="restart"/>
            <w:vAlign w:val="center"/>
          </w:tcPr>
          <w:p w14:paraId="6B0CFD12">
            <w:pPr>
              <w:pStyle w:val="29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OTN电路 4条</w:t>
            </w:r>
          </w:p>
        </w:tc>
        <w:tc>
          <w:tcPr>
            <w:tcW w:w="3834" w:type="dxa"/>
            <w:vAlign w:val="center"/>
          </w:tcPr>
          <w:p w14:paraId="34664EE5">
            <w:pPr>
              <w:pStyle w:val="29"/>
              <w:spacing w:line="360" w:lineRule="auto"/>
              <w:ind w:firstLine="0" w:firstLineChars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1G OTN线路（湖滨-钱江）</w:t>
            </w:r>
          </w:p>
        </w:tc>
        <w:tc>
          <w:tcPr>
            <w:tcW w:w="1499" w:type="dxa"/>
            <w:vAlign w:val="center"/>
          </w:tcPr>
          <w:p w14:paraId="29DAAF2A">
            <w:pPr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1年</w:t>
            </w:r>
          </w:p>
        </w:tc>
      </w:tr>
      <w:tr w14:paraId="238B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  <w:vAlign w:val="center"/>
          </w:tcPr>
          <w:p w14:paraId="0514A983">
            <w:pPr>
              <w:pStyle w:val="29"/>
              <w:spacing w:line="360" w:lineRule="auto"/>
              <w:ind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43" w:type="dxa"/>
            <w:vMerge w:val="continue"/>
            <w:vAlign w:val="center"/>
          </w:tcPr>
          <w:p w14:paraId="7B0B6BFA">
            <w:pPr>
              <w:pStyle w:val="29"/>
              <w:spacing w:line="360" w:lineRule="auto"/>
              <w:ind w:firstLine="0" w:firstLine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834" w:type="dxa"/>
            <w:vAlign w:val="center"/>
          </w:tcPr>
          <w:p w14:paraId="5423E562">
            <w:pPr>
              <w:pStyle w:val="29"/>
              <w:spacing w:line="360" w:lineRule="auto"/>
              <w:ind w:firstLine="0" w:firstLine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10G OTN线路（湖滨-钱江）</w:t>
            </w:r>
          </w:p>
        </w:tc>
        <w:tc>
          <w:tcPr>
            <w:tcW w:w="1499" w:type="dxa"/>
            <w:vAlign w:val="center"/>
          </w:tcPr>
          <w:p w14:paraId="1A8E71DF">
            <w:pPr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1年</w:t>
            </w:r>
          </w:p>
        </w:tc>
      </w:tr>
      <w:tr w14:paraId="7BA3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  <w:vAlign w:val="center"/>
          </w:tcPr>
          <w:p w14:paraId="4A8F8293">
            <w:pPr>
              <w:pStyle w:val="29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43" w:type="dxa"/>
            <w:vMerge w:val="continue"/>
            <w:vAlign w:val="center"/>
          </w:tcPr>
          <w:p w14:paraId="62692533">
            <w:pPr>
              <w:pStyle w:val="29"/>
              <w:spacing w:line="360" w:lineRule="auto"/>
              <w:ind w:firstLine="0" w:firstLineChars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834" w:type="dxa"/>
            <w:vAlign w:val="center"/>
          </w:tcPr>
          <w:p w14:paraId="0D2AA23B">
            <w:pPr>
              <w:pStyle w:val="29"/>
              <w:spacing w:line="360" w:lineRule="auto"/>
              <w:ind w:firstLine="0" w:firstLineChars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1G OTN线路（湖滨-余杭）</w:t>
            </w:r>
          </w:p>
        </w:tc>
        <w:tc>
          <w:tcPr>
            <w:tcW w:w="1499" w:type="dxa"/>
            <w:vAlign w:val="center"/>
          </w:tcPr>
          <w:p w14:paraId="5DB2D9E8">
            <w:pPr>
              <w:spacing w:line="44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1年</w:t>
            </w:r>
          </w:p>
        </w:tc>
      </w:tr>
      <w:tr w14:paraId="026E2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  <w:vAlign w:val="center"/>
          </w:tcPr>
          <w:p w14:paraId="7AEB8860">
            <w:pPr>
              <w:pStyle w:val="29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43" w:type="dxa"/>
            <w:vMerge w:val="continue"/>
            <w:vAlign w:val="center"/>
          </w:tcPr>
          <w:p w14:paraId="5DC05087">
            <w:pPr>
              <w:pStyle w:val="29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3834" w:type="dxa"/>
            <w:vAlign w:val="center"/>
          </w:tcPr>
          <w:p w14:paraId="51168620">
            <w:pPr>
              <w:pStyle w:val="29"/>
              <w:spacing w:line="360" w:lineRule="auto"/>
              <w:ind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10G OTN线路（湖滨-余杭）</w:t>
            </w:r>
          </w:p>
        </w:tc>
        <w:tc>
          <w:tcPr>
            <w:tcW w:w="1499" w:type="dxa"/>
            <w:vAlign w:val="center"/>
          </w:tcPr>
          <w:p w14:paraId="32D5901E"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1年</w:t>
            </w:r>
          </w:p>
        </w:tc>
      </w:tr>
      <w:tr w14:paraId="299F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  <w:vAlign w:val="center"/>
          </w:tcPr>
          <w:p w14:paraId="6332001A">
            <w:pPr>
              <w:pStyle w:val="29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43" w:type="dxa"/>
            <w:vAlign w:val="center"/>
          </w:tcPr>
          <w:p w14:paraId="54235D0A">
            <w:pPr>
              <w:pStyle w:val="29"/>
              <w:spacing w:line="36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互联网专线</w:t>
            </w:r>
          </w:p>
        </w:tc>
        <w:tc>
          <w:tcPr>
            <w:tcW w:w="3834" w:type="dxa"/>
            <w:vAlign w:val="center"/>
          </w:tcPr>
          <w:p w14:paraId="3AC8DAEA">
            <w:pPr>
              <w:pStyle w:val="29"/>
              <w:spacing w:line="360" w:lineRule="auto"/>
              <w:ind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1000M互联网专线 1条</w:t>
            </w:r>
          </w:p>
        </w:tc>
        <w:tc>
          <w:tcPr>
            <w:tcW w:w="1499" w:type="dxa"/>
            <w:vAlign w:val="center"/>
          </w:tcPr>
          <w:p w14:paraId="407266A6"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1年</w:t>
            </w:r>
          </w:p>
        </w:tc>
      </w:tr>
    </w:tbl>
    <w:p w14:paraId="1743C60E">
      <w:pPr>
        <w:pStyle w:val="2"/>
        <w:numPr>
          <w:ilvl w:val="0"/>
          <w:numId w:val="2"/>
        </w:numPr>
        <w:tabs>
          <w:tab w:val="left" w:pos="720"/>
          <w:tab w:val="left" w:pos="1980"/>
        </w:tabs>
        <w:spacing w:before="0" w:after="0" w:line="440" w:lineRule="exact"/>
        <w:outlineLvl w:val="0"/>
        <w:rPr>
          <w:rFonts w:hAnsi="宋体" w:cs="宋体"/>
          <w:color w:val="FF0000"/>
          <w:sz w:val="21"/>
          <w:szCs w:val="21"/>
          <w:highlight w:val="none"/>
        </w:rPr>
      </w:pPr>
      <w:r>
        <w:rPr>
          <w:rFonts w:hint="eastAsia" w:hAnsi="宋体" w:cs="宋体"/>
          <w:color w:val="FF0000"/>
          <w:sz w:val="21"/>
          <w:szCs w:val="21"/>
          <w:highlight w:val="none"/>
          <w:lang w:val="en-US" w:eastAsia="zh-CN"/>
        </w:rPr>
        <w:t>资格要求</w:t>
      </w:r>
    </w:p>
    <w:p w14:paraId="2BF324DE">
      <w:pPr>
        <w:pStyle w:val="2"/>
        <w:numPr>
          <w:ilvl w:val="0"/>
          <w:numId w:val="0"/>
        </w:numPr>
        <w:ind w:leftChars="0"/>
        <w:rPr>
          <w:rFonts w:hint="eastAsia" w:ascii="宋体" w:hAnsi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/>
          <w:i w:val="0"/>
          <w:iCs/>
          <w:color w:val="FF0000"/>
          <w:kern w:val="0"/>
          <w:sz w:val="24"/>
          <w:szCs w:val="24"/>
          <w:u w:val="none"/>
          <w:lang w:val="en-US" w:eastAsia="zh-CN" w:bidi="ar"/>
        </w:rPr>
        <w:t>▲</w:t>
      </w:r>
      <w:r>
        <w:rPr>
          <w:rFonts w:hint="eastAsia" w:ascii="宋体" w:hAnsi="宋体" w:eastAsia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投标</w:t>
      </w:r>
      <w:r>
        <w:rPr>
          <w:rFonts w:hint="eastAsia" w:ascii="宋体" w:hAnsi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产品须</w:t>
      </w:r>
      <w:r>
        <w:rPr>
          <w:rFonts w:hint="eastAsia" w:ascii="宋体" w:hAnsi="宋体" w:eastAsia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为框架</w:t>
      </w:r>
      <w:r>
        <w:rPr>
          <w:rFonts w:hint="eastAsia" w:ascii="宋体" w:hAnsi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协议</w:t>
      </w:r>
      <w:r>
        <w:rPr>
          <w:rFonts w:hint="eastAsia" w:ascii="宋体" w:hAnsi="宋体" w:eastAsia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入围</w:t>
      </w:r>
      <w:r>
        <w:rPr>
          <w:rFonts w:hint="eastAsia" w:ascii="宋体" w:hAnsi="宋体" w:cs="宋体"/>
          <w:i w:val="0"/>
          <w:iCs w:val="0"/>
          <w:color w:val="FF0000"/>
          <w:kern w:val="0"/>
          <w:sz w:val="24"/>
          <w:szCs w:val="24"/>
          <w:u w:val="none"/>
          <w:lang w:val="en-US" w:eastAsia="zh-CN" w:bidi="ar"/>
        </w:rPr>
        <w:t>产品</w:t>
      </w:r>
    </w:p>
    <w:p w14:paraId="7ABD60E6">
      <w:pPr>
        <w:rPr>
          <w:rFonts w:hint="default"/>
          <w:lang w:val="en-US" w:eastAsia="zh-CN"/>
        </w:rPr>
      </w:pPr>
    </w:p>
    <w:p w14:paraId="5EAEF8D4">
      <w:pPr>
        <w:pStyle w:val="2"/>
        <w:numPr>
          <w:ilvl w:val="0"/>
          <w:numId w:val="2"/>
        </w:numPr>
        <w:tabs>
          <w:tab w:val="left" w:pos="720"/>
          <w:tab w:val="left" w:pos="1980"/>
        </w:tabs>
        <w:spacing w:before="0" w:after="0" w:line="440" w:lineRule="exact"/>
        <w:outlineLvl w:val="0"/>
        <w:rPr>
          <w:rFonts w:hAnsi="宋体" w:cs="宋体"/>
          <w:sz w:val="21"/>
          <w:szCs w:val="21"/>
        </w:rPr>
      </w:pPr>
      <w:r>
        <w:rPr>
          <w:rFonts w:hint="eastAsia" w:hAnsi="宋体" w:cs="宋体"/>
          <w:sz w:val="21"/>
          <w:szCs w:val="21"/>
        </w:rPr>
        <w:t>技术要求</w:t>
      </w:r>
    </w:p>
    <w:p w14:paraId="43E5D6EB">
      <w:pPr>
        <w:pStyle w:val="28"/>
        <w:numPr>
          <w:ilvl w:val="0"/>
          <w:numId w:val="3"/>
        </w:numPr>
        <w:spacing w:line="440" w:lineRule="exact"/>
        <w:ind w:firstLineChars="0"/>
        <w:outlineLvl w:val="1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总体要求</w:t>
      </w:r>
    </w:p>
    <w:p w14:paraId="04A9DF97">
      <w:pPr>
        <w:pStyle w:val="29"/>
        <w:spacing w:line="360" w:lineRule="auto"/>
        <w:ind w:firstLine="420" w:firstLineChars="0"/>
        <w:jc w:val="both"/>
        <w:rPr>
          <w:rFonts w:hint="eastAsia"/>
          <w:highlight w:val="none"/>
          <w:lang w:val="en-US" w:eastAsia="zh-CN"/>
        </w:rPr>
      </w:pPr>
      <w:r>
        <w:rPr>
          <w:rFonts w:hint="eastAsia"/>
          <w:lang w:val="en-US"/>
        </w:rPr>
        <w:t>供应商</w:t>
      </w:r>
      <w:r>
        <w:rPr>
          <w:rFonts w:hint="eastAsia"/>
          <w:highlight w:val="none"/>
          <w:lang w:val="en-US" w:eastAsia="zh-CN"/>
        </w:rPr>
        <w:t>具有强大的本地运维团队，提供7*24小时全天候技术团队在线支撑，本地化服务。</w:t>
      </w:r>
    </w:p>
    <w:p w14:paraId="4C366A0C">
      <w:pPr>
        <w:pStyle w:val="28"/>
        <w:numPr>
          <w:ilvl w:val="0"/>
          <w:numId w:val="3"/>
        </w:numPr>
        <w:spacing w:line="440" w:lineRule="exact"/>
        <w:ind w:firstLineChars="0"/>
        <w:outlineLvl w:val="1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  <w:lang w:val="en-US" w:eastAsia="zh-CN"/>
        </w:rPr>
        <w:t>技术要求细项</w:t>
      </w:r>
    </w:p>
    <w:tbl>
      <w:tblPr>
        <w:tblStyle w:val="2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7775"/>
      </w:tblGrid>
      <w:tr w14:paraId="49122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3D089822">
            <w:pPr>
              <w:spacing w:line="4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7775" w:type="dxa"/>
            <w:vAlign w:val="center"/>
          </w:tcPr>
          <w:p w14:paraId="7AE97C09">
            <w:pPr>
              <w:spacing w:line="44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技术说明</w:t>
            </w:r>
          </w:p>
        </w:tc>
      </w:tr>
      <w:tr w14:paraId="16E6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3F2B228C">
            <w:pPr>
              <w:pStyle w:val="28"/>
              <w:numPr>
                <w:ilvl w:val="0"/>
                <w:numId w:val="4"/>
              </w:numPr>
              <w:spacing w:line="440" w:lineRule="exact"/>
              <w:ind w:firstLineChars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775" w:type="dxa"/>
            <w:vAlign w:val="center"/>
          </w:tcPr>
          <w:p w14:paraId="4223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default" w:ascii="宋体" w:hAnsi="宋体" w:eastAsia="宋体" w:cs="宋体"/>
                <w:bCs/>
                <w:i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 w:val="0"/>
                <w:sz w:val="24"/>
                <w:szCs w:val="24"/>
              </w:rPr>
              <w:t>OTN</w:t>
            </w:r>
            <w:r>
              <w:rPr>
                <w:rFonts w:hint="eastAsia" w:asciiTheme="majorEastAsia" w:hAnsiTheme="majorEastAsia" w:eastAsiaTheme="majorEastAsia"/>
                <w:b/>
                <w:bCs w:val="0"/>
                <w:sz w:val="24"/>
                <w:szCs w:val="24"/>
                <w:lang w:val="en-US" w:eastAsia="zh-CN"/>
              </w:rPr>
              <w:t xml:space="preserve">电路 </w:t>
            </w:r>
          </w:p>
        </w:tc>
      </w:tr>
      <w:tr w14:paraId="4CAE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53A50767">
            <w:pPr>
              <w:pStyle w:val="28"/>
              <w:numPr>
                <w:ilvl w:val="0"/>
                <w:numId w:val="0"/>
              </w:numPr>
              <w:spacing w:line="440" w:lineRule="exact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7775" w:type="dxa"/>
            <w:vAlign w:val="center"/>
          </w:tcPr>
          <w:p w14:paraId="503E7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基础要求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ab/>
            </w:r>
          </w:p>
          <w:p w14:paraId="15A65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通过OTN技术，即光传送网络进行组网，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val="en-US" w:eastAsia="zh-CN"/>
              </w:rPr>
              <w:t>1G OTN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带宽不低于1G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val="en-US" w:eastAsia="zh-CN"/>
              </w:rPr>
              <w:t>,10G OTN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带宽不低于1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G。OTN是以波分复用技术为基础，在光层组织网络的传送网，能够提供基于光通道的客户信号的传送、复用、路由、管理、监控以及保护。</w:t>
            </w:r>
          </w:p>
        </w:tc>
      </w:tr>
      <w:tr w14:paraId="2EBB8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2918BB4F">
            <w:pPr>
              <w:pStyle w:val="28"/>
              <w:numPr>
                <w:ilvl w:val="0"/>
                <w:numId w:val="0"/>
              </w:numPr>
              <w:spacing w:line="440" w:lineRule="exact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7775" w:type="dxa"/>
            <w:vAlign w:val="center"/>
          </w:tcPr>
          <w:p w14:paraId="64138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配套设施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ab/>
            </w:r>
          </w:p>
          <w:p w14:paraId="0E06C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采用OTN电路组网，并提供带宽相适应且可扩展的光口（以太口）接入用户局端网络设备。</w:t>
            </w:r>
          </w:p>
        </w:tc>
      </w:tr>
      <w:tr w14:paraId="17633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747" w:type="dxa"/>
            <w:vAlign w:val="center"/>
          </w:tcPr>
          <w:p w14:paraId="115FDBD5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7775" w:type="dxa"/>
            <w:vAlign w:val="center"/>
          </w:tcPr>
          <w:p w14:paraId="6D1F2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线路质量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</w:p>
          <w:p w14:paraId="440CB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纳入性能优良的承载网系统，并配置在系统中最高等级通道，确保线路的服务质量。业务信道测试满足24小时网管监测无误码，保护等级AA，保证可用率不低于99.95%。</w:t>
            </w:r>
          </w:p>
        </w:tc>
      </w:tr>
      <w:tr w14:paraId="62E3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425C89EC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7775" w:type="dxa"/>
            <w:vAlign w:val="center"/>
          </w:tcPr>
          <w:p w14:paraId="65B36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故障定位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</w:p>
          <w:p w14:paraId="37B3A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业务全程端到端支持故障快速定界定位。通过一套管理系统界面提供端到端业务指标可视化界面，包括所有业务完整传输路由拓扑结构、设备故障快速定界定位、网络资源可视、告警性能可视、带宽利用率等业务状态查询。</w:t>
            </w:r>
          </w:p>
        </w:tc>
      </w:tr>
      <w:tr w14:paraId="4BFC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3BAA597D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7775" w:type="dxa"/>
            <w:vAlign w:val="center"/>
          </w:tcPr>
          <w:p w14:paraId="61F35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告警监测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ab/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</w:p>
          <w:p w14:paraId="01306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告警实时不间断监测，出现告警可自动派单并按照保护等级要求高效处置；具备主备通道保护，当主用通道出现故障时，自动倒换至备用通道，倒换时间小于50ms。</w:t>
            </w:r>
          </w:p>
        </w:tc>
      </w:tr>
      <w:tr w14:paraId="634B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49034784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7775" w:type="dxa"/>
            <w:vAlign w:val="center"/>
          </w:tcPr>
          <w:p w14:paraId="7E72E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物理隔离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ab/>
            </w:r>
          </w:p>
          <w:p w14:paraId="4BA37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采用物理隔离的硬管道传输技术承载的专线。不接受PON/MPLS VPN/IPRAN/PTN 等IP类统计复用、逻辑隔离方式承载。</w:t>
            </w:r>
          </w:p>
        </w:tc>
      </w:tr>
      <w:tr w14:paraId="44CA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661F6C31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7775" w:type="dxa"/>
            <w:vAlign w:val="center"/>
          </w:tcPr>
          <w:p w14:paraId="0554E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网络资源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</w:p>
          <w:p w14:paraId="683B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有丰富的OTN网络资源，通过环路快速到达各院区，避免跳转节点过多的劣势，减少故障率，提升稳定性。且要求每个节点都是双路由，节点之间距离短，安全性高。可通过端到端 OTN 网络给使用方提供差异化的网络可用率方案，便于网络灵活扩展。</w:t>
            </w:r>
          </w:p>
        </w:tc>
      </w:tr>
      <w:tr w14:paraId="3192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685FCBC6">
            <w:pPr>
              <w:pStyle w:val="28"/>
              <w:numPr>
                <w:ilvl w:val="0"/>
                <w:numId w:val="4"/>
              </w:numPr>
              <w:spacing w:line="440" w:lineRule="exact"/>
              <w:ind w:firstLineChars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775" w:type="dxa"/>
            <w:vAlign w:val="center"/>
          </w:tcPr>
          <w:p w14:paraId="1E17C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default" w:ascii="宋体" w:hAnsi="宋体" w:eastAsia="宋体" w:cs="宋体"/>
                <w:bCs/>
                <w:i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 w:val="0"/>
                <w:sz w:val="24"/>
                <w:szCs w:val="24"/>
              </w:rPr>
              <w:t>1000M</w:t>
            </w:r>
            <w:r>
              <w:rPr>
                <w:rFonts w:hint="eastAsia" w:asciiTheme="majorEastAsia" w:hAnsiTheme="majorEastAsia" w:eastAsiaTheme="majorEastAsia"/>
                <w:b/>
                <w:bCs w:val="0"/>
                <w:sz w:val="24"/>
                <w:szCs w:val="24"/>
                <w:lang w:val="en-US" w:eastAsia="zh-CN"/>
              </w:rPr>
              <w:t>互联网</w:t>
            </w:r>
            <w:r>
              <w:rPr>
                <w:rFonts w:hint="eastAsia" w:asciiTheme="majorEastAsia" w:hAnsiTheme="majorEastAsia" w:eastAsiaTheme="majorEastAsia"/>
                <w:b/>
                <w:bCs w:val="0"/>
                <w:sz w:val="24"/>
                <w:szCs w:val="24"/>
              </w:rPr>
              <w:t>专线</w:t>
            </w:r>
            <w:r>
              <w:rPr>
                <w:rFonts w:hint="eastAsia" w:asciiTheme="majorEastAsia" w:hAnsiTheme="majorEastAsia" w:eastAsiaTheme="majorEastAsia"/>
                <w:b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73B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4E931443">
            <w:pPr>
              <w:pStyle w:val="28"/>
              <w:numPr>
                <w:ilvl w:val="0"/>
                <w:numId w:val="0"/>
              </w:numPr>
              <w:spacing w:line="440" w:lineRule="exact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7775" w:type="dxa"/>
            <w:vAlign w:val="center"/>
          </w:tcPr>
          <w:p w14:paraId="14165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性能特点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：</w:t>
            </w:r>
          </w:p>
          <w:p w14:paraId="5B3A1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IP包传输往返时延平均值≤200毫秒。</w:t>
            </w:r>
          </w:p>
          <w:p w14:paraId="2AC37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IP包传输往返时延指从一个平均包长的IP包的最后一个比特进入因特网业务接入点(A点)，到达对端的业务接入点(B点)，再返回进入时的接入点(A点)止的时间。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ab/>
            </w:r>
          </w:p>
          <w:p w14:paraId="7B679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IP包时延变化平均值≤80毫秒。</w:t>
            </w:r>
          </w:p>
          <w:p w14:paraId="75CD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IP包时延变化指在一段测量时间间隔内，IP包最大传输时延与IP包最小传输时延的差值。</w:t>
            </w:r>
          </w:p>
          <w:p w14:paraId="7DDED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IP包丢失率平均值≤2%。</w:t>
            </w:r>
          </w:p>
          <w:p w14:paraId="13137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IP包丢失率指IP包在两点间传输时丢失的概率。</w:t>
            </w:r>
          </w:p>
          <w:p w14:paraId="2EA68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IP业务可用性≥99.95％。</w:t>
            </w:r>
          </w:p>
          <w:p w14:paraId="60BF5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IP业务可用性指用户能够使用IP业务的时间与IP业务全部工作时间之比。在连续5分钟内，如果一个IP网络所提供业务的丢包率≤75％，则认为该时间段是可用的，否则是不可用的。</w:t>
            </w:r>
          </w:p>
        </w:tc>
      </w:tr>
      <w:tr w14:paraId="7CEA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0D052ABE">
            <w:pPr>
              <w:pStyle w:val="28"/>
              <w:numPr>
                <w:ilvl w:val="0"/>
                <w:numId w:val="0"/>
              </w:numPr>
              <w:spacing w:line="440" w:lineRule="exact"/>
              <w:ind w:leftChars="0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7775" w:type="dxa"/>
            <w:vAlign w:val="bottom"/>
          </w:tcPr>
          <w:p w14:paraId="72391A91">
            <w:pPr>
              <w:pStyle w:val="29"/>
              <w:spacing w:line="360" w:lineRule="auto"/>
              <w:ind w:firstLine="0" w:firstLineChars="0"/>
              <w:jc w:val="both"/>
              <w:rPr>
                <w:rFonts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要求线路可用性高于99%，承诺诺7×24小时的全面服务，30分钟故障响应时间，4小时内故障修复时间，并具有重大国际性项目保障案例的经验。</w:t>
            </w:r>
          </w:p>
        </w:tc>
      </w:tr>
      <w:tr w14:paraId="1CA2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7" w:type="dxa"/>
            <w:vAlign w:val="center"/>
          </w:tcPr>
          <w:p w14:paraId="5ADB381F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7775" w:type="dxa"/>
            <w:vAlign w:val="center"/>
          </w:tcPr>
          <w:p w14:paraId="0EE73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①上网专线上下行速率要求对等，且能提供固定公网IP地址。</w:t>
            </w:r>
          </w:p>
          <w:p w14:paraId="45437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②在系统和设备试运行期间，成交供应商应有技术人员在现场提供技术支持，特别是在采购人有重要任务使用该系统时，成交供应商应派资深技术人员提供技术保障服务，其所有费用成交供应商自理。</w:t>
            </w:r>
          </w:p>
          <w:p w14:paraId="59E16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③在服务期内，成交供应商的技术支持电话应保证7×24小时开通，每季度派员巡检1次。为保证服务正常运行，如因网络割接、系统升级、线路调整等原因必须中断服务，应提前通知。成交供应商应具有重大国际性项目保障案例的经验。</w:t>
            </w:r>
          </w:p>
          <w:p w14:paraId="4010E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④具备链路运行质量主动监控能力，当系统或设备发生故障时，成交供应商技术支持人员应接到电话即予响应，积极指导采购人相应人员排查故障；若无法解决问题，成交供应商应在2小时内派员到达现场，4小时内排除故障；若仍无法排除，应立即给予调换备件或整台设备，以保证采购人正常工作需要。完全独立的光纤连接，和其他公网用户无任何信息的交互，保证信息在该段路由上的完全保密。</w:t>
            </w:r>
          </w:p>
          <w:p w14:paraId="07529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⑤能提供网络安全保障措施，对主流的网络攻击行为有主动/被动防御控制措施。</w:t>
            </w:r>
          </w:p>
          <w:p w14:paraId="40B57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auto"/>
              <w:rPr>
                <w:rFonts w:ascii="宋体" w:hAnsi="宋体" w:cs="宋体"/>
                <w:bCs/>
                <w:i/>
                <w:color w:val="FF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⑥具有丰富的基础网运营管理经验 、经营经验和各种成熟的应用系统，并拥有分布最广的光纤网络。在传输通道上实现双路由，光纤传输节点环；在电力保障上，各节点及机房电源采用多级保护，保证了网络运行安全可靠。能及时主动动态发现故障信息、同时能对交换设备进行各项功能如模块、CPU等流量的性能分析信息、能进行性能数据的统计，为维护人员维护质量的提升提供数据依据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  <w:lang w:eastAsia="zh-CN"/>
              </w:rPr>
              <w:t>。</w:t>
            </w:r>
          </w:p>
        </w:tc>
      </w:tr>
    </w:tbl>
    <w:p w14:paraId="34401B11">
      <w:pPr>
        <w:pStyle w:val="2"/>
        <w:numPr>
          <w:ilvl w:val="0"/>
          <w:numId w:val="2"/>
        </w:numPr>
        <w:tabs>
          <w:tab w:val="left" w:pos="720"/>
          <w:tab w:val="left" w:pos="1980"/>
        </w:tabs>
        <w:spacing w:before="0" w:after="0" w:line="440" w:lineRule="exact"/>
        <w:outlineLvl w:val="0"/>
        <w:rPr>
          <w:rFonts w:hAnsi="宋体" w:cs="宋体"/>
          <w:sz w:val="21"/>
          <w:szCs w:val="21"/>
        </w:rPr>
      </w:pPr>
      <w:r>
        <w:rPr>
          <w:rFonts w:hint="eastAsia" w:hAnsi="宋体" w:cs="宋体"/>
          <w:sz w:val="21"/>
          <w:szCs w:val="21"/>
          <w:lang w:val="en-US" w:eastAsia="zh-CN"/>
        </w:rPr>
        <w:t>商务要求</w:t>
      </w:r>
    </w:p>
    <w:p w14:paraId="04FBA99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right="0" w:rightChars="0" w:hanging="425" w:firstLineChars="0"/>
        <w:textAlignment w:val="auto"/>
        <w:rPr>
          <w:rFonts w:hint="eastAsia" w:asciiTheme="majorEastAsia" w:hAnsiTheme="majorEastAsia" w:eastAsiaTheme="majorEastAsia"/>
          <w:bCs/>
          <w:sz w:val="24"/>
          <w:szCs w:val="24"/>
        </w:rPr>
      </w:pPr>
      <w:bookmarkStart w:id="0" w:name="_Toc5054"/>
      <w:bookmarkStart w:id="1" w:name="_Toc74682241"/>
      <w:bookmarkStart w:id="2" w:name="_Toc12410"/>
      <w:bookmarkStart w:id="3" w:name="_Toc24571258"/>
      <w:bookmarkStart w:id="4" w:name="_Toc38032939"/>
      <w:r>
        <w:rPr>
          <w:rFonts w:hint="eastAsia" w:asciiTheme="majorEastAsia" w:hAnsiTheme="majorEastAsia" w:eastAsiaTheme="majorEastAsia"/>
          <w:bCs/>
          <w:sz w:val="24"/>
          <w:szCs w:val="24"/>
        </w:rPr>
        <w:t>交付时间及要求：合同签订后10个工作日内提供服务</w:t>
      </w:r>
      <w:r>
        <w:rPr>
          <w:rFonts w:hint="eastAsia" w:asciiTheme="majorEastAsia" w:hAnsiTheme="majorEastAsia" w:eastAsiaTheme="majorEastAsia"/>
          <w:bCs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/>
          <w:bCs/>
          <w:sz w:val="24"/>
          <w:szCs w:val="24"/>
          <w:lang w:val="en-US" w:eastAsia="zh-CN"/>
        </w:rPr>
        <w:t>服务期自合同签订后一年。</w:t>
      </w:r>
    </w:p>
    <w:bookmarkEnd w:id="0"/>
    <w:bookmarkEnd w:id="1"/>
    <w:bookmarkEnd w:id="2"/>
    <w:bookmarkEnd w:id="3"/>
    <w:bookmarkEnd w:id="4"/>
    <w:p w14:paraId="4310E9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right="0" w:rightChars="0" w:hanging="425" w:firstLineChars="0"/>
        <w:textAlignment w:val="auto"/>
        <w:rPr>
          <w:rFonts w:hint="eastAsia" w:asciiTheme="majorEastAsia" w:hAnsiTheme="majorEastAsia" w:eastAsiaTheme="majorEastAsia"/>
          <w:bCs/>
          <w:sz w:val="24"/>
          <w:szCs w:val="24"/>
        </w:rPr>
      </w:pPr>
      <w:r>
        <w:rPr>
          <w:rFonts w:hint="eastAsia" w:asciiTheme="majorEastAsia" w:hAnsiTheme="majorEastAsia" w:eastAsiaTheme="majorEastAsia"/>
          <w:bCs/>
          <w:sz w:val="24"/>
          <w:szCs w:val="24"/>
        </w:rPr>
        <w:t>售后服务要求：提供7*24小时服务响应，对于常规线路自身故障，接到采购人通知后，OTN电路 2小时内完成修复，外网专线4小时内完成修复；由于自然灾害、市政施工等客观外力原因导致的线路故障，接到采购人通知后，12小时内完成修复，并优先恢复。</w:t>
      </w:r>
    </w:p>
    <w:p w14:paraId="786A25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rPr>
          <w:rFonts w:hint="eastAsia" w:asciiTheme="majorEastAsia" w:hAnsiTheme="majorEastAsia" w:eastAsiaTheme="majorEastAsia"/>
          <w:bCs/>
          <w:sz w:val="24"/>
          <w:szCs w:val="24"/>
        </w:rPr>
      </w:pPr>
    </w:p>
    <w:p w14:paraId="37B380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rPr>
          <w:rFonts w:hint="eastAsia" w:asciiTheme="majorEastAsia" w:hAnsiTheme="majorEastAsia" w:eastAsiaTheme="majorEastAsia"/>
          <w:bCs/>
          <w:sz w:val="24"/>
          <w:szCs w:val="24"/>
        </w:rPr>
      </w:pPr>
    </w:p>
    <w:p w14:paraId="5CA55BE4">
      <w:pPr>
        <w:pStyle w:val="2"/>
        <w:numPr>
          <w:ilvl w:val="0"/>
          <w:numId w:val="2"/>
        </w:numPr>
        <w:tabs>
          <w:tab w:val="left" w:pos="720"/>
          <w:tab w:val="left" w:pos="1980"/>
        </w:tabs>
        <w:spacing w:before="0" w:after="0" w:line="440" w:lineRule="exact"/>
        <w:outlineLvl w:val="0"/>
        <w:rPr>
          <w:rFonts w:hint="eastAsia" w:hAnsi="宋体" w:cs="宋体"/>
          <w:sz w:val="21"/>
          <w:szCs w:val="21"/>
          <w:lang w:val="en-US" w:eastAsia="zh-CN"/>
        </w:rPr>
      </w:pPr>
      <w:r>
        <w:rPr>
          <w:rFonts w:hint="eastAsia" w:hAnsi="宋体" w:cs="宋体"/>
          <w:sz w:val="21"/>
          <w:szCs w:val="21"/>
          <w:lang w:val="en-US" w:eastAsia="zh-CN"/>
        </w:rPr>
        <w:t>评审办法</w:t>
      </w:r>
    </w:p>
    <w:p w14:paraId="694992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rPr>
          <w:rFonts w:ascii="宋体" w:hAnsi="宋体" w:eastAsia="宋体"/>
          <w:color w:val="auto"/>
          <w:highlight w:val="none"/>
          <w:lang w:eastAsia="zh-CN"/>
        </w:rPr>
      </w:pP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（一）</w:t>
      </w:r>
      <w:r>
        <w:rPr>
          <w:rFonts w:ascii="宋体" w:hAnsi="宋体" w:eastAsia="宋体" w:cs="宋体"/>
          <w:b/>
          <w:bCs/>
          <w:color w:val="auto"/>
          <w:spacing w:val="-1"/>
          <w:sz w:val="24"/>
          <w:szCs w:val="24"/>
          <w:highlight w:val="none"/>
          <w:lang w:eastAsia="zh-CN"/>
        </w:rPr>
        <w:t>资信、商务及技术部分（</w:t>
      </w:r>
      <w:r>
        <w:rPr>
          <w:rFonts w:hint="eastAsia" w:ascii="宋体" w:hAnsi="宋体" w:cs="宋体"/>
          <w:b/>
          <w:bCs/>
          <w:color w:val="auto"/>
          <w:spacing w:val="-1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pacing w:val="-1"/>
          <w:sz w:val="24"/>
          <w:szCs w:val="24"/>
          <w:highlight w:val="none"/>
          <w:lang w:val="en-US" w:eastAsia="zh-CN"/>
        </w:rPr>
        <w:t>0</w:t>
      </w:r>
      <w:r>
        <w:rPr>
          <w:rFonts w:ascii="宋体" w:hAnsi="宋体" w:eastAsia="宋体" w:cs="宋体"/>
          <w:b/>
          <w:bCs/>
          <w:color w:val="auto"/>
          <w:spacing w:val="-1"/>
          <w:sz w:val="24"/>
          <w:szCs w:val="24"/>
          <w:highlight w:val="none"/>
          <w:lang w:eastAsia="zh-CN"/>
        </w:rPr>
        <w:t>分）</w:t>
      </w:r>
    </w:p>
    <w:tbl>
      <w:tblPr>
        <w:tblStyle w:val="21"/>
        <w:tblW w:w="861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7080"/>
        <w:gridCol w:w="731"/>
      </w:tblGrid>
      <w:tr w14:paraId="168550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10D54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7080" w:type="dxa"/>
            <w:vAlign w:val="center"/>
          </w:tcPr>
          <w:p w14:paraId="5B6088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731" w:type="dxa"/>
            <w:vAlign w:val="center"/>
          </w:tcPr>
          <w:p w14:paraId="7C1815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分值</w:t>
            </w:r>
          </w:p>
        </w:tc>
      </w:tr>
      <w:tr w14:paraId="6FFA45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624C3C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080" w:type="dxa"/>
            <w:vAlign w:val="center"/>
          </w:tcPr>
          <w:p w14:paraId="0C18CC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目前医院OTN的服务情况</w:t>
            </w:r>
          </w:p>
        </w:tc>
        <w:tc>
          <w:tcPr>
            <w:tcW w:w="731" w:type="dxa"/>
            <w:vAlign w:val="center"/>
          </w:tcPr>
          <w:p w14:paraId="14507E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分</w:t>
            </w:r>
          </w:p>
        </w:tc>
      </w:tr>
      <w:tr w14:paraId="3FB50D4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18DB2C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7080" w:type="dxa"/>
            <w:vAlign w:val="center"/>
          </w:tcPr>
          <w:p w14:paraId="59562D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</w:rPr>
              <w:t>供应商保障网络安全的相关措施（含分析安全隐患、预先防范等）</w:t>
            </w:r>
          </w:p>
        </w:tc>
        <w:tc>
          <w:tcPr>
            <w:tcW w:w="731" w:type="dxa"/>
            <w:vAlign w:val="center"/>
          </w:tcPr>
          <w:p w14:paraId="3F43E5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分</w:t>
            </w:r>
          </w:p>
        </w:tc>
      </w:tr>
      <w:tr w14:paraId="4C7BFF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0DE75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7080" w:type="dxa"/>
            <w:vAlign w:val="center"/>
          </w:tcPr>
          <w:p w14:paraId="7819B8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highlight w:val="none"/>
                <w:lang w:val="zh-TW" w:eastAsia="zh-TW"/>
              </w:rPr>
              <w:t>对供应商的综合实力进行考量（含内部管理制度、运营能力、对接人员、响应时效性等）</w:t>
            </w:r>
          </w:p>
        </w:tc>
        <w:tc>
          <w:tcPr>
            <w:tcW w:w="731" w:type="dxa"/>
            <w:vAlign w:val="center"/>
          </w:tcPr>
          <w:p w14:paraId="4412D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分</w:t>
            </w:r>
          </w:p>
        </w:tc>
      </w:tr>
      <w:tr w14:paraId="4AF374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vAlign w:val="center"/>
          </w:tcPr>
          <w:p w14:paraId="783C91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7080" w:type="dxa"/>
            <w:vAlign w:val="center"/>
          </w:tcPr>
          <w:p w14:paraId="492F67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</w:rPr>
              <w:t>线路的替换成本考量</w:t>
            </w:r>
          </w:p>
        </w:tc>
        <w:tc>
          <w:tcPr>
            <w:tcW w:w="731" w:type="dxa"/>
            <w:vAlign w:val="center"/>
          </w:tcPr>
          <w:p w14:paraId="533F08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分</w:t>
            </w:r>
          </w:p>
        </w:tc>
      </w:tr>
    </w:tbl>
    <w:p w14:paraId="0FC9CBFF">
      <w:pPr>
        <w:pStyle w:val="14"/>
        <w:ind w:left="0" w:leftChars="0" w:firstLine="0" w:firstLineChars="0"/>
        <w:jc w:val="left"/>
      </w:pPr>
    </w:p>
    <w:p w14:paraId="4BBEA6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outlineLvl w:val="0"/>
        <w:rPr>
          <w:rFonts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bookmarkStart w:id="5" w:name="bookmark11"/>
      <w:bookmarkEnd w:id="5"/>
      <w:r>
        <w:rPr>
          <w:rFonts w:ascii="宋体" w:hAnsi="宋体" w:eastAsia="宋体" w:cs="宋体"/>
          <w:b/>
          <w:bCs/>
          <w:color w:val="auto"/>
          <w:spacing w:val="-2"/>
          <w:sz w:val="24"/>
          <w:szCs w:val="24"/>
          <w:highlight w:val="none"/>
        </w:rPr>
        <w:t>（二）价格部分（</w:t>
      </w:r>
      <w:r>
        <w:rPr>
          <w:rFonts w:hint="eastAsia" w:ascii="宋体" w:hAnsi="宋体" w:cs="宋体"/>
          <w:b/>
          <w:bCs/>
          <w:color w:val="auto"/>
          <w:spacing w:val="-2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pacing w:val="-2"/>
          <w:sz w:val="24"/>
          <w:szCs w:val="24"/>
          <w:highlight w:val="none"/>
          <w:lang w:val="en-US" w:eastAsia="zh-CN"/>
        </w:rPr>
        <w:t>0</w:t>
      </w:r>
      <w:r>
        <w:rPr>
          <w:rFonts w:ascii="宋体" w:hAnsi="宋体" w:eastAsia="宋体" w:cs="宋体"/>
          <w:b/>
          <w:bCs/>
          <w:color w:val="auto"/>
          <w:spacing w:val="-2"/>
          <w:sz w:val="24"/>
          <w:szCs w:val="24"/>
          <w:highlight w:val="none"/>
        </w:rPr>
        <w:t>分）</w:t>
      </w:r>
    </w:p>
    <w:p w14:paraId="6007A5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rPr>
          <w:rFonts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ascii="宋体" w:hAnsi="宋体" w:eastAsia="宋体" w:cs="宋体"/>
          <w:color w:val="auto"/>
          <w:spacing w:val="-4"/>
          <w:position w:val="17"/>
          <w:sz w:val="24"/>
          <w:szCs w:val="24"/>
          <w:highlight w:val="none"/>
          <w:lang w:eastAsia="zh-CN"/>
        </w:rPr>
        <w:t>价格分采用低价优先法计算，即满足采购文件要求且报价最低的报价为评审基准</w:t>
      </w:r>
    </w:p>
    <w:p w14:paraId="38EDC5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rPr>
          <w:rFonts w:ascii="宋体" w:hAnsi="宋体" w:eastAsia="宋体"/>
          <w:color w:val="auto"/>
          <w:highlight w:val="none"/>
          <w:lang w:eastAsia="zh-CN"/>
        </w:rPr>
      </w:pPr>
      <w:r>
        <w:rPr>
          <w:rFonts w:ascii="宋体" w:hAnsi="宋体" w:eastAsia="宋体" w:cs="宋体"/>
          <w:color w:val="auto"/>
          <w:spacing w:val="-8"/>
          <w:sz w:val="24"/>
          <w:szCs w:val="24"/>
          <w:highlight w:val="none"/>
          <w:lang w:eastAsia="zh-CN"/>
        </w:rPr>
        <w:t>价，其价格分为满分。其他供应商的价格分按照下列公式计算：</w:t>
      </w:r>
    </w:p>
    <w:p w14:paraId="2CE053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rPr>
          <w:rFonts w:hint="eastAsia"/>
        </w:rPr>
      </w:pP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价格分=（评审基准价/报价）</w:t>
      </w:r>
      <w:r>
        <w:rPr>
          <w:rFonts w:hint="eastAsia" w:ascii="宋体" w:hAnsi="宋体" w:cs="宋体"/>
          <w:color w:val="auto"/>
          <w:spacing w:val="-1"/>
          <w:sz w:val="24"/>
          <w:szCs w:val="24"/>
          <w:highlight w:val="none"/>
          <w:u w:val="single"/>
          <w:lang w:val="en-US" w:eastAsia="zh-CN"/>
        </w:rPr>
        <w:t>4</w:t>
      </w: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u w:val="single"/>
          <w:lang w:eastAsia="zh-CN"/>
        </w:rPr>
        <w:t>0</w:t>
      </w: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%×100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lang w:eastAsia="zh-CN"/>
        </w:rPr>
        <w:t>。</w:t>
      </w:r>
    </w:p>
    <w:p w14:paraId="7D8501E0">
      <w:pPr>
        <w:rPr>
          <w:rFonts w:hint="eastAsia"/>
          <w:lang w:eastAsia="zh-CN"/>
        </w:rPr>
      </w:pPr>
    </w:p>
    <w:p w14:paraId="18875B9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B4966">
    <w:pPr>
      <w:spacing w:line="176" w:lineRule="auto"/>
      <w:ind w:left="4285"/>
      <w:rPr>
        <w:rFonts w:ascii="Times New Roman" w:hAnsi="Times New Roman" w:eastAsia="Times New Roman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0E1EB">
    <w:pPr>
      <w:pStyle w:val="17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5493FA"/>
    <w:multiLevelType w:val="singleLevel"/>
    <w:tmpl w:val="EA5493F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1ED59DE"/>
    <w:multiLevelType w:val="multilevel"/>
    <w:tmpl w:val="11ED59DE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b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68E802"/>
    <w:multiLevelType w:val="multilevel"/>
    <w:tmpl w:val="1468E802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6ED070F4"/>
    <w:multiLevelType w:val="multilevel"/>
    <w:tmpl w:val="6ED070F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46F1DD8"/>
    <w:multiLevelType w:val="multilevel"/>
    <w:tmpl w:val="746F1DD8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M2VmMDQ0ZWY0YTNmNTEyZTk4ZTlmNTJiYjZjNDkifQ=="/>
  </w:docVars>
  <w:rsids>
    <w:rsidRoot w:val="62C537D0"/>
    <w:rsid w:val="0014008A"/>
    <w:rsid w:val="00371AE8"/>
    <w:rsid w:val="006324E9"/>
    <w:rsid w:val="00B406C6"/>
    <w:rsid w:val="01145609"/>
    <w:rsid w:val="01FD42EF"/>
    <w:rsid w:val="037A0E7B"/>
    <w:rsid w:val="04C64E6C"/>
    <w:rsid w:val="04DE0759"/>
    <w:rsid w:val="061130EE"/>
    <w:rsid w:val="06B9037B"/>
    <w:rsid w:val="07060306"/>
    <w:rsid w:val="07177C01"/>
    <w:rsid w:val="077B0190"/>
    <w:rsid w:val="0A426D43"/>
    <w:rsid w:val="0B0A5387"/>
    <w:rsid w:val="0BE3070D"/>
    <w:rsid w:val="0C0F0EA7"/>
    <w:rsid w:val="0C1F08CC"/>
    <w:rsid w:val="0CBA3508"/>
    <w:rsid w:val="0D3A3D4E"/>
    <w:rsid w:val="0D3B5B37"/>
    <w:rsid w:val="0E4A08BC"/>
    <w:rsid w:val="0E997D92"/>
    <w:rsid w:val="0EC64E8C"/>
    <w:rsid w:val="0F474DFC"/>
    <w:rsid w:val="0FF46D31"/>
    <w:rsid w:val="10940AC7"/>
    <w:rsid w:val="10F42D61"/>
    <w:rsid w:val="12035A07"/>
    <w:rsid w:val="123329A8"/>
    <w:rsid w:val="134019B5"/>
    <w:rsid w:val="13F82B68"/>
    <w:rsid w:val="144D2785"/>
    <w:rsid w:val="146B6E96"/>
    <w:rsid w:val="14FB2794"/>
    <w:rsid w:val="15917EC2"/>
    <w:rsid w:val="15D65929"/>
    <w:rsid w:val="15E2587E"/>
    <w:rsid w:val="15E3417F"/>
    <w:rsid w:val="16551CB4"/>
    <w:rsid w:val="169B4AD4"/>
    <w:rsid w:val="17941423"/>
    <w:rsid w:val="17991F6C"/>
    <w:rsid w:val="196A0064"/>
    <w:rsid w:val="1C3D55BC"/>
    <w:rsid w:val="1CC57360"/>
    <w:rsid w:val="1CF91450"/>
    <w:rsid w:val="1E641526"/>
    <w:rsid w:val="2001757F"/>
    <w:rsid w:val="20CE368C"/>
    <w:rsid w:val="20EC3DF9"/>
    <w:rsid w:val="20F7669A"/>
    <w:rsid w:val="212136FE"/>
    <w:rsid w:val="24020C19"/>
    <w:rsid w:val="248024EA"/>
    <w:rsid w:val="24C150F7"/>
    <w:rsid w:val="24CD14A7"/>
    <w:rsid w:val="24CE1B5F"/>
    <w:rsid w:val="24F37552"/>
    <w:rsid w:val="25211CA6"/>
    <w:rsid w:val="25707987"/>
    <w:rsid w:val="25B05051"/>
    <w:rsid w:val="25C15D57"/>
    <w:rsid w:val="269E25E3"/>
    <w:rsid w:val="27870853"/>
    <w:rsid w:val="27E4394F"/>
    <w:rsid w:val="282D25A0"/>
    <w:rsid w:val="293F31BF"/>
    <w:rsid w:val="29B9293C"/>
    <w:rsid w:val="2A97058D"/>
    <w:rsid w:val="2BBD2276"/>
    <w:rsid w:val="2C5D0E17"/>
    <w:rsid w:val="2C7F44E0"/>
    <w:rsid w:val="2D6C23A1"/>
    <w:rsid w:val="30BD4AC6"/>
    <w:rsid w:val="314B3E80"/>
    <w:rsid w:val="33207396"/>
    <w:rsid w:val="34BA1A48"/>
    <w:rsid w:val="35057B79"/>
    <w:rsid w:val="358129D2"/>
    <w:rsid w:val="36C46BAE"/>
    <w:rsid w:val="36E04968"/>
    <w:rsid w:val="375A7CEE"/>
    <w:rsid w:val="38040A2A"/>
    <w:rsid w:val="38042FDA"/>
    <w:rsid w:val="386447F4"/>
    <w:rsid w:val="3B407FB0"/>
    <w:rsid w:val="3D6469F5"/>
    <w:rsid w:val="3D70539A"/>
    <w:rsid w:val="40E439A9"/>
    <w:rsid w:val="41EE52C6"/>
    <w:rsid w:val="442B227C"/>
    <w:rsid w:val="442E38B9"/>
    <w:rsid w:val="44496945"/>
    <w:rsid w:val="446612A5"/>
    <w:rsid w:val="45CD7010"/>
    <w:rsid w:val="46010231"/>
    <w:rsid w:val="47FD2F2A"/>
    <w:rsid w:val="484F02A2"/>
    <w:rsid w:val="487D75D0"/>
    <w:rsid w:val="48CF7884"/>
    <w:rsid w:val="49127618"/>
    <w:rsid w:val="4981448B"/>
    <w:rsid w:val="4AAF272A"/>
    <w:rsid w:val="4B031971"/>
    <w:rsid w:val="4B1B28C9"/>
    <w:rsid w:val="4E8B1908"/>
    <w:rsid w:val="4E8E65C1"/>
    <w:rsid w:val="4ECE395E"/>
    <w:rsid w:val="4ED07139"/>
    <w:rsid w:val="502D0D55"/>
    <w:rsid w:val="516536BC"/>
    <w:rsid w:val="518A3E23"/>
    <w:rsid w:val="53A70F92"/>
    <w:rsid w:val="548B440F"/>
    <w:rsid w:val="54F77E01"/>
    <w:rsid w:val="56020701"/>
    <w:rsid w:val="5988716F"/>
    <w:rsid w:val="59E05BD1"/>
    <w:rsid w:val="59E15D94"/>
    <w:rsid w:val="59FA4A19"/>
    <w:rsid w:val="5B0C3155"/>
    <w:rsid w:val="5B576E3F"/>
    <w:rsid w:val="5B971249"/>
    <w:rsid w:val="5D242D59"/>
    <w:rsid w:val="5DAA1CEA"/>
    <w:rsid w:val="5E18680E"/>
    <w:rsid w:val="5ECA264F"/>
    <w:rsid w:val="5F467B8C"/>
    <w:rsid w:val="5F5D174F"/>
    <w:rsid w:val="60044CF1"/>
    <w:rsid w:val="601D3EA4"/>
    <w:rsid w:val="6073131A"/>
    <w:rsid w:val="60787F3E"/>
    <w:rsid w:val="60947BC3"/>
    <w:rsid w:val="625642AF"/>
    <w:rsid w:val="62856942"/>
    <w:rsid w:val="62C537D0"/>
    <w:rsid w:val="62CE47C4"/>
    <w:rsid w:val="634452C5"/>
    <w:rsid w:val="65044496"/>
    <w:rsid w:val="65EF248D"/>
    <w:rsid w:val="661F36CD"/>
    <w:rsid w:val="66774DED"/>
    <w:rsid w:val="66AE5385"/>
    <w:rsid w:val="672136C2"/>
    <w:rsid w:val="69076303"/>
    <w:rsid w:val="691754D1"/>
    <w:rsid w:val="69DD3507"/>
    <w:rsid w:val="6B3E1F57"/>
    <w:rsid w:val="6B3F66BE"/>
    <w:rsid w:val="6C1070E6"/>
    <w:rsid w:val="6C671463"/>
    <w:rsid w:val="6C77554D"/>
    <w:rsid w:val="6C9F3C53"/>
    <w:rsid w:val="6CD14697"/>
    <w:rsid w:val="6D713242"/>
    <w:rsid w:val="6DFB21AE"/>
    <w:rsid w:val="6E870478"/>
    <w:rsid w:val="6F6638AC"/>
    <w:rsid w:val="713D663A"/>
    <w:rsid w:val="71A072F4"/>
    <w:rsid w:val="724C2CAB"/>
    <w:rsid w:val="7288521E"/>
    <w:rsid w:val="72CE1C3F"/>
    <w:rsid w:val="72E53E85"/>
    <w:rsid w:val="7334739B"/>
    <w:rsid w:val="73351CBE"/>
    <w:rsid w:val="74946BE8"/>
    <w:rsid w:val="750A5235"/>
    <w:rsid w:val="75EA4FE2"/>
    <w:rsid w:val="766525AC"/>
    <w:rsid w:val="76655245"/>
    <w:rsid w:val="77AD62C7"/>
    <w:rsid w:val="79102CB9"/>
    <w:rsid w:val="7A294354"/>
    <w:rsid w:val="7B344ADA"/>
    <w:rsid w:val="7CF16C56"/>
    <w:rsid w:val="7E351774"/>
    <w:rsid w:val="7EC62364"/>
    <w:rsid w:val="7F370B6C"/>
    <w:rsid w:val="7F637A7A"/>
    <w:rsid w:val="7FC9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240" w:lineRule="auto"/>
      <w:outlineLvl w:val="0"/>
    </w:pPr>
    <w:rPr>
      <w:rFonts w:asciiTheme="minorAscii" w:hAnsiTheme="minorAscii" w:eastAsiaTheme="minorEastAsia"/>
      <w:b/>
      <w:kern w:val="44"/>
      <w:sz w:val="32"/>
      <w:lang w:eastAsia="ja-JP"/>
    </w:rPr>
  </w:style>
  <w:style w:type="paragraph" w:styleId="3">
    <w:name w:val="heading 2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1"/>
        <w:numId w:val="1"/>
      </w:numPr>
      <w:spacing w:line="240" w:lineRule="auto"/>
      <w:outlineLvl w:val="1"/>
    </w:pPr>
    <w:rPr>
      <w:rFonts w:eastAsia="宋体" w:asciiTheme="majorAscii" w:hAnsiTheme="majorAscii" w:cstheme="majorBidi"/>
      <w:b/>
      <w:bCs/>
      <w:sz w:val="30"/>
      <w:szCs w:val="32"/>
      <w:lang w:eastAsia="ja-JP"/>
    </w:rPr>
  </w:style>
  <w:style w:type="paragraph" w:styleId="4">
    <w:name w:val="heading 3"/>
    <w:basedOn w:val="1"/>
    <w:next w:val="1"/>
    <w:link w:val="26"/>
    <w:autoRedefine/>
    <w:semiHidden/>
    <w:unhideWhenUsed/>
    <w:qFormat/>
    <w:uiPriority w:val="0"/>
    <w:pPr>
      <w:keepNext/>
      <w:keepLines/>
      <w:numPr>
        <w:ilvl w:val="2"/>
        <w:numId w:val="1"/>
      </w:numPr>
      <w:spacing w:line="0" w:lineRule="atLeast"/>
      <w:ind w:firstLine="400"/>
      <w:outlineLvl w:val="2"/>
    </w:pPr>
    <w:rPr>
      <w:rFonts w:eastAsia="宋体" w:asciiTheme="minorAscii" w:hAnsiTheme="minorAscii"/>
      <w:b/>
      <w:bCs/>
      <w:sz w:val="28"/>
      <w:szCs w:val="32"/>
      <w:lang w:eastAsia="ja-JP"/>
    </w:rPr>
  </w:style>
  <w:style w:type="paragraph" w:styleId="5">
    <w:name w:val="heading 4"/>
    <w:basedOn w:val="1"/>
    <w:next w:val="1"/>
    <w:link w:val="27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firstLine="402"/>
      <w:outlineLvl w:val="3"/>
    </w:pPr>
    <w:rPr>
      <w:rFonts w:eastAsia="宋体" w:asciiTheme="majorAscii" w:hAnsiTheme="majorAscii" w:cstheme="majorBidi"/>
      <w:bCs/>
      <w:sz w:val="21"/>
      <w:szCs w:val="28"/>
    </w:rPr>
  </w:style>
  <w:style w:type="paragraph" w:styleId="6">
    <w:name w:val="heading 5"/>
    <w:basedOn w:val="1"/>
    <w:next w:val="1"/>
    <w:link w:val="24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60" w:lineRule="auto"/>
      <w:ind w:firstLine="402"/>
      <w:outlineLvl w:val="4"/>
    </w:pPr>
    <w:rPr>
      <w:rFonts w:eastAsia="宋体" w:asciiTheme="minorAscii" w:hAnsiTheme="minorAscii"/>
      <w:bCs/>
      <w:sz w:val="21"/>
      <w:szCs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5"/>
    <w:basedOn w:val="1"/>
    <w:next w:val="1"/>
    <w:qFormat/>
    <w:uiPriority w:val="0"/>
    <w:pPr>
      <w:adjustRightInd/>
      <w:ind w:left="800" w:leftChars="800" w:firstLine="200"/>
    </w:pPr>
  </w:style>
  <w:style w:type="paragraph" w:styleId="12">
    <w:name w:val="annotation text"/>
    <w:basedOn w:val="1"/>
    <w:autoRedefine/>
    <w:qFormat/>
    <w:uiPriority w:val="0"/>
    <w:pPr>
      <w:jc w:val="left"/>
    </w:pPr>
  </w:style>
  <w:style w:type="paragraph" w:styleId="13">
    <w:name w:val="Body Text"/>
    <w:basedOn w:val="1"/>
    <w:next w:val="14"/>
    <w:unhideWhenUsed/>
    <w:qFormat/>
    <w:uiPriority w:val="99"/>
    <w:pPr>
      <w:adjustRightInd w:val="0"/>
      <w:spacing w:line="315" w:lineRule="atLeast"/>
      <w:jc w:val="left"/>
    </w:pPr>
    <w:rPr>
      <w:rFonts w:ascii="仿宋_GB2312" w:eastAsia="仿宋_GB2312"/>
      <w:kern w:val="0"/>
      <w:sz w:val="28"/>
      <w:szCs w:val="20"/>
    </w:rPr>
  </w:style>
  <w:style w:type="paragraph" w:styleId="14">
    <w:name w:val="Body Text First Indent"/>
    <w:basedOn w:val="13"/>
    <w:next w:val="15"/>
    <w:unhideWhenUsed/>
    <w:qFormat/>
    <w:uiPriority w:val="0"/>
    <w:pPr>
      <w:adjustRightInd/>
      <w:spacing w:after="120" w:line="240" w:lineRule="auto"/>
      <w:ind w:firstLine="100" w:firstLineChars="100"/>
      <w:jc w:val="both"/>
    </w:pPr>
    <w:rPr>
      <w:rFonts w:ascii="Times New Roman"/>
      <w:kern w:val="2"/>
      <w:sz w:val="21"/>
      <w:szCs w:val="24"/>
    </w:rPr>
  </w:style>
  <w:style w:type="paragraph" w:styleId="15">
    <w:name w:val="toc 6"/>
    <w:basedOn w:val="1"/>
    <w:next w:val="1"/>
    <w:unhideWhenUsed/>
    <w:qFormat/>
    <w:uiPriority w:val="39"/>
    <w:pPr>
      <w:ind w:left="1050"/>
      <w:jc w:val="left"/>
    </w:pPr>
    <w:rPr>
      <w:szCs w:val="21"/>
    </w:rPr>
  </w:style>
  <w:style w:type="paragraph" w:styleId="16">
    <w:name w:val="footer"/>
    <w:basedOn w:val="1"/>
    <w:next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toc 1"/>
    <w:basedOn w:val="1"/>
    <w:next w:val="1"/>
    <w:autoRedefine/>
    <w:qFormat/>
    <w:uiPriority w:val="0"/>
    <w:rPr>
      <w:rFonts w:asciiTheme="minorAscii" w:hAnsiTheme="minorAscii" w:eastAsiaTheme="minorEastAsia"/>
      <w:sz w:val="32"/>
      <w:szCs w:val="24"/>
    </w:rPr>
  </w:style>
  <w:style w:type="paragraph" w:styleId="19">
    <w:name w:val="toc 2"/>
    <w:basedOn w:val="1"/>
    <w:next w:val="1"/>
    <w:autoRedefine/>
    <w:qFormat/>
    <w:uiPriority w:val="0"/>
    <w:pPr>
      <w:ind w:left="420" w:leftChars="200"/>
    </w:pPr>
    <w:rPr>
      <w:rFonts w:asciiTheme="minorAscii" w:hAnsiTheme="minorAscii" w:eastAsiaTheme="minorEastAsia"/>
      <w:sz w:val="32"/>
      <w:szCs w:val="24"/>
    </w:rPr>
  </w:style>
  <w:style w:type="paragraph" w:styleId="20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标题 5 Char"/>
    <w:basedOn w:val="23"/>
    <w:link w:val="6"/>
    <w:autoRedefine/>
    <w:qFormat/>
    <w:uiPriority w:val="9"/>
    <w:rPr>
      <w:rFonts w:eastAsia="宋体" w:asciiTheme="minorAscii" w:hAnsiTheme="minorAscii"/>
      <w:bCs/>
      <w:sz w:val="21"/>
      <w:szCs w:val="28"/>
    </w:rPr>
  </w:style>
  <w:style w:type="character" w:customStyle="1" w:styleId="25">
    <w:name w:val="标题 2 Char"/>
    <w:basedOn w:val="23"/>
    <w:link w:val="3"/>
    <w:autoRedefine/>
    <w:qFormat/>
    <w:uiPriority w:val="0"/>
    <w:rPr>
      <w:rFonts w:eastAsia="宋体" w:asciiTheme="majorAscii" w:hAnsiTheme="majorAscii" w:cstheme="majorBidi"/>
      <w:b/>
      <w:bCs/>
      <w:sz w:val="32"/>
      <w:szCs w:val="32"/>
      <w:lang w:eastAsia="ja-JP"/>
    </w:rPr>
  </w:style>
  <w:style w:type="character" w:customStyle="1" w:styleId="26">
    <w:name w:val="标题 3 Char"/>
    <w:basedOn w:val="23"/>
    <w:link w:val="4"/>
    <w:autoRedefine/>
    <w:qFormat/>
    <w:uiPriority w:val="9"/>
    <w:rPr>
      <w:rFonts w:eastAsia="宋体" w:asciiTheme="minorAscii" w:hAnsiTheme="minorAscii"/>
      <w:b/>
      <w:bCs/>
      <w:sz w:val="32"/>
      <w:szCs w:val="32"/>
      <w:lang w:eastAsia="ja-JP"/>
    </w:rPr>
  </w:style>
  <w:style w:type="character" w:customStyle="1" w:styleId="27">
    <w:name w:val="标题 4 Char"/>
    <w:basedOn w:val="23"/>
    <w:link w:val="5"/>
    <w:autoRedefine/>
    <w:qFormat/>
    <w:uiPriority w:val="9"/>
    <w:rPr>
      <w:rFonts w:eastAsia="宋体" w:asciiTheme="majorAscii" w:hAnsiTheme="majorAscii" w:cstheme="majorBidi"/>
      <w:bCs/>
      <w:sz w:val="21"/>
      <w:szCs w:val="28"/>
    </w:rPr>
  </w:style>
  <w:style w:type="paragraph" w:styleId="28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9">
    <w:name w:val="表格"/>
    <w:basedOn w:val="1"/>
    <w:qFormat/>
    <w:uiPriority w:val="0"/>
    <w:pPr>
      <w:ind w:firstLine="0" w:firstLineChars="0"/>
      <w:jc w:val="center"/>
    </w:pPr>
    <w:rPr>
      <w:szCs w:val="21"/>
      <w:lang w:val="zh-CN"/>
    </w:rPr>
  </w:style>
  <w:style w:type="character" w:customStyle="1" w:styleId="30">
    <w:name w:val="font71"/>
    <w:basedOn w:val="23"/>
    <w:qFormat/>
    <w:uiPriority w:val="0"/>
    <w:rPr>
      <w:rFonts w:ascii="Arial" w:hAnsi="Arial" w:cs="Arial"/>
      <w:b/>
      <w:bCs/>
      <w:color w:val="000000"/>
      <w:sz w:val="21"/>
      <w:szCs w:val="21"/>
      <w:u w:val="none"/>
    </w:rPr>
  </w:style>
  <w:style w:type="character" w:customStyle="1" w:styleId="31">
    <w:name w:val="font11"/>
    <w:basedOn w:val="23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32">
    <w:name w:val="font21"/>
    <w:basedOn w:val="23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33">
    <w:name w:val="font31"/>
    <w:basedOn w:val="2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2509</Words>
  <Characters>2659</Characters>
  <Lines>0</Lines>
  <Paragraphs>0</Paragraphs>
  <TotalTime>6</TotalTime>
  <ScaleCrop>false</ScaleCrop>
  <LinksUpToDate>false</LinksUpToDate>
  <CharactersWithSpaces>2685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2023-12-06T00:25:00Z</dcterms:created>
  <dc:creator>zly</dc:creator>
  <cp:lastModifiedBy>周琳颖</cp:lastModifiedBy>
  <dcterms:modified xsi:type="dcterms:W3CDTF">2026-08-24T09:25:07Z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AC221AF553A9408190B212F8B3BE5A00_13</vt:lpwstr>
  </property>
  <property fmtid="{D5CDD505-2E9C-101B-9397-08002B2CF9AE}" pid="4" name="KSOTemplateDocerSaveRecord">
    <vt:lpwstr>eyJoZGlkIjoiYTYwMmM2YTUyODc3MGZhODIyZTQ5MTVkYzcwMjY2YTQiLCJ1c2VySWQiOiIxODA2ODM5NjI4In0=</vt:lpwstr>
  </property>
</Properties>
</file>