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405FF">
      <w:pPr>
        <w:pStyle w:val="54"/>
        <w:widowControl w:val="0"/>
        <w:snapToGrid w:val="0"/>
        <w:spacing w:line="360" w:lineRule="auto"/>
        <w:ind w:firstLine="418" w:firstLineChars="52"/>
        <w:jc w:val="center"/>
        <w:rPr>
          <w:rFonts w:ascii="宋体" w:hAnsi="宋体"/>
          <w:color w:val="auto"/>
          <w:sz w:val="80"/>
          <w:szCs w:val="80"/>
        </w:rPr>
      </w:pPr>
    </w:p>
    <w:p w14:paraId="19993E5F">
      <w:pPr>
        <w:pStyle w:val="54"/>
        <w:widowControl w:val="0"/>
        <w:snapToGrid w:val="0"/>
        <w:spacing w:line="360" w:lineRule="auto"/>
        <w:ind w:firstLine="418" w:firstLineChars="52"/>
        <w:jc w:val="center"/>
        <w:rPr>
          <w:rFonts w:ascii="宋体" w:hAnsi="宋体"/>
          <w:color w:val="auto"/>
          <w:sz w:val="80"/>
          <w:szCs w:val="80"/>
        </w:rPr>
      </w:pPr>
    </w:p>
    <w:p w14:paraId="28E57A2D">
      <w:pPr>
        <w:pStyle w:val="54"/>
        <w:widowControl w:val="0"/>
        <w:snapToGrid w:val="0"/>
        <w:spacing w:line="360" w:lineRule="auto"/>
        <w:ind w:firstLine="418" w:firstLineChars="52"/>
        <w:jc w:val="center"/>
        <w:rPr>
          <w:rFonts w:ascii="宋体" w:hAnsi="宋体"/>
          <w:color w:val="auto"/>
          <w:sz w:val="80"/>
          <w:szCs w:val="80"/>
        </w:rPr>
      </w:pPr>
      <w:r>
        <w:rPr>
          <w:rFonts w:hint="eastAsia" w:ascii="宋体" w:hAnsi="宋体"/>
          <w:color w:val="auto"/>
          <w:sz w:val="80"/>
          <w:szCs w:val="80"/>
        </w:rPr>
        <w:t>院内采购文件</w:t>
      </w:r>
    </w:p>
    <w:p w14:paraId="73D62895">
      <w:pPr>
        <w:pStyle w:val="54"/>
        <w:widowControl w:val="0"/>
        <w:snapToGrid w:val="0"/>
        <w:spacing w:line="360" w:lineRule="auto"/>
        <w:ind w:firstLine="0"/>
        <w:jc w:val="center"/>
        <w:rPr>
          <w:bCs/>
          <w:color w:val="auto"/>
          <w:kern w:val="2"/>
          <w:sz w:val="32"/>
          <w:szCs w:val="32"/>
        </w:rPr>
      </w:pPr>
    </w:p>
    <w:p w14:paraId="4822E8B8">
      <w:pPr>
        <w:pStyle w:val="54"/>
        <w:widowControl w:val="0"/>
        <w:snapToGrid w:val="0"/>
        <w:spacing w:line="360" w:lineRule="auto"/>
        <w:ind w:firstLine="0"/>
        <w:jc w:val="center"/>
        <w:rPr>
          <w:bCs/>
          <w:color w:val="auto"/>
          <w:kern w:val="2"/>
          <w:sz w:val="32"/>
          <w:szCs w:val="32"/>
        </w:rPr>
      </w:pPr>
    </w:p>
    <w:p w14:paraId="60CEAD87">
      <w:pPr>
        <w:pStyle w:val="54"/>
        <w:widowControl w:val="0"/>
        <w:snapToGrid w:val="0"/>
        <w:spacing w:line="360" w:lineRule="auto"/>
        <w:ind w:firstLine="0"/>
        <w:jc w:val="center"/>
        <w:rPr>
          <w:bCs/>
          <w:color w:val="auto"/>
          <w:kern w:val="2"/>
          <w:sz w:val="32"/>
          <w:szCs w:val="32"/>
        </w:rPr>
      </w:pPr>
    </w:p>
    <w:p w14:paraId="0376E400">
      <w:pPr>
        <w:pStyle w:val="54"/>
        <w:widowControl w:val="0"/>
        <w:snapToGrid w:val="0"/>
        <w:spacing w:line="360" w:lineRule="auto"/>
        <w:ind w:firstLine="0"/>
        <w:jc w:val="center"/>
        <w:rPr>
          <w:bCs/>
          <w:color w:val="auto"/>
          <w:kern w:val="2"/>
          <w:sz w:val="32"/>
          <w:szCs w:val="32"/>
        </w:rPr>
      </w:pPr>
    </w:p>
    <w:p w14:paraId="7B18D745">
      <w:pPr>
        <w:pStyle w:val="54"/>
        <w:widowControl w:val="0"/>
        <w:snapToGrid w:val="0"/>
        <w:spacing w:line="360" w:lineRule="auto"/>
        <w:ind w:firstLine="0"/>
        <w:jc w:val="center"/>
        <w:rPr>
          <w:rFonts w:hint="eastAsia" w:eastAsia="宋体"/>
          <w:bCs/>
          <w:color w:val="auto"/>
          <w:kern w:val="2"/>
          <w:sz w:val="32"/>
          <w:szCs w:val="32"/>
          <w:lang w:eastAsia="zh-CN"/>
        </w:rPr>
      </w:pPr>
      <w:r>
        <w:rPr>
          <w:rFonts w:hint="eastAsia"/>
          <w:bCs/>
          <w:color w:val="auto"/>
          <w:kern w:val="2"/>
          <w:sz w:val="32"/>
          <w:szCs w:val="32"/>
        </w:rPr>
        <w:t>项目名称：</w:t>
      </w:r>
      <w:r>
        <w:rPr>
          <w:rFonts w:hint="eastAsia"/>
          <w:bCs/>
          <w:color w:val="auto"/>
          <w:kern w:val="2"/>
          <w:sz w:val="32"/>
          <w:szCs w:val="32"/>
          <w:lang w:eastAsia="zh-CN"/>
        </w:rPr>
        <w:t>浙江省公立医院药械智慧监管监督系统医院自律端</w:t>
      </w:r>
    </w:p>
    <w:p w14:paraId="77C7A350">
      <w:pPr>
        <w:spacing w:line="360" w:lineRule="auto"/>
        <w:jc w:val="center"/>
        <w:rPr>
          <w:rFonts w:hint="eastAsia" w:ascii="宋体" w:hAnsi="宋体" w:eastAsia="宋体"/>
          <w:b/>
          <w:bCs/>
          <w:color w:val="auto"/>
          <w:sz w:val="32"/>
          <w:szCs w:val="32"/>
          <w:u w:val="single"/>
          <w:lang w:val="en-US" w:eastAsia="zh-CN"/>
        </w:rPr>
      </w:pPr>
      <w:r>
        <w:rPr>
          <w:b/>
          <w:bCs/>
          <w:color w:val="auto"/>
          <w:sz w:val="32"/>
          <w:szCs w:val="32"/>
        </w:rPr>
        <w:t>项目编号：</w:t>
      </w:r>
      <w:r>
        <w:rPr>
          <w:rFonts w:hint="eastAsia"/>
          <w:b/>
          <w:bCs/>
          <w:color w:val="auto"/>
          <w:sz w:val="32"/>
          <w:szCs w:val="32"/>
        </w:rPr>
        <w:t>CGZX-XXXM-2026091</w:t>
      </w:r>
      <w:r>
        <w:rPr>
          <w:rFonts w:hint="eastAsia"/>
          <w:b/>
          <w:bCs/>
          <w:color w:val="auto"/>
          <w:sz w:val="32"/>
          <w:szCs w:val="32"/>
          <w:lang w:val="en-US" w:eastAsia="zh-CN"/>
        </w:rPr>
        <w:t>6</w:t>
      </w:r>
    </w:p>
    <w:p w14:paraId="0BF5319E">
      <w:pPr>
        <w:pStyle w:val="54"/>
        <w:widowControl w:val="0"/>
        <w:snapToGrid w:val="0"/>
        <w:spacing w:line="360" w:lineRule="auto"/>
        <w:ind w:firstLine="0"/>
        <w:jc w:val="center"/>
        <w:rPr>
          <w:rFonts w:ascii="宋体" w:hAnsi="宋体"/>
          <w:color w:val="auto"/>
        </w:rPr>
      </w:pPr>
    </w:p>
    <w:p w14:paraId="61CDDF59">
      <w:pPr>
        <w:pStyle w:val="54"/>
        <w:spacing w:line="360" w:lineRule="auto"/>
        <w:ind w:firstLine="0"/>
        <w:jc w:val="center"/>
        <w:rPr>
          <w:rFonts w:ascii="宋体" w:hAnsi="宋体"/>
          <w:color w:val="auto"/>
          <w:sz w:val="32"/>
          <w:szCs w:val="32"/>
        </w:rPr>
      </w:pPr>
    </w:p>
    <w:p w14:paraId="462C0814">
      <w:pPr>
        <w:pStyle w:val="54"/>
        <w:spacing w:line="360" w:lineRule="auto"/>
        <w:ind w:firstLine="0"/>
        <w:jc w:val="center"/>
        <w:rPr>
          <w:rFonts w:ascii="宋体" w:hAnsi="宋体"/>
          <w:color w:val="auto"/>
          <w:sz w:val="32"/>
          <w:szCs w:val="32"/>
        </w:rPr>
      </w:pPr>
    </w:p>
    <w:p w14:paraId="3F387C41">
      <w:pPr>
        <w:pStyle w:val="54"/>
        <w:spacing w:line="360" w:lineRule="auto"/>
        <w:ind w:firstLine="0"/>
        <w:jc w:val="center"/>
        <w:rPr>
          <w:rFonts w:ascii="宋体" w:hAnsi="宋体"/>
          <w:color w:val="auto"/>
          <w:sz w:val="32"/>
          <w:szCs w:val="32"/>
        </w:rPr>
      </w:pPr>
    </w:p>
    <w:p w14:paraId="0088C1D9">
      <w:pPr>
        <w:pStyle w:val="54"/>
        <w:spacing w:line="360" w:lineRule="auto"/>
        <w:ind w:firstLine="0"/>
        <w:jc w:val="center"/>
        <w:rPr>
          <w:rFonts w:ascii="宋体" w:hAnsi="宋体"/>
          <w:color w:val="auto"/>
          <w:sz w:val="32"/>
          <w:szCs w:val="32"/>
        </w:rPr>
      </w:pPr>
    </w:p>
    <w:p w14:paraId="272A1544">
      <w:pPr>
        <w:pStyle w:val="54"/>
        <w:spacing w:line="360" w:lineRule="auto"/>
        <w:ind w:firstLine="0"/>
        <w:jc w:val="center"/>
        <w:rPr>
          <w:rFonts w:ascii="宋体" w:hAnsi="宋体"/>
          <w:color w:val="auto"/>
          <w:sz w:val="32"/>
          <w:szCs w:val="32"/>
        </w:rPr>
      </w:pPr>
    </w:p>
    <w:p w14:paraId="7E9D4433">
      <w:pPr>
        <w:pStyle w:val="54"/>
        <w:spacing w:line="360" w:lineRule="auto"/>
        <w:ind w:firstLine="0"/>
        <w:jc w:val="center"/>
        <w:rPr>
          <w:rFonts w:ascii="宋体" w:hAnsi="宋体"/>
          <w:color w:val="auto"/>
          <w:sz w:val="32"/>
          <w:szCs w:val="32"/>
        </w:rPr>
      </w:pPr>
      <w:r>
        <w:rPr>
          <w:rFonts w:hint="eastAsia" w:ascii="宋体" w:hAnsi="宋体"/>
          <w:color w:val="auto"/>
          <w:sz w:val="32"/>
          <w:szCs w:val="32"/>
        </w:rPr>
        <w:t>采购单位：浙江大学医学院附属妇产科医院</w:t>
      </w:r>
    </w:p>
    <w:p w14:paraId="7FC64468">
      <w:pPr>
        <w:pStyle w:val="54"/>
        <w:spacing w:line="360" w:lineRule="auto"/>
        <w:ind w:firstLine="0"/>
        <w:jc w:val="center"/>
        <w:rPr>
          <w:rFonts w:ascii="宋体" w:hAnsi="宋体"/>
          <w:color w:val="auto"/>
          <w:sz w:val="32"/>
          <w:szCs w:val="32"/>
        </w:rPr>
      </w:pPr>
      <w:r>
        <w:rPr>
          <w:rFonts w:hint="eastAsia" w:ascii="宋体" w:hAnsi="宋体"/>
          <w:color w:val="auto"/>
          <w:sz w:val="32"/>
          <w:szCs w:val="32"/>
        </w:rPr>
        <w:t>二〇二</w:t>
      </w:r>
      <w:r>
        <w:rPr>
          <w:rFonts w:hint="eastAsia" w:ascii="宋体" w:hAnsi="宋体"/>
          <w:color w:val="auto"/>
          <w:sz w:val="32"/>
          <w:szCs w:val="32"/>
          <w:lang w:val="en-US" w:eastAsia="zh-CN"/>
        </w:rPr>
        <w:t>六</w:t>
      </w:r>
      <w:r>
        <w:rPr>
          <w:rFonts w:ascii="宋体" w:hAnsi="宋体"/>
          <w:color w:val="auto"/>
          <w:sz w:val="32"/>
          <w:szCs w:val="32"/>
        </w:rPr>
        <w:t>年</w:t>
      </w:r>
      <w:r>
        <w:rPr>
          <w:rFonts w:hint="eastAsia" w:ascii="宋体" w:hAnsi="宋体"/>
          <w:color w:val="auto"/>
          <w:sz w:val="32"/>
          <w:szCs w:val="32"/>
          <w:lang w:val="en-US" w:eastAsia="zh-CN"/>
        </w:rPr>
        <w:t>九</w:t>
      </w:r>
      <w:r>
        <w:rPr>
          <w:rFonts w:ascii="宋体" w:hAnsi="宋体"/>
          <w:color w:val="auto"/>
          <w:sz w:val="32"/>
          <w:szCs w:val="32"/>
        </w:rPr>
        <w:t>月</w:t>
      </w:r>
    </w:p>
    <w:p w14:paraId="0330AC62">
      <w:pPr>
        <w:jc w:val="center"/>
        <w:rPr>
          <w:b/>
          <w:bCs/>
          <w:color w:val="auto"/>
          <w:sz w:val="32"/>
        </w:rPr>
      </w:pPr>
    </w:p>
    <w:p w14:paraId="61665D89">
      <w:pPr>
        <w:widowControl/>
        <w:jc w:val="center"/>
        <w:rPr>
          <w:b/>
          <w:bCs/>
          <w:color w:val="auto"/>
          <w:sz w:val="48"/>
          <w:szCs w:val="48"/>
        </w:rPr>
      </w:pPr>
      <w:r>
        <w:rPr>
          <w:rFonts w:hint="eastAsia"/>
          <w:b/>
          <w:bCs/>
          <w:color w:val="auto"/>
          <w:sz w:val="48"/>
          <w:szCs w:val="48"/>
        </w:rPr>
        <w:t>目  录</w:t>
      </w:r>
    </w:p>
    <w:p w14:paraId="08DBA348">
      <w:pPr>
        <w:jc w:val="center"/>
        <w:rPr>
          <w:b/>
          <w:bCs/>
          <w:color w:val="auto"/>
          <w:sz w:val="32"/>
        </w:rPr>
      </w:pPr>
    </w:p>
    <w:sdt>
      <w:sdtPr>
        <w:rPr>
          <w:rFonts w:ascii="Times New Roman" w:hAnsi="Times New Roman" w:eastAsia="宋体" w:cs="Times New Roman"/>
          <w:color w:val="auto"/>
          <w:kern w:val="2"/>
          <w:sz w:val="21"/>
          <w:szCs w:val="24"/>
          <w:lang w:val="zh-CN"/>
        </w:rPr>
        <w:id w:val="1608002201"/>
        <w:docPartObj>
          <w:docPartGallery w:val="Table of Contents"/>
          <w:docPartUnique/>
        </w:docPartObj>
      </w:sdtPr>
      <w:sdtEndPr>
        <w:rPr>
          <w:rFonts w:cs="Times New Roman" w:asciiTheme="minorEastAsia" w:hAnsiTheme="minorEastAsia" w:eastAsiaTheme="minorEastAsia"/>
          <w:b/>
          <w:bCs/>
          <w:color w:val="auto"/>
          <w:kern w:val="2"/>
          <w:sz w:val="30"/>
          <w:szCs w:val="30"/>
          <w:lang w:val="zh-CN"/>
        </w:rPr>
      </w:sdtEndPr>
      <w:sdtContent>
        <w:p w14:paraId="221F0AB2">
          <w:pPr>
            <w:pStyle w:val="55"/>
            <w:rPr>
              <w:color w:val="auto"/>
              <w:sz w:val="28"/>
              <w:szCs w:val="28"/>
            </w:rPr>
          </w:pPr>
        </w:p>
        <w:p w14:paraId="00CE5C87">
          <w:pPr>
            <w:pStyle w:val="15"/>
            <w:tabs>
              <w:tab w:val="right" w:leader="dot" w:pos="8306"/>
            </w:tabs>
            <w:rPr>
              <w:color w:val="auto"/>
              <w:sz w:val="28"/>
              <w:szCs w:val="28"/>
            </w:rPr>
          </w:pPr>
          <w:r>
            <w:rPr>
              <w:rFonts w:asciiTheme="minorEastAsia" w:hAnsiTheme="minorEastAsia" w:eastAsiaTheme="minorEastAsia"/>
              <w:b/>
              <w:color w:val="auto"/>
              <w:sz w:val="28"/>
              <w:szCs w:val="28"/>
            </w:rPr>
            <w:fldChar w:fldCharType="begin"/>
          </w:r>
          <w:r>
            <w:rPr>
              <w:rFonts w:asciiTheme="minorEastAsia" w:hAnsiTheme="minorEastAsia" w:eastAsiaTheme="minorEastAsia"/>
              <w:b/>
              <w:color w:val="auto"/>
              <w:sz w:val="28"/>
              <w:szCs w:val="28"/>
            </w:rPr>
            <w:instrText xml:space="preserve"> TOC \o "1-3" \h \z \u </w:instrText>
          </w:r>
          <w:r>
            <w:rPr>
              <w:rFonts w:asciiTheme="minorEastAsia" w:hAnsiTheme="minorEastAsia" w:eastAsiaTheme="minorEastAsia"/>
              <w:b/>
              <w:color w:val="auto"/>
              <w:sz w:val="28"/>
              <w:szCs w:val="28"/>
            </w:rPr>
            <w:fldChar w:fldCharType="separate"/>
          </w:r>
          <w:r>
            <w:rPr>
              <w:rFonts w:asciiTheme="minorEastAsia" w:hAnsiTheme="minorEastAsia" w:eastAsiaTheme="minorEastAsia"/>
              <w:color w:val="auto"/>
              <w:sz w:val="28"/>
              <w:szCs w:val="28"/>
            </w:rPr>
            <w:fldChar w:fldCharType="begin"/>
          </w:r>
          <w:r>
            <w:rPr>
              <w:rFonts w:asciiTheme="minorEastAsia" w:hAnsiTheme="minorEastAsia" w:eastAsiaTheme="minorEastAsia"/>
              <w:color w:val="auto"/>
              <w:sz w:val="28"/>
              <w:szCs w:val="28"/>
            </w:rPr>
            <w:instrText xml:space="preserve"> HYPERLINK \l _Toc16023 </w:instrText>
          </w:r>
          <w:r>
            <w:rPr>
              <w:rFonts w:asciiTheme="minorEastAsia" w:hAnsiTheme="minorEastAsia" w:eastAsiaTheme="minorEastAsia"/>
              <w:color w:val="auto"/>
              <w:sz w:val="28"/>
              <w:szCs w:val="28"/>
            </w:rPr>
            <w:fldChar w:fldCharType="separate"/>
          </w:r>
          <w:r>
            <w:rPr>
              <w:rFonts w:hint="eastAsia"/>
              <w:color w:val="auto"/>
              <w:sz w:val="28"/>
              <w:szCs w:val="28"/>
            </w:rPr>
            <w:t xml:space="preserve">第一章 </w:t>
          </w:r>
          <w:r>
            <w:rPr>
              <w:color w:val="auto"/>
              <w:sz w:val="28"/>
              <w:szCs w:val="28"/>
            </w:rPr>
            <w:t>采购公告</w:t>
          </w:r>
          <w:r>
            <w:rPr>
              <w:color w:val="auto"/>
              <w:sz w:val="28"/>
              <w:szCs w:val="28"/>
            </w:rPr>
            <w:tab/>
          </w:r>
          <w:r>
            <w:rPr>
              <w:color w:val="auto"/>
              <w:sz w:val="28"/>
              <w:szCs w:val="28"/>
            </w:rPr>
            <w:fldChar w:fldCharType="begin"/>
          </w:r>
          <w:r>
            <w:rPr>
              <w:color w:val="auto"/>
              <w:sz w:val="28"/>
              <w:szCs w:val="28"/>
            </w:rPr>
            <w:instrText xml:space="preserve"> PAGEREF _Toc16023 \h </w:instrText>
          </w:r>
          <w:r>
            <w:rPr>
              <w:color w:val="auto"/>
              <w:sz w:val="28"/>
              <w:szCs w:val="28"/>
            </w:rPr>
            <w:fldChar w:fldCharType="separate"/>
          </w:r>
          <w:r>
            <w:rPr>
              <w:color w:val="auto"/>
              <w:sz w:val="28"/>
              <w:szCs w:val="28"/>
            </w:rPr>
            <w:t>- 1 -</w:t>
          </w:r>
          <w:r>
            <w:rPr>
              <w:color w:val="auto"/>
              <w:sz w:val="28"/>
              <w:szCs w:val="28"/>
            </w:rPr>
            <w:fldChar w:fldCharType="end"/>
          </w:r>
          <w:r>
            <w:rPr>
              <w:rFonts w:asciiTheme="minorEastAsia" w:hAnsiTheme="minorEastAsia" w:eastAsiaTheme="minorEastAsia"/>
              <w:color w:val="auto"/>
              <w:sz w:val="28"/>
              <w:szCs w:val="28"/>
            </w:rPr>
            <w:fldChar w:fldCharType="end"/>
          </w:r>
        </w:p>
        <w:p w14:paraId="5DCAD125">
          <w:pPr>
            <w:pStyle w:val="15"/>
            <w:tabs>
              <w:tab w:val="right" w:leader="dot" w:pos="8306"/>
            </w:tabs>
            <w:rPr>
              <w:color w:val="auto"/>
              <w:sz w:val="28"/>
              <w:szCs w:val="28"/>
            </w:rPr>
          </w:pPr>
          <w:r>
            <w:rPr>
              <w:rFonts w:asciiTheme="minorEastAsia" w:hAnsiTheme="minorEastAsia" w:eastAsiaTheme="minorEastAsia"/>
              <w:bCs/>
              <w:color w:val="auto"/>
              <w:sz w:val="28"/>
              <w:szCs w:val="28"/>
              <w:lang w:val="zh-CN"/>
            </w:rPr>
            <w:fldChar w:fldCharType="begin"/>
          </w:r>
          <w:r>
            <w:rPr>
              <w:rFonts w:asciiTheme="minorEastAsia" w:hAnsiTheme="minorEastAsia" w:eastAsiaTheme="minorEastAsia"/>
              <w:bCs/>
              <w:color w:val="auto"/>
              <w:sz w:val="28"/>
              <w:szCs w:val="28"/>
              <w:lang w:val="zh-CN"/>
            </w:rPr>
            <w:instrText xml:space="preserve"> HYPERLINK \l _Toc9951 </w:instrText>
          </w:r>
          <w:r>
            <w:rPr>
              <w:rFonts w:asciiTheme="minorEastAsia" w:hAnsiTheme="minorEastAsia" w:eastAsiaTheme="minorEastAsia"/>
              <w:bCs/>
              <w:color w:val="auto"/>
              <w:sz w:val="28"/>
              <w:szCs w:val="28"/>
              <w:lang w:val="zh-CN"/>
            </w:rPr>
            <w:fldChar w:fldCharType="separate"/>
          </w:r>
          <w:r>
            <w:rPr>
              <w:rFonts w:hint="eastAsia"/>
              <w:color w:val="auto"/>
              <w:sz w:val="28"/>
              <w:szCs w:val="28"/>
            </w:rPr>
            <w:t xml:space="preserve">第二章 </w:t>
          </w:r>
          <w:r>
            <w:rPr>
              <w:color w:val="auto"/>
              <w:sz w:val="28"/>
              <w:szCs w:val="28"/>
            </w:rPr>
            <w:t>采购内容</w:t>
          </w:r>
          <w:r>
            <w:rPr>
              <w:rFonts w:hint="eastAsia"/>
              <w:color w:val="auto"/>
              <w:sz w:val="28"/>
              <w:szCs w:val="28"/>
            </w:rPr>
            <w:t>及</w:t>
          </w:r>
          <w:r>
            <w:rPr>
              <w:color w:val="auto"/>
              <w:sz w:val="28"/>
              <w:szCs w:val="28"/>
            </w:rPr>
            <w:t>需求</w:t>
          </w:r>
          <w:r>
            <w:rPr>
              <w:color w:val="auto"/>
              <w:sz w:val="28"/>
              <w:szCs w:val="28"/>
            </w:rPr>
            <w:tab/>
          </w:r>
          <w:r>
            <w:rPr>
              <w:color w:val="auto"/>
              <w:sz w:val="28"/>
              <w:szCs w:val="28"/>
            </w:rPr>
            <w:fldChar w:fldCharType="begin"/>
          </w:r>
          <w:r>
            <w:rPr>
              <w:color w:val="auto"/>
              <w:sz w:val="28"/>
              <w:szCs w:val="28"/>
            </w:rPr>
            <w:instrText xml:space="preserve"> PAGEREF _Toc9951 \h </w:instrText>
          </w:r>
          <w:r>
            <w:rPr>
              <w:color w:val="auto"/>
              <w:sz w:val="28"/>
              <w:szCs w:val="28"/>
            </w:rPr>
            <w:fldChar w:fldCharType="separate"/>
          </w:r>
          <w:r>
            <w:rPr>
              <w:color w:val="auto"/>
              <w:sz w:val="28"/>
              <w:szCs w:val="28"/>
            </w:rPr>
            <w:t>- 2 -</w:t>
          </w:r>
          <w:r>
            <w:rPr>
              <w:color w:val="auto"/>
              <w:sz w:val="28"/>
              <w:szCs w:val="28"/>
            </w:rPr>
            <w:fldChar w:fldCharType="end"/>
          </w:r>
          <w:r>
            <w:rPr>
              <w:rFonts w:asciiTheme="minorEastAsia" w:hAnsiTheme="minorEastAsia" w:eastAsiaTheme="minorEastAsia"/>
              <w:bCs/>
              <w:color w:val="auto"/>
              <w:sz w:val="28"/>
              <w:szCs w:val="28"/>
              <w:lang w:val="zh-CN"/>
            </w:rPr>
            <w:fldChar w:fldCharType="end"/>
          </w:r>
        </w:p>
        <w:p w14:paraId="04942EA9">
          <w:pPr>
            <w:pStyle w:val="15"/>
            <w:tabs>
              <w:tab w:val="right" w:leader="dot" w:pos="8306"/>
            </w:tabs>
            <w:rPr>
              <w:color w:val="auto"/>
              <w:sz w:val="28"/>
              <w:szCs w:val="28"/>
            </w:rPr>
          </w:pPr>
          <w:r>
            <w:rPr>
              <w:rFonts w:asciiTheme="minorEastAsia" w:hAnsiTheme="minorEastAsia" w:eastAsiaTheme="minorEastAsia"/>
              <w:bCs/>
              <w:color w:val="auto"/>
              <w:sz w:val="28"/>
              <w:szCs w:val="28"/>
              <w:lang w:val="zh-CN"/>
            </w:rPr>
            <w:fldChar w:fldCharType="begin"/>
          </w:r>
          <w:r>
            <w:rPr>
              <w:rFonts w:asciiTheme="minorEastAsia" w:hAnsiTheme="minorEastAsia" w:eastAsiaTheme="minorEastAsia"/>
              <w:bCs/>
              <w:color w:val="auto"/>
              <w:sz w:val="28"/>
              <w:szCs w:val="28"/>
              <w:lang w:val="zh-CN"/>
            </w:rPr>
            <w:instrText xml:space="preserve"> HYPERLINK \l _Toc30692 </w:instrText>
          </w:r>
          <w:r>
            <w:rPr>
              <w:rFonts w:asciiTheme="minorEastAsia" w:hAnsiTheme="minorEastAsia" w:eastAsiaTheme="minorEastAsia"/>
              <w:bCs/>
              <w:color w:val="auto"/>
              <w:sz w:val="28"/>
              <w:szCs w:val="28"/>
              <w:lang w:val="zh-CN"/>
            </w:rPr>
            <w:fldChar w:fldCharType="separate"/>
          </w:r>
          <w:r>
            <w:rPr>
              <w:rFonts w:hint="eastAsia" w:eastAsia="宋体"/>
              <w:color w:val="auto"/>
              <w:sz w:val="28"/>
              <w:szCs w:val="28"/>
            </w:rPr>
            <w:t>第三章 评审办法</w:t>
          </w:r>
          <w:r>
            <w:rPr>
              <w:color w:val="auto"/>
              <w:sz w:val="28"/>
              <w:szCs w:val="28"/>
            </w:rPr>
            <w:tab/>
          </w:r>
          <w:r>
            <w:rPr>
              <w:color w:val="auto"/>
              <w:sz w:val="28"/>
              <w:szCs w:val="28"/>
            </w:rPr>
            <w:fldChar w:fldCharType="begin"/>
          </w:r>
          <w:r>
            <w:rPr>
              <w:color w:val="auto"/>
              <w:sz w:val="28"/>
              <w:szCs w:val="28"/>
            </w:rPr>
            <w:instrText xml:space="preserve"> PAGEREF _Toc30692 \h </w:instrText>
          </w:r>
          <w:r>
            <w:rPr>
              <w:color w:val="auto"/>
              <w:sz w:val="28"/>
              <w:szCs w:val="28"/>
            </w:rPr>
            <w:fldChar w:fldCharType="separate"/>
          </w:r>
          <w:r>
            <w:rPr>
              <w:color w:val="auto"/>
              <w:sz w:val="28"/>
              <w:szCs w:val="28"/>
            </w:rPr>
            <w:t>- 6 -</w:t>
          </w:r>
          <w:r>
            <w:rPr>
              <w:color w:val="auto"/>
              <w:sz w:val="28"/>
              <w:szCs w:val="28"/>
            </w:rPr>
            <w:fldChar w:fldCharType="end"/>
          </w:r>
          <w:r>
            <w:rPr>
              <w:rFonts w:asciiTheme="minorEastAsia" w:hAnsiTheme="minorEastAsia" w:eastAsiaTheme="minorEastAsia"/>
              <w:bCs/>
              <w:color w:val="auto"/>
              <w:sz w:val="28"/>
              <w:szCs w:val="28"/>
              <w:lang w:val="zh-CN"/>
            </w:rPr>
            <w:fldChar w:fldCharType="end"/>
          </w:r>
        </w:p>
        <w:p w14:paraId="48E562D3">
          <w:pPr>
            <w:pStyle w:val="15"/>
            <w:tabs>
              <w:tab w:val="right" w:leader="dot" w:pos="8306"/>
            </w:tabs>
            <w:rPr>
              <w:color w:val="auto"/>
              <w:sz w:val="28"/>
              <w:szCs w:val="28"/>
            </w:rPr>
          </w:pPr>
          <w:r>
            <w:rPr>
              <w:rFonts w:asciiTheme="minorEastAsia" w:hAnsiTheme="minorEastAsia" w:eastAsiaTheme="minorEastAsia"/>
              <w:bCs/>
              <w:color w:val="auto"/>
              <w:sz w:val="28"/>
              <w:szCs w:val="28"/>
              <w:lang w:val="zh-CN"/>
            </w:rPr>
            <w:fldChar w:fldCharType="begin"/>
          </w:r>
          <w:r>
            <w:rPr>
              <w:rFonts w:asciiTheme="minorEastAsia" w:hAnsiTheme="minorEastAsia" w:eastAsiaTheme="minorEastAsia"/>
              <w:bCs/>
              <w:color w:val="auto"/>
              <w:sz w:val="28"/>
              <w:szCs w:val="28"/>
              <w:lang w:val="zh-CN"/>
            </w:rPr>
            <w:instrText xml:space="preserve"> HYPERLINK \l _Toc31724 </w:instrText>
          </w:r>
          <w:r>
            <w:rPr>
              <w:rFonts w:asciiTheme="minorEastAsia" w:hAnsiTheme="minorEastAsia" w:eastAsiaTheme="minorEastAsia"/>
              <w:bCs/>
              <w:color w:val="auto"/>
              <w:sz w:val="28"/>
              <w:szCs w:val="28"/>
              <w:lang w:val="zh-CN"/>
            </w:rPr>
            <w:fldChar w:fldCharType="separate"/>
          </w:r>
          <w:r>
            <w:rPr>
              <w:rFonts w:hint="eastAsia" w:eastAsia="宋体"/>
              <w:color w:val="auto"/>
              <w:sz w:val="28"/>
              <w:szCs w:val="28"/>
            </w:rPr>
            <w:t>第四章 响应文件格式</w:t>
          </w:r>
          <w:r>
            <w:rPr>
              <w:color w:val="auto"/>
              <w:sz w:val="28"/>
              <w:szCs w:val="28"/>
            </w:rPr>
            <w:tab/>
          </w:r>
          <w:r>
            <w:rPr>
              <w:color w:val="auto"/>
              <w:sz w:val="28"/>
              <w:szCs w:val="28"/>
            </w:rPr>
            <w:fldChar w:fldCharType="begin"/>
          </w:r>
          <w:r>
            <w:rPr>
              <w:color w:val="auto"/>
              <w:sz w:val="28"/>
              <w:szCs w:val="28"/>
            </w:rPr>
            <w:instrText xml:space="preserve"> PAGEREF _Toc31724 \h </w:instrText>
          </w:r>
          <w:r>
            <w:rPr>
              <w:color w:val="auto"/>
              <w:sz w:val="28"/>
              <w:szCs w:val="28"/>
            </w:rPr>
            <w:fldChar w:fldCharType="separate"/>
          </w:r>
          <w:r>
            <w:rPr>
              <w:color w:val="auto"/>
              <w:sz w:val="28"/>
              <w:szCs w:val="28"/>
            </w:rPr>
            <w:t>- 7 -</w:t>
          </w:r>
          <w:r>
            <w:rPr>
              <w:color w:val="auto"/>
              <w:sz w:val="28"/>
              <w:szCs w:val="28"/>
            </w:rPr>
            <w:fldChar w:fldCharType="end"/>
          </w:r>
          <w:r>
            <w:rPr>
              <w:rFonts w:asciiTheme="minorEastAsia" w:hAnsiTheme="minorEastAsia" w:eastAsiaTheme="minorEastAsia"/>
              <w:bCs/>
              <w:color w:val="auto"/>
              <w:sz w:val="28"/>
              <w:szCs w:val="28"/>
              <w:lang w:val="zh-CN"/>
            </w:rPr>
            <w:fldChar w:fldCharType="end"/>
          </w:r>
        </w:p>
        <w:p w14:paraId="24E9A4ED">
          <w:pPr>
            <w:pStyle w:val="15"/>
            <w:tabs>
              <w:tab w:val="right" w:leader="dot" w:pos="8306"/>
            </w:tabs>
            <w:rPr>
              <w:color w:val="auto"/>
              <w:sz w:val="28"/>
              <w:szCs w:val="28"/>
            </w:rPr>
          </w:pPr>
          <w:r>
            <w:rPr>
              <w:rFonts w:asciiTheme="minorEastAsia" w:hAnsiTheme="minorEastAsia" w:eastAsiaTheme="minorEastAsia"/>
              <w:bCs/>
              <w:color w:val="auto"/>
              <w:sz w:val="28"/>
              <w:szCs w:val="28"/>
              <w:lang w:val="zh-CN"/>
            </w:rPr>
            <w:fldChar w:fldCharType="begin"/>
          </w:r>
          <w:r>
            <w:rPr>
              <w:rFonts w:asciiTheme="minorEastAsia" w:hAnsiTheme="minorEastAsia" w:eastAsiaTheme="minorEastAsia"/>
              <w:bCs/>
              <w:color w:val="auto"/>
              <w:sz w:val="28"/>
              <w:szCs w:val="28"/>
              <w:lang w:val="zh-CN"/>
            </w:rPr>
            <w:instrText xml:space="preserve"> HYPERLINK \l _Toc3195 </w:instrText>
          </w:r>
          <w:r>
            <w:rPr>
              <w:rFonts w:asciiTheme="minorEastAsia" w:hAnsiTheme="minorEastAsia" w:eastAsiaTheme="minorEastAsia"/>
              <w:bCs/>
              <w:color w:val="auto"/>
              <w:sz w:val="28"/>
              <w:szCs w:val="28"/>
              <w:lang w:val="zh-CN"/>
            </w:rPr>
            <w:fldChar w:fldCharType="separate"/>
          </w:r>
          <w:r>
            <w:rPr>
              <w:rFonts w:hint="eastAsia" w:eastAsia="宋体"/>
              <w:color w:val="auto"/>
              <w:sz w:val="28"/>
              <w:szCs w:val="28"/>
            </w:rPr>
            <w:t>第五章 合同主要条款</w:t>
          </w:r>
          <w:r>
            <w:rPr>
              <w:color w:val="auto"/>
              <w:sz w:val="28"/>
              <w:szCs w:val="28"/>
            </w:rPr>
            <w:tab/>
          </w:r>
          <w:r>
            <w:rPr>
              <w:color w:val="auto"/>
              <w:sz w:val="28"/>
              <w:szCs w:val="28"/>
            </w:rPr>
            <w:fldChar w:fldCharType="begin"/>
          </w:r>
          <w:r>
            <w:rPr>
              <w:color w:val="auto"/>
              <w:sz w:val="28"/>
              <w:szCs w:val="28"/>
            </w:rPr>
            <w:instrText xml:space="preserve"> PAGEREF _Toc3195 \h </w:instrText>
          </w:r>
          <w:r>
            <w:rPr>
              <w:color w:val="auto"/>
              <w:sz w:val="28"/>
              <w:szCs w:val="28"/>
            </w:rPr>
            <w:fldChar w:fldCharType="separate"/>
          </w:r>
          <w:r>
            <w:rPr>
              <w:color w:val="auto"/>
              <w:sz w:val="28"/>
              <w:szCs w:val="28"/>
            </w:rPr>
            <w:t>- 13 -</w:t>
          </w:r>
          <w:r>
            <w:rPr>
              <w:color w:val="auto"/>
              <w:sz w:val="28"/>
              <w:szCs w:val="28"/>
            </w:rPr>
            <w:fldChar w:fldCharType="end"/>
          </w:r>
          <w:r>
            <w:rPr>
              <w:rFonts w:asciiTheme="minorEastAsia" w:hAnsiTheme="minorEastAsia" w:eastAsiaTheme="minorEastAsia"/>
              <w:bCs/>
              <w:color w:val="auto"/>
              <w:sz w:val="28"/>
              <w:szCs w:val="28"/>
              <w:lang w:val="zh-CN"/>
            </w:rPr>
            <w:fldChar w:fldCharType="end"/>
          </w:r>
        </w:p>
        <w:p w14:paraId="4A9EA5C9">
          <w:pPr>
            <w:rPr>
              <w:rFonts w:asciiTheme="minorEastAsia" w:hAnsiTheme="minorEastAsia" w:eastAsiaTheme="minorEastAsia"/>
              <w:b/>
              <w:color w:val="auto"/>
              <w:sz w:val="30"/>
              <w:szCs w:val="30"/>
            </w:rPr>
          </w:pPr>
          <w:r>
            <w:rPr>
              <w:rFonts w:asciiTheme="minorEastAsia" w:hAnsiTheme="minorEastAsia" w:eastAsiaTheme="minorEastAsia"/>
              <w:bCs/>
              <w:color w:val="auto"/>
              <w:sz w:val="28"/>
              <w:szCs w:val="28"/>
              <w:lang w:val="zh-CN"/>
            </w:rPr>
            <w:fldChar w:fldCharType="end"/>
          </w:r>
        </w:p>
      </w:sdtContent>
    </w:sdt>
    <w:p w14:paraId="27904725">
      <w:pPr>
        <w:jc w:val="left"/>
        <w:rPr>
          <w:b/>
          <w:bCs/>
          <w:color w:val="auto"/>
          <w:sz w:val="32"/>
        </w:rPr>
      </w:pPr>
    </w:p>
    <w:p w14:paraId="593D9252">
      <w:pPr>
        <w:jc w:val="center"/>
        <w:rPr>
          <w:b/>
          <w:bCs/>
          <w:color w:val="auto"/>
          <w:sz w:val="32"/>
        </w:rPr>
      </w:pPr>
    </w:p>
    <w:p w14:paraId="284284E2">
      <w:pPr>
        <w:widowControl/>
        <w:jc w:val="left"/>
        <w:rPr>
          <w:b/>
          <w:bCs/>
          <w:color w:val="auto"/>
          <w:sz w:val="32"/>
        </w:rPr>
      </w:pPr>
      <w:r>
        <w:rPr>
          <w:b/>
          <w:bCs/>
          <w:color w:val="auto"/>
          <w:sz w:val="32"/>
        </w:rPr>
        <w:br w:type="page"/>
      </w:r>
    </w:p>
    <w:p w14:paraId="6056877C">
      <w:pPr>
        <w:pStyle w:val="19"/>
        <w:rPr>
          <w:color w:val="auto"/>
        </w:rPr>
        <w:sectPr>
          <w:footerReference r:id="rId3" w:type="default"/>
          <w:pgSz w:w="11906" w:h="16838"/>
          <w:pgMar w:top="1440" w:right="1800" w:bottom="1440" w:left="1800" w:header="851" w:footer="992" w:gutter="0"/>
          <w:cols w:space="425" w:num="1"/>
          <w:docGrid w:type="lines" w:linePitch="312" w:charSpace="0"/>
        </w:sectPr>
      </w:pPr>
    </w:p>
    <w:p w14:paraId="7BE579F9">
      <w:pPr>
        <w:pStyle w:val="19"/>
        <w:rPr>
          <w:color w:val="auto"/>
        </w:rPr>
      </w:pPr>
      <w:bookmarkStart w:id="0" w:name="_Toc16023"/>
      <w:r>
        <w:rPr>
          <w:rFonts w:hint="eastAsia"/>
          <w:color w:val="auto"/>
        </w:rPr>
        <w:t xml:space="preserve">第一章 </w:t>
      </w:r>
      <w:r>
        <w:rPr>
          <w:color w:val="auto"/>
        </w:rPr>
        <w:t>采购公告</w:t>
      </w:r>
      <w:bookmarkEnd w:id="0"/>
    </w:p>
    <w:p w14:paraId="4260B1BF">
      <w:pPr>
        <w:spacing w:line="360" w:lineRule="auto"/>
        <w:ind w:firstLine="482" w:firstLineChars="200"/>
        <w:rPr>
          <w:b/>
          <w:color w:val="auto"/>
          <w:sz w:val="24"/>
        </w:rPr>
      </w:pPr>
    </w:p>
    <w:p w14:paraId="78A1BF9C">
      <w:pPr>
        <w:spacing w:line="360" w:lineRule="auto"/>
        <w:jc w:val="center"/>
        <w:rPr>
          <w:b/>
          <w:color w:val="auto"/>
          <w:sz w:val="24"/>
        </w:rPr>
      </w:pPr>
      <w:r>
        <w:rPr>
          <w:rFonts w:hint="eastAsia"/>
          <w:b/>
          <w:color w:val="auto"/>
          <w:sz w:val="24"/>
        </w:rPr>
        <w:t>浙大</w:t>
      </w:r>
      <w:r>
        <w:rPr>
          <w:b/>
          <w:color w:val="auto"/>
          <w:sz w:val="24"/>
        </w:rPr>
        <w:t>妇院</w:t>
      </w:r>
      <w:r>
        <w:rPr>
          <w:rFonts w:hint="eastAsia"/>
          <w:b/>
          <w:color w:val="auto"/>
          <w:sz w:val="24"/>
        </w:rPr>
        <w:t>院内</w:t>
      </w:r>
      <w:r>
        <w:rPr>
          <w:b/>
          <w:color w:val="auto"/>
          <w:sz w:val="24"/>
        </w:rPr>
        <w:t>采购公告（</w:t>
      </w:r>
      <w:r>
        <w:rPr>
          <w:rFonts w:hint="eastAsia"/>
          <w:b/>
          <w:color w:val="auto"/>
          <w:sz w:val="24"/>
        </w:rPr>
        <w:t>项目编号：CGZX-XXXM-2026091</w:t>
      </w:r>
      <w:r>
        <w:rPr>
          <w:rFonts w:hint="eastAsia"/>
          <w:b/>
          <w:color w:val="auto"/>
          <w:sz w:val="24"/>
          <w:lang w:val="en-US" w:eastAsia="zh-CN"/>
        </w:rPr>
        <w:t>6</w:t>
      </w:r>
      <w:r>
        <w:rPr>
          <w:rFonts w:hint="eastAsia"/>
          <w:b/>
          <w:color w:val="auto"/>
          <w:sz w:val="24"/>
        </w:rPr>
        <w:t>）</w:t>
      </w:r>
    </w:p>
    <w:p w14:paraId="175BB690">
      <w:pPr>
        <w:spacing w:line="360" w:lineRule="auto"/>
        <w:ind w:firstLine="482" w:firstLineChars="200"/>
        <w:rPr>
          <w:b/>
          <w:color w:val="auto"/>
          <w:sz w:val="24"/>
        </w:rPr>
      </w:pPr>
    </w:p>
    <w:p w14:paraId="3E2BC169">
      <w:pPr>
        <w:spacing w:line="360" w:lineRule="auto"/>
        <w:ind w:firstLine="480" w:firstLineChars="200"/>
        <w:rPr>
          <w:color w:val="auto"/>
          <w:sz w:val="24"/>
        </w:rPr>
      </w:pPr>
      <w:r>
        <w:rPr>
          <w:color w:val="auto"/>
          <w:sz w:val="24"/>
        </w:rPr>
        <w:t>根据国家及浙江省有关文件精神和医院有关政策，我们坚持公开、公平、公正和诚信的原则，欢迎满足要求的供应商前来参与本项目采购</w:t>
      </w:r>
      <w:r>
        <w:rPr>
          <w:rFonts w:hint="eastAsia"/>
          <w:color w:val="auto"/>
          <w:sz w:val="24"/>
        </w:rPr>
        <w:t>（采购文件详见附件）</w:t>
      </w:r>
      <w:r>
        <w:rPr>
          <w:color w:val="auto"/>
          <w:sz w:val="24"/>
        </w:rPr>
        <w:t>。</w:t>
      </w:r>
    </w:p>
    <w:p w14:paraId="787B9291">
      <w:pPr>
        <w:spacing w:line="360" w:lineRule="auto"/>
        <w:rPr>
          <w:color w:val="auto"/>
          <w:sz w:val="24"/>
        </w:rPr>
      </w:pPr>
      <w:r>
        <w:rPr>
          <w:rFonts w:hint="eastAsia"/>
          <w:b/>
          <w:bCs/>
          <w:color w:val="auto"/>
          <w:sz w:val="24"/>
        </w:rPr>
        <w:t>项目概况：</w:t>
      </w:r>
      <w:r>
        <w:rPr>
          <w:rFonts w:hint="eastAsia"/>
          <w:color w:val="FF0000"/>
          <w:sz w:val="24"/>
          <w:lang w:eastAsia="zh-CN"/>
        </w:rPr>
        <w:t>浙江省公立医院药械智慧监管监督系统医院自律端</w:t>
      </w:r>
      <w:r>
        <w:rPr>
          <w:rFonts w:hint="eastAsia"/>
          <w:color w:val="FF0000"/>
          <w:sz w:val="24"/>
        </w:rPr>
        <w:t>，预算金额</w:t>
      </w:r>
      <w:r>
        <w:rPr>
          <w:rFonts w:hint="eastAsia"/>
          <w:color w:val="FF0000"/>
          <w:sz w:val="24"/>
          <w:lang w:val="en-US" w:eastAsia="zh-CN"/>
        </w:rPr>
        <w:t>9.5</w:t>
      </w:r>
      <w:r>
        <w:rPr>
          <w:rFonts w:hint="eastAsia"/>
          <w:color w:val="FF0000"/>
          <w:sz w:val="24"/>
        </w:rPr>
        <w:t>万元。</w:t>
      </w:r>
    </w:p>
    <w:p w14:paraId="27692C3D">
      <w:pPr>
        <w:spacing w:line="360" w:lineRule="auto"/>
        <w:ind w:firstLine="480" w:firstLineChars="200"/>
        <w:rPr>
          <w:color w:val="auto"/>
          <w:sz w:val="24"/>
        </w:rPr>
      </w:pPr>
    </w:p>
    <w:p w14:paraId="4C54DBDA">
      <w:pPr>
        <w:spacing w:line="360" w:lineRule="auto"/>
        <w:rPr>
          <w:b/>
          <w:bCs/>
          <w:color w:val="auto"/>
          <w:sz w:val="24"/>
        </w:rPr>
      </w:pPr>
      <w:r>
        <w:rPr>
          <w:b/>
          <w:bCs/>
          <w:color w:val="auto"/>
          <w:sz w:val="24"/>
        </w:rPr>
        <w:t>响应要求：</w:t>
      </w:r>
    </w:p>
    <w:p w14:paraId="75CD533F">
      <w:pPr>
        <w:spacing w:line="360" w:lineRule="auto"/>
        <w:rPr>
          <w:color w:val="auto"/>
          <w:sz w:val="24"/>
        </w:rPr>
      </w:pPr>
      <w:r>
        <w:rPr>
          <w:color w:val="auto"/>
          <w:sz w:val="24"/>
        </w:rPr>
        <w:t>1、提供有效的营业执照复印件并加盖公司公章。</w:t>
      </w:r>
    </w:p>
    <w:p w14:paraId="39EA05C7">
      <w:pPr>
        <w:spacing w:line="360" w:lineRule="auto"/>
        <w:rPr>
          <w:color w:val="auto"/>
          <w:sz w:val="24"/>
        </w:rPr>
      </w:pPr>
      <w:r>
        <w:rPr>
          <w:color w:val="auto"/>
          <w:sz w:val="24"/>
        </w:rPr>
        <w:t>2、提供自采购公告发布之日起至公告截止日内任意时间的“信用中国”网站（www.creditchina.gov.cn）的响应供应商信用查询网页截图。</w:t>
      </w:r>
    </w:p>
    <w:p w14:paraId="7AFA2735">
      <w:pPr>
        <w:spacing w:line="360" w:lineRule="auto"/>
        <w:rPr>
          <w:color w:val="auto"/>
          <w:sz w:val="24"/>
        </w:rPr>
      </w:pPr>
      <w:r>
        <w:rPr>
          <w:rFonts w:hint="eastAsia"/>
          <w:color w:val="auto"/>
          <w:sz w:val="24"/>
        </w:rPr>
        <w:t>3</w:t>
      </w:r>
      <w:r>
        <w:rPr>
          <w:color w:val="auto"/>
          <w:sz w:val="24"/>
        </w:rPr>
        <w:t>、参与公司必须承诺所有数据要求真实可靠</w:t>
      </w:r>
      <w:r>
        <w:rPr>
          <w:rFonts w:hint="eastAsia"/>
          <w:color w:val="auto"/>
          <w:sz w:val="24"/>
        </w:rPr>
        <w:t>，如发生所供产品与合同、采购文件要求不符，甲方（使用方）有权拒绝收货或退货并终止合同，由此产生的一切责任和后果由乙方承担</w:t>
      </w:r>
      <w:r>
        <w:rPr>
          <w:color w:val="auto"/>
          <w:sz w:val="24"/>
        </w:rPr>
        <w:t>。</w:t>
      </w:r>
    </w:p>
    <w:p w14:paraId="4AA54859">
      <w:pPr>
        <w:spacing w:line="360" w:lineRule="auto"/>
        <w:rPr>
          <w:color w:val="auto"/>
          <w:sz w:val="24"/>
        </w:rPr>
      </w:pPr>
      <w:r>
        <w:rPr>
          <w:rFonts w:hint="eastAsia"/>
          <w:color w:val="auto"/>
          <w:sz w:val="24"/>
        </w:rPr>
        <w:t>4</w:t>
      </w:r>
      <w:r>
        <w:rPr>
          <w:color w:val="auto"/>
          <w:sz w:val="24"/>
        </w:rPr>
        <w:t>、不接受联合体响应，不允许分包和转包。</w:t>
      </w:r>
    </w:p>
    <w:p w14:paraId="0074DEB7">
      <w:pPr>
        <w:spacing w:line="360" w:lineRule="auto"/>
        <w:rPr>
          <w:color w:val="auto"/>
          <w:sz w:val="24"/>
        </w:rPr>
      </w:pPr>
      <w:r>
        <w:rPr>
          <w:rFonts w:hint="eastAsia"/>
          <w:color w:val="auto"/>
          <w:sz w:val="24"/>
        </w:rPr>
        <w:t>5</w:t>
      </w:r>
      <w:r>
        <w:rPr>
          <w:color w:val="auto"/>
          <w:sz w:val="24"/>
        </w:rPr>
        <w:t>、响应文件一正三副（固定装订，不强制要求胶装），必须档案袋密封于</w:t>
      </w:r>
      <w:r>
        <w:rPr>
          <w:rFonts w:hint="eastAsia"/>
          <w:color w:val="auto"/>
          <w:sz w:val="24"/>
        </w:rPr>
        <w:t>采购</w:t>
      </w:r>
      <w:r>
        <w:rPr>
          <w:color w:val="auto"/>
          <w:sz w:val="24"/>
        </w:rPr>
        <w:t>现场统一递交，一个</w:t>
      </w:r>
      <w:r>
        <w:rPr>
          <w:rFonts w:hint="eastAsia"/>
          <w:color w:val="auto"/>
          <w:sz w:val="24"/>
        </w:rPr>
        <w:t>项目</w:t>
      </w:r>
      <w:r>
        <w:rPr>
          <w:color w:val="auto"/>
          <w:sz w:val="24"/>
        </w:rPr>
        <w:t>对应一个档案袋。</w:t>
      </w:r>
    </w:p>
    <w:p w14:paraId="62FD4E73">
      <w:pPr>
        <w:spacing w:line="360" w:lineRule="auto"/>
        <w:rPr>
          <w:color w:val="auto"/>
          <w:sz w:val="24"/>
        </w:rPr>
      </w:pPr>
      <w:r>
        <w:rPr>
          <w:rFonts w:hint="eastAsia"/>
          <w:color w:val="auto"/>
          <w:sz w:val="24"/>
        </w:rPr>
        <w:t>6</w:t>
      </w:r>
      <w:r>
        <w:rPr>
          <w:color w:val="auto"/>
          <w:sz w:val="24"/>
        </w:rPr>
        <w:t>、</w:t>
      </w:r>
      <w:r>
        <w:rPr>
          <w:rFonts w:hint="eastAsia"/>
          <w:color w:val="auto"/>
          <w:sz w:val="24"/>
          <w:lang w:val="en-US" w:eastAsia="zh-CN"/>
        </w:rPr>
        <w:t>采购时间初步定于</w:t>
      </w:r>
      <w:r>
        <w:rPr>
          <w:rFonts w:hint="eastAsia"/>
          <w:b/>
          <w:bCs/>
          <w:color w:val="auto"/>
          <w:sz w:val="24"/>
          <w:lang w:val="en-US" w:eastAsia="zh-CN"/>
        </w:rPr>
        <w:t>2026年09月24日下午14点</w:t>
      </w:r>
      <w:r>
        <w:rPr>
          <w:rFonts w:hint="eastAsia"/>
          <w:color w:val="auto"/>
          <w:sz w:val="24"/>
          <w:lang w:val="en-US" w:eastAsia="zh-CN"/>
        </w:rPr>
        <w:t xml:space="preserve">，地点：浙江大学医学院附属妇产科医院（杭州市学士路1号） </w:t>
      </w:r>
      <w:r>
        <w:rPr>
          <w:rFonts w:hint="eastAsia"/>
          <w:b/>
          <w:bCs/>
          <w:color w:val="auto"/>
          <w:sz w:val="24"/>
          <w:lang w:val="en-US" w:eastAsia="zh-CN"/>
        </w:rPr>
        <w:t>1号楼13楼1305会议室</w:t>
      </w:r>
      <w:r>
        <w:rPr>
          <w:rFonts w:hint="eastAsia"/>
          <w:b/>
          <w:bCs/>
          <w:color w:val="auto"/>
          <w:sz w:val="24"/>
        </w:rPr>
        <w:t>，</w:t>
      </w:r>
      <w:r>
        <w:rPr>
          <w:b/>
          <w:bCs/>
          <w:color w:val="auto"/>
          <w:sz w:val="24"/>
        </w:rPr>
        <w:t>报名截</w:t>
      </w:r>
      <w:r>
        <w:rPr>
          <w:b/>
          <w:color w:val="auto"/>
          <w:sz w:val="24"/>
        </w:rPr>
        <w:t>止</w:t>
      </w:r>
      <w:r>
        <w:rPr>
          <w:rFonts w:hint="eastAsia"/>
          <w:b/>
          <w:color w:val="auto"/>
          <w:sz w:val="24"/>
          <w:lang w:val="en-US" w:eastAsia="zh-CN"/>
        </w:rPr>
        <w:t>时间2026年09月23</w:t>
      </w:r>
      <w:bookmarkStart w:id="19" w:name="_GoBack"/>
      <w:bookmarkEnd w:id="19"/>
      <w:r>
        <w:rPr>
          <w:rFonts w:hint="eastAsia"/>
          <w:b/>
          <w:color w:val="auto"/>
          <w:sz w:val="24"/>
          <w:lang w:val="en-US" w:eastAsia="zh-CN"/>
        </w:rPr>
        <w:t>日 16:00</w:t>
      </w:r>
      <w:r>
        <w:rPr>
          <w:color w:val="auto"/>
          <w:sz w:val="24"/>
        </w:rPr>
        <w:t>（报名以邮件为准，</w:t>
      </w:r>
      <w:r>
        <w:rPr>
          <w:b/>
          <w:bCs/>
          <w:color w:val="auto"/>
          <w:sz w:val="24"/>
        </w:rPr>
        <w:t>邮件标题</w:t>
      </w:r>
      <w:r>
        <w:rPr>
          <w:rFonts w:hint="eastAsia"/>
          <w:b/>
          <w:bCs/>
          <w:color w:val="auto"/>
          <w:sz w:val="24"/>
          <w:lang w:val="en-US" w:eastAsia="zh-CN"/>
        </w:rPr>
        <w:t>统一为：公告项目</w:t>
      </w:r>
      <w:r>
        <w:rPr>
          <w:b/>
          <w:bCs/>
          <w:color w:val="auto"/>
          <w:sz w:val="24"/>
        </w:rPr>
        <w:t>编号</w:t>
      </w:r>
      <w:r>
        <w:rPr>
          <w:rFonts w:hint="eastAsia"/>
          <w:b/>
          <w:bCs/>
          <w:color w:val="auto"/>
          <w:sz w:val="24"/>
          <w:lang w:val="en-US" w:eastAsia="zh-CN"/>
        </w:rPr>
        <w:t>+</w:t>
      </w:r>
      <w:r>
        <w:rPr>
          <w:rFonts w:hint="eastAsia"/>
          <w:b/>
          <w:bCs/>
          <w:color w:val="auto"/>
          <w:sz w:val="24"/>
        </w:rPr>
        <w:t>项目名称</w:t>
      </w:r>
      <w:r>
        <w:rPr>
          <w:rFonts w:hint="eastAsia"/>
          <w:b/>
          <w:bCs/>
          <w:color w:val="auto"/>
          <w:sz w:val="24"/>
          <w:lang w:val="en-US" w:eastAsia="zh-CN"/>
        </w:rPr>
        <w:t>+</w:t>
      </w:r>
      <w:r>
        <w:rPr>
          <w:rFonts w:hint="eastAsia"/>
          <w:b/>
          <w:bCs/>
          <w:color w:val="auto"/>
          <w:sz w:val="24"/>
        </w:rPr>
        <w:t>响应</w:t>
      </w:r>
      <w:r>
        <w:rPr>
          <w:b/>
          <w:bCs/>
          <w:color w:val="auto"/>
          <w:sz w:val="24"/>
        </w:rPr>
        <w:t>公司名称</w:t>
      </w:r>
      <w:r>
        <w:rPr>
          <w:rFonts w:hint="eastAsia"/>
          <w:color w:val="auto"/>
          <w:sz w:val="24"/>
          <w:lang w:eastAsia="zh-CN"/>
        </w:rPr>
        <w:t>，</w:t>
      </w:r>
      <w:r>
        <w:rPr>
          <w:rFonts w:hint="eastAsia"/>
          <w:color w:val="auto"/>
          <w:sz w:val="24"/>
          <w:lang w:val="en-US" w:eastAsia="zh-CN"/>
        </w:rPr>
        <w:t>邮件内容注明响应公司名称、</w:t>
      </w:r>
      <w:r>
        <w:rPr>
          <w:rFonts w:hint="eastAsia"/>
          <w:color w:val="auto"/>
          <w:sz w:val="24"/>
        </w:rPr>
        <w:t>授权</w:t>
      </w:r>
      <w:r>
        <w:rPr>
          <w:color w:val="auto"/>
          <w:sz w:val="24"/>
        </w:rPr>
        <w:t>人姓名</w:t>
      </w:r>
      <w:r>
        <w:rPr>
          <w:rFonts w:hint="eastAsia"/>
          <w:color w:val="auto"/>
          <w:sz w:val="24"/>
          <w:lang w:val="en-US" w:eastAsia="zh-CN"/>
        </w:rPr>
        <w:t>、</w:t>
      </w:r>
      <w:r>
        <w:rPr>
          <w:color w:val="auto"/>
          <w:sz w:val="24"/>
        </w:rPr>
        <w:t>联系方式等）</w:t>
      </w:r>
      <w:r>
        <w:rPr>
          <w:rFonts w:hint="eastAsia"/>
          <w:color w:val="auto"/>
          <w:sz w:val="24"/>
        </w:rPr>
        <w:t>。</w:t>
      </w:r>
    </w:p>
    <w:p w14:paraId="4AE81EEF">
      <w:pPr>
        <w:spacing w:line="360" w:lineRule="auto"/>
        <w:rPr>
          <w:color w:val="auto"/>
          <w:sz w:val="24"/>
        </w:rPr>
      </w:pPr>
      <w:r>
        <w:rPr>
          <w:rFonts w:hint="eastAsia"/>
          <w:color w:val="auto"/>
          <w:sz w:val="24"/>
        </w:rPr>
        <w:t>7</w:t>
      </w:r>
      <w:r>
        <w:rPr>
          <w:color w:val="auto"/>
          <w:sz w:val="24"/>
        </w:rPr>
        <w:t>、以上事项均为必须项，任何一项不满足均取消响应资格。</w:t>
      </w:r>
    </w:p>
    <w:p w14:paraId="649E61BF">
      <w:pPr>
        <w:spacing w:line="360" w:lineRule="auto"/>
        <w:rPr>
          <w:b/>
          <w:bCs/>
          <w:color w:val="auto"/>
          <w:sz w:val="24"/>
        </w:rPr>
      </w:pPr>
    </w:p>
    <w:p w14:paraId="665A8BFA">
      <w:pPr>
        <w:spacing w:line="360" w:lineRule="auto"/>
        <w:rPr>
          <w:b/>
          <w:bCs/>
          <w:color w:val="auto"/>
          <w:sz w:val="24"/>
        </w:rPr>
      </w:pPr>
      <w:r>
        <w:rPr>
          <w:b/>
          <w:bCs/>
          <w:color w:val="auto"/>
          <w:sz w:val="24"/>
        </w:rPr>
        <w:t>其他事项：</w:t>
      </w:r>
    </w:p>
    <w:p w14:paraId="2F60F6BE">
      <w:pPr>
        <w:rPr>
          <w:color w:val="auto"/>
          <w:sz w:val="24"/>
        </w:rPr>
      </w:pPr>
      <w:r>
        <w:rPr>
          <w:color w:val="auto"/>
          <w:sz w:val="24"/>
        </w:rPr>
        <w:t>咨询、报名电话：</w:t>
      </w:r>
      <w:r>
        <w:rPr>
          <w:rFonts w:hint="eastAsia"/>
          <w:color w:val="auto"/>
          <w:sz w:val="24"/>
        </w:rPr>
        <w:t>周老师89991090</w:t>
      </w:r>
      <w:r>
        <w:rPr>
          <w:color w:val="auto"/>
          <w:sz w:val="24"/>
        </w:rPr>
        <w:t>。EMAIL：</w:t>
      </w:r>
      <w:r>
        <w:rPr>
          <w:rFonts w:hint="eastAsia"/>
          <w:color w:val="auto"/>
          <w:sz w:val="24"/>
          <w:u w:val="single"/>
        </w:rPr>
        <w:t>5518003</w:t>
      </w:r>
      <w:r>
        <w:rPr>
          <w:color w:val="auto"/>
          <w:sz w:val="24"/>
          <w:u w:val="single"/>
        </w:rPr>
        <w:t>@zju.edu.cn</w:t>
      </w:r>
      <w:r>
        <w:rPr>
          <w:rFonts w:hint="eastAsia"/>
          <w:color w:val="auto"/>
          <w:sz w:val="24"/>
        </w:rPr>
        <w:t>。</w:t>
      </w:r>
    </w:p>
    <w:p w14:paraId="7922A598">
      <w:pPr>
        <w:pStyle w:val="19"/>
        <w:numPr>
          <w:ilvl w:val="0"/>
          <w:numId w:val="1"/>
        </w:numPr>
        <w:rPr>
          <w:color w:val="auto"/>
        </w:rPr>
      </w:pPr>
      <w:bookmarkStart w:id="1" w:name="_Toc9951"/>
      <w:r>
        <w:rPr>
          <w:color w:val="auto"/>
        </w:rPr>
        <w:t>采购内容</w:t>
      </w:r>
      <w:r>
        <w:rPr>
          <w:rFonts w:hint="eastAsia"/>
          <w:color w:val="auto"/>
        </w:rPr>
        <w:t>及</w:t>
      </w:r>
      <w:r>
        <w:rPr>
          <w:color w:val="auto"/>
        </w:rPr>
        <w:t>需求</w:t>
      </w:r>
      <w:bookmarkEnd w:id="1"/>
    </w:p>
    <w:p w14:paraId="5EE0B97A">
      <w:pPr>
        <w:numPr>
          <w:ilvl w:val="0"/>
          <w:numId w:val="0"/>
        </w:numPr>
        <w:rPr>
          <w:color w:val="auto"/>
        </w:rPr>
      </w:pPr>
    </w:p>
    <w:p w14:paraId="7BD06D00">
      <w:pPr>
        <w:pStyle w:val="2"/>
        <w:numPr>
          <w:ilvl w:val="0"/>
          <w:numId w:val="2"/>
        </w:numPr>
        <w:tabs>
          <w:tab w:val="left" w:pos="720"/>
          <w:tab w:val="left" w:pos="1980"/>
        </w:tabs>
        <w:spacing w:line="440" w:lineRule="exact"/>
        <w:rPr>
          <w:rFonts w:hint="eastAsia" w:hAnsi="宋体" w:cs="宋体"/>
          <w:color w:val="auto"/>
          <w:sz w:val="21"/>
          <w:szCs w:val="21"/>
        </w:rPr>
      </w:pPr>
      <w:r>
        <w:rPr>
          <w:rFonts w:hint="eastAsia" w:hAnsi="宋体" w:cs="宋体"/>
          <w:color w:val="auto"/>
          <w:sz w:val="21"/>
          <w:szCs w:val="21"/>
        </w:rPr>
        <w:t>项目概况</w:t>
      </w:r>
    </w:p>
    <w:p w14:paraId="30C40EF0">
      <w:pPr>
        <w:keepNext w:val="0"/>
        <w:keepLines w:val="0"/>
        <w:pageBreakBefore w:val="0"/>
        <w:widowControl w:val="0"/>
        <w:kinsoku/>
        <w:wordWrap/>
        <w:overflowPunct/>
        <w:topLinePunct w:val="0"/>
        <w:autoSpaceDE/>
        <w:autoSpaceDN/>
        <w:bidi w:val="0"/>
        <w:adjustRightInd/>
        <w:snapToGrid/>
        <w:spacing w:line="240" w:lineRule="auto"/>
        <w:ind w:firstLine="424" w:firstLineChars="202"/>
        <w:textAlignment w:val="auto"/>
        <w:rPr>
          <w:rFonts w:hint="default"/>
          <w:color w:val="000000"/>
          <w:woUserID w:val="1"/>
        </w:rPr>
      </w:pPr>
      <w:r>
        <w:rPr>
          <w:rFonts w:asciiTheme="majorEastAsia" w:hAnsiTheme="majorEastAsia" w:eastAsiaTheme="majorEastAsia"/>
          <w:bCs/>
          <w:szCs w:val="21"/>
        </w:rPr>
        <w:t>医药购销领域是公立医院权力运行和廉政风险的高地，药品、医用耗材、医疗设备的采购、使用与收费环节历来是审计、巡查与纪检监察的重点。近年来，党中央、国务院及浙江省委、省政府持续加强对公立医院经济管理与医药购销领域的监督，推动审计监督、财会监督与内部控制的数字化、智能化转型。对浙江省公立医院而言，建设药械智慧监管监督系统（自律端），既是落实上级政策的刚性要求，也是医院强化自我监管、防范廉政风险、提升治理能力的现实需要</w:t>
      </w:r>
      <w:r>
        <w:rPr>
          <w:rFonts w:hint="eastAsia" w:asciiTheme="majorEastAsia" w:hAnsiTheme="majorEastAsia" w:eastAsiaTheme="majorEastAsia"/>
          <w:bCs/>
          <w:szCs w:val="21"/>
        </w:rPr>
        <w:t>。</w:t>
      </w:r>
      <w:r>
        <w:rPr>
          <w:rFonts w:hint="default" w:asciiTheme="majorEastAsia" w:hAnsiTheme="majorEastAsia" w:eastAsiaTheme="majorEastAsia"/>
          <w:bCs/>
          <w:szCs w:val="21"/>
          <w:woUserID w:val="1"/>
        </w:rPr>
        <w:t>医院数智审计系统已初步搭建监管模块，在此基础上，将药品、医用耗材、医疗设备等纳入监管，并进行其他功能的升级改造。</w:t>
      </w:r>
    </w:p>
    <w:p w14:paraId="37089AF4">
      <w:pPr>
        <w:pStyle w:val="2"/>
        <w:numPr>
          <w:ilvl w:val="0"/>
          <w:numId w:val="3"/>
        </w:numPr>
        <w:tabs>
          <w:tab w:val="left" w:pos="720"/>
          <w:tab w:val="left" w:pos="1980"/>
        </w:tabs>
        <w:spacing w:line="440" w:lineRule="exact"/>
        <w:rPr>
          <w:rFonts w:hint="eastAsia" w:hAnsi="宋体" w:cs="宋体"/>
          <w:sz w:val="21"/>
          <w:szCs w:val="21"/>
        </w:rPr>
      </w:pPr>
      <w:r>
        <w:rPr>
          <w:rFonts w:hint="eastAsia" w:hAnsi="宋体" w:cs="宋体"/>
          <w:sz w:val="21"/>
          <w:szCs w:val="21"/>
        </w:rPr>
        <w:t>项目内容</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0"/>
        <w:gridCol w:w="2212"/>
        <w:gridCol w:w="5200"/>
      </w:tblGrid>
      <w:tr w14:paraId="3B2A3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1" w:type="pct"/>
            <w:vAlign w:val="center"/>
          </w:tcPr>
          <w:p w14:paraId="5BC2DF69">
            <w:pPr>
              <w:spacing w:line="440" w:lineRule="exact"/>
              <w:jc w:val="center"/>
              <w:rPr>
                <w:rFonts w:hint="eastAsia" w:ascii="宋体" w:hAnsi="宋体" w:cs="宋体"/>
                <w:b/>
                <w:bCs/>
                <w:szCs w:val="21"/>
              </w:rPr>
            </w:pPr>
            <w:r>
              <w:rPr>
                <w:rFonts w:hint="eastAsia" w:ascii="宋体" w:hAnsi="宋体" w:cs="宋体"/>
                <w:b/>
                <w:bCs/>
                <w:szCs w:val="21"/>
              </w:rPr>
              <w:t>序号</w:t>
            </w:r>
          </w:p>
        </w:tc>
        <w:tc>
          <w:tcPr>
            <w:tcW w:w="1298" w:type="pct"/>
            <w:vAlign w:val="center"/>
          </w:tcPr>
          <w:p w14:paraId="0975CE3B">
            <w:pPr>
              <w:spacing w:line="440" w:lineRule="exact"/>
              <w:jc w:val="center"/>
              <w:rPr>
                <w:rFonts w:hint="eastAsia" w:ascii="宋体" w:hAnsi="宋体" w:cs="宋体"/>
                <w:b/>
                <w:bCs/>
                <w:szCs w:val="21"/>
              </w:rPr>
            </w:pPr>
            <w:r>
              <w:rPr>
                <w:rFonts w:hint="eastAsia" w:ascii="宋体" w:hAnsi="宋体" w:cs="宋体"/>
                <w:b/>
                <w:bCs/>
                <w:szCs w:val="21"/>
              </w:rPr>
              <w:t>内容</w:t>
            </w:r>
          </w:p>
        </w:tc>
        <w:tc>
          <w:tcPr>
            <w:tcW w:w="3051" w:type="pct"/>
            <w:vAlign w:val="center"/>
          </w:tcPr>
          <w:p w14:paraId="3F765038">
            <w:pPr>
              <w:spacing w:line="440" w:lineRule="exact"/>
              <w:jc w:val="center"/>
              <w:rPr>
                <w:rFonts w:hint="eastAsia" w:ascii="宋体" w:hAnsi="宋体" w:cs="宋体"/>
                <w:b/>
                <w:bCs/>
                <w:szCs w:val="21"/>
              </w:rPr>
            </w:pPr>
            <w:r>
              <w:rPr>
                <w:rFonts w:hint="eastAsia" w:ascii="宋体" w:hAnsi="宋体" w:cs="宋体"/>
                <w:b/>
                <w:bCs/>
                <w:szCs w:val="21"/>
              </w:rPr>
              <w:t>说明</w:t>
            </w:r>
          </w:p>
        </w:tc>
      </w:tr>
      <w:tr w14:paraId="27810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51" w:type="pct"/>
            <w:vAlign w:val="center"/>
          </w:tcPr>
          <w:p w14:paraId="799FF0C4">
            <w:pPr>
              <w:spacing w:line="440" w:lineRule="exact"/>
              <w:jc w:val="center"/>
              <w:rPr>
                <w:rFonts w:hint="eastAsia" w:ascii="宋体" w:hAnsi="宋体" w:cs="宋体"/>
                <w:szCs w:val="21"/>
              </w:rPr>
            </w:pPr>
            <w:r>
              <w:rPr>
                <w:rFonts w:hint="eastAsia" w:ascii="宋体" w:hAnsi="宋体" w:cs="宋体"/>
                <w:kern w:val="0"/>
                <w:szCs w:val="21"/>
              </w:rPr>
              <w:t>1</w:t>
            </w:r>
          </w:p>
        </w:tc>
        <w:tc>
          <w:tcPr>
            <w:tcW w:w="1298" w:type="pct"/>
            <w:vAlign w:val="center"/>
          </w:tcPr>
          <w:p w14:paraId="279D7CD2">
            <w:pPr>
              <w:widowControl/>
              <w:spacing w:line="440" w:lineRule="exact"/>
              <w:rPr>
                <w:rFonts w:hint="eastAsia" w:cs="宋体" w:asciiTheme="majorEastAsia" w:hAnsiTheme="majorEastAsia" w:eastAsiaTheme="majorEastAsia"/>
                <w:bCs/>
                <w:szCs w:val="21"/>
              </w:rPr>
            </w:pPr>
            <w:r>
              <w:rPr>
                <w:rFonts w:asciiTheme="majorEastAsia" w:hAnsiTheme="majorEastAsia" w:eastAsiaTheme="majorEastAsia"/>
                <w:bCs/>
              </w:rPr>
              <w:t>基础管理</w:t>
            </w:r>
          </w:p>
        </w:tc>
        <w:tc>
          <w:tcPr>
            <w:tcW w:w="3051" w:type="pct"/>
            <w:vAlign w:val="center"/>
          </w:tcPr>
          <w:p w14:paraId="641D199F">
            <w:pPr>
              <w:spacing w:line="440" w:lineRule="exact"/>
              <w:rPr>
                <w:rFonts w:hint="eastAsia" w:ascii="宋体" w:hAnsi="宋体" w:cs="宋体"/>
                <w:bCs/>
                <w:szCs w:val="21"/>
              </w:rPr>
            </w:pPr>
            <w:r>
              <w:rPr>
                <w:rFonts w:hint="eastAsia" w:ascii="宋体" w:hAnsi="宋体" w:cs="宋体"/>
                <w:bCs/>
                <w:szCs w:val="21"/>
                <w:highlight w:val="none"/>
              </w:rPr>
              <w:t>包含对</w:t>
            </w:r>
            <w:r>
              <w:rPr>
                <w:rFonts w:hint="eastAsia" w:ascii="宋体" w:hAnsi="宋体"/>
                <w:bCs/>
                <w:sz w:val="20"/>
                <w:highlight w:val="none"/>
                <w:lang w:val="en-US" w:eastAsia="zh-CN"/>
              </w:rPr>
              <w:t>药品、</w:t>
            </w:r>
            <w:r>
              <w:rPr>
                <w:rFonts w:ascii="宋体" w:hAnsi="宋体"/>
                <w:bCs/>
                <w:sz w:val="20"/>
                <w:highlight w:val="none"/>
              </w:rPr>
              <w:t>高值耗材</w:t>
            </w:r>
            <w:r>
              <w:rPr>
                <w:rFonts w:hint="eastAsia" w:ascii="宋体" w:hAnsi="宋体"/>
                <w:bCs/>
                <w:sz w:val="20"/>
                <w:highlight w:val="none"/>
              </w:rPr>
              <w:t>、</w:t>
            </w:r>
            <w:r>
              <w:rPr>
                <w:rFonts w:ascii="宋体" w:hAnsi="宋体"/>
                <w:bCs/>
                <w:sz w:val="20"/>
                <w:highlight w:val="none"/>
              </w:rPr>
              <w:t>重点监控耗材目录</w:t>
            </w:r>
            <w:r>
              <w:rPr>
                <w:rFonts w:hint="eastAsia" w:ascii="宋体" w:hAnsi="宋体" w:cs="宋体"/>
                <w:bCs/>
                <w:szCs w:val="21"/>
                <w:highlight w:val="none"/>
              </w:rPr>
              <w:t>的维护和管理</w:t>
            </w:r>
          </w:p>
        </w:tc>
      </w:tr>
      <w:tr w14:paraId="602A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51" w:type="pct"/>
            <w:vAlign w:val="center"/>
          </w:tcPr>
          <w:p w14:paraId="48A318DA">
            <w:pPr>
              <w:spacing w:line="440" w:lineRule="exact"/>
              <w:jc w:val="center"/>
              <w:rPr>
                <w:rFonts w:hint="eastAsia" w:ascii="宋体" w:hAnsi="宋体" w:cs="宋体"/>
                <w:kern w:val="0"/>
                <w:szCs w:val="21"/>
              </w:rPr>
            </w:pPr>
            <w:r>
              <w:rPr>
                <w:rFonts w:hint="eastAsia" w:ascii="宋体" w:hAnsi="宋体" w:cs="宋体"/>
                <w:kern w:val="0"/>
                <w:szCs w:val="21"/>
              </w:rPr>
              <w:t>2</w:t>
            </w:r>
          </w:p>
        </w:tc>
        <w:tc>
          <w:tcPr>
            <w:tcW w:w="1298" w:type="pct"/>
            <w:vAlign w:val="center"/>
          </w:tcPr>
          <w:p w14:paraId="49738CDB">
            <w:pPr>
              <w:widowControl/>
              <w:spacing w:line="440" w:lineRule="exact"/>
              <w:rPr>
                <w:rFonts w:hint="eastAsia" w:cs="宋体" w:asciiTheme="majorEastAsia" w:hAnsiTheme="majorEastAsia" w:eastAsiaTheme="majorEastAsia"/>
                <w:bCs/>
                <w:szCs w:val="21"/>
              </w:rPr>
            </w:pPr>
            <w:r>
              <w:rPr>
                <w:rFonts w:hint="eastAsia" w:asciiTheme="majorEastAsia" w:hAnsiTheme="majorEastAsia" w:eastAsiaTheme="majorEastAsia"/>
                <w:bCs/>
              </w:rPr>
              <w:t>数据对接同步</w:t>
            </w:r>
          </w:p>
        </w:tc>
        <w:tc>
          <w:tcPr>
            <w:tcW w:w="3051" w:type="pct"/>
            <w:vAlign w:val="center"/>
          </w:tcPr>
          <w:p w14:paraId="5E4A1B5F">
            <w:pPr>
              <w:spacing w:line="440" w:lineRule="exact"/>
              <w:rPr>
                <w:rFonts w:hint="eastAsia" w:ascii="宋体" w:hAnsi="宋体" w:cs="宋体"/>
                <w:bCs/>
                <w:szCs w:val="21"/>
              </w:rPr>
            </w:pPr>
            <w:r>
              <w:rPr>
                <w:rFonts w:hint="eastAsia" w:ascii="宋体" w:hAnsi="宋体" w:cs="宋体"/>
                <w:bCs/>
                <w:szCs w:val="21"/>
              </w:rPr>
              <w:t>用于和his、SPD、资产管理、OA</w:t>
            </w:r>
            <w:r>
              <w:rPr>
                <w:rFonts w:hint="default" w:ascii="宋体" w:hAnsi="宋体" w:cs="宋体"/>
                <w:bCs/>
                <w:szCs w:val="21"/>
                <w:woUserID w:val="2"/>
              </w:rPr>
              <w:t>等系统</w:t>
            </w:r>
            <w:r>
              <w:rPr>
                <w:rFonts w:hint="eastAsia" w:ascii="宋体" w:hAnsi="宋体" w:cs="宋体"/>
                <w:bCs/>
                <w:szCs w:val="21"/>
              </w:rPr>
              <w:t>的数据同步</w:t>
            </w:r>
          </w:p>
        </w:tc>
      </w:tr>
      <w:tr w14:paraId="07EC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51" w:type="pct"/>
            <w:vAlign w:val="center"/>
          </w:tcPr>
          <w:p w14:paraId="71A29161">
            <w:pPr>
              <w:spacing w:line="440" w:lineRule="exact"/>
              <w:jc w:val="center"/>
              <w:rPr>
                <w:rFonts w:hint="eastAsia" w:ascii="宋体" w:hAnsi="宋体" w:cs="宋体"/>
                <w:kern w:val="0"/>
                <w:szCs w:val="21"/>
              </w:rPr>
            </w:pPr>
            <w:r>
              <w:rPr>
                <w:rFonts w:hint="eastAsia" w:ascii="宋体" w:hAnsi="宋体" w:cs="宋体"/>
                <w:kern w:val="0"/>
                <w:szCs w:val="21"/>
              </w:rPr>
              <w:t>3</w:t>
            </w:r>
          </w:p>
        </w:tc>
        <w:tc>
          <w:tcPr>
            <w:tcW w:w="1298" w:type="pct"/>
            <w:vAlign w:val="center"/>
          </w:tcPr>
          <w:p w14:paraId="36C1FF16">
            <w:pPr>
              <w:widowControl/>
              <w:spacing w:line="440" w:lineRule="exact"/>
              <w:rPr>
                <w:rFonts w:hint="eastAsia" w:cs="宋体" w:asciiTheme="majorEastAsia" w:hAnsiTheme="majorEastAsia" w:eastAsiaTheme="majorEastAsia"/>
                <w:bCs/>
                <w:szCs w:val="21"/>
              </w:rPr>
            </w:pPr>
            <w:r>
              <w:rPr>
                <w:rFonts w:asciiTheme="majorEastAsia" w:hAnsiTheme="majorEastAsia" w:eastAsiaTheme="majorEastAsia"/>
                <w:bCs/>
              </w:rPr>
              <w:t>药品监管</w:t>
            </w:r>
          </w:p>
        </w:tc>
        <w:tc>
          <w:tcPr>
            <w:tcW w:w="3051" w:type="pct"/>
            <w:vAlign w:val="center"/>
          </w:tcPr>
          <w:p w14:paraId="2FF3BFEC">
            <w:pPr>
              <w:spacing w:line="440" w:lineRule="exact"/>
              <w:rPr>
                <w:rFonts w:hint="eastAsia" w:ascii="宋体" w:hAnsi="宋体" w:cs="宋体"/>
                <w:bCs/>
                <w:szCs w:val="21"/>
              </w:rPr>
            </w:pPr>
            <w:r>
              <w:rPr>
                <w:rFonts w:hint="eastAsia" w:ascii="宋体" w:hAnsi="宋体" w:cs="宋体"/>
                <w:bCs/>
                <w:szCs w:val="21"/>
              </w:rPr>
              <w:t>用于药品周转率、药品使用的异常预警、提醒</w:t>
            </w:r>
          </w:p>
        </w:tc>
      </w:tr>
      <w:tr w14:paraId="63DB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51" w:type="pct"/>
            <w:vAlign w:val="center"/>
          </w:tcPr>
          <w:p w14:paraId="79644B6B">
            <w:pPr>
              <w:spacing w:line="440" w:lineRule="exact"/>
              <w:jc w:val="center"/>
              <w:rPr>
                <w:rFonts w:hint="eastAsia" w:ascii="宋体" w:hAnsi="宋体" w:cs="宋体"/>
                <w:kern w:val="0"/>
                <w:szCs w:val="21"/>
              </w:rPr>
            </w:pPr>
            <w:r>
              <w:rPr>
                <w:rFonts w:hint="eastAsia" w:ascii="宋体" w:hAnsi="宋体" w:cs="宋体"/>
                <w:kern w:val="0"/>
                <w:szCs w:val="21"/>
              </w:rPr>
              <w:t>4</w:t>
            </w:r>
          </w:p>
        </w:tc>
        <w:tc>
          <w:tcPr>
            <w:tcW w:w="1298" w:type="pct"/>
            <w:vAlign w:val="center"/>
          </w:tcPr>
          <w:p w14:paraId="6B753500">
            <w:pPr>
              <w:widowControl/>
              <w:spacing w:line="440" w:lineRule="exact"/>
              <w:rPr>
                <w:rFonts w:hint="eastAsia" w:cs="宋体" w:asciiTheme="majorEastAsia" w:hAnsiTheme="majorEastAsia" w:eastAsiaTheme="majorEastAsia"/>
                <w:bCs/>
                <w:szCs w:val="21"/>
              </w:rPr>
            </w:pPr>
            <w:r>
              <w:rPr>
                <w:rFonts w:asciiTheme="majorEastAsia" w:hAnsiTheme="majorEastAsia" w:eastAsiaTheme="majorEastAsia"/>
                <w:bCs/>
              </w:rPr>
              <w:t>耗材监管</w:t>
            </w:r>
          </w:p>
        </w:tc>
        <w:tc>
          <w:tcPr>
            <w:tcW w:w="3051" w:type="pct"/>
            <w:vAlign w:val="center"/>
          </w:tcPr>
          <w:p w14:paraId="47BF9A25">
            <w:pPr>
              <w:spacing w:line="440" w:lineRule="exact"/>
              <w:rPr>
                <w:rFonts w:hint="eastAsia" w:ascii="宋体" w:hAnsi="宋体" w:cs="宋体"/>
                <w:bCs/>
                <w:szCs w:val="21"/>
              </w:rPr>
            </w:pPr>
            <w:r>
              <w:rPr>
                <w:rFonts w:hint="eastAsia" w:ascii="宋体" w:hAnsi="宋体" w:cs="宋体"/>
                <w:bCs/>
                <w:szCs w:val="21"/>
              </w:rPr>
              <w:t>用于耗材的领用、使用金额异常的预警、提醒</w:t>
            </w:r>
          </w:p>
        </w:tc>
      </w:tr>
      <w:tr w14:paraId="687B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51" w:type="pct"/>
            <w:vAlign w:val="center"/>
          </w:tcPr>
          <w:p w14:paraId="726E9B65">
            <w:pPr>
              <w:spacing w:line="440" w:lineRule="exact"/>
              <w:jc w:val="center"/>
              <w:rPr>
                <w:rFonts w:hint="eastAsia" w:ascii="宋体" w:hAnsi="宋体" w:cs="宋体"/>
                <w:kern w:val="0"/>
                <w:szCs w:val="21"/>
              </w:rPr>
            </w:pPr>
            <w:r>
              <w:rPr>
                <w:rFonts w:hint="eastAsia" w:ascii="宋体" w:hAnsi="宋体" w:cs="宋体"/>
                <w:kern w:val="0"/>
                <w:szCs w:val="21"/>
              </w:rPr>
              <w:t>5</w:t>
            </w:r>
          </w:p>
        </w:tc>
        <w:tc>
          <w:tcPr>
            <w:tcW w:w="1298" w:type="pct"/>
            <w:vAlign w:val="center"/>
          </w:tcPr>
          <w:p w14:paraId="6C81B10E">
            <w:pPr>
              <w:widowControl/>
              <w:spacing w:line="440" w:lineRule="exact"/>
              <w:rPr>
                <w:rFonts w:hint="eastAsia" w:cs="宋体" w:asciiTheme="majorEastAsia" w:hAnsiTheme="majorEastAsia" w:eastAsiaTheme="majorEastAsia"/>
                <w:bCs/>
                <w:szCs w:val="21"/>
              </w:rPr>
            </w:pPr>
            <w:r>
              <w:rPr>
                <w:rFonts w:asciiTheme="majorEastAsia" w:hAnsiTheme="majorEastAsia" w:eastAsiaTheme="majorEastAsia"/>
                <w:bCs/>
              </w:rPr>
              <w:t>设备监管</w:t>
            </w:r>
          </w:p>
        </w:tc>
        <w:tc>
          <w:tcPr>
            <w:tcW w:w="3051" w:type="pct"/>
            <w:vAlign w:val="center"/>
          </w:tcPr>
          <w:p w14:paraId="18060670">
            <w:pPr>
              <w:spacing w:line="440" w:lineRule="exact"/>
              <w:rPr>
                <w:rFonts w:hint="eastAsia" w:ascii="宋体" w:hAnsi="宋体" w:cs="宋体"/>
                <w:bCs/>
                <w:szCs w:val="21"/>
              </w:rPr>
            </w:pPr>
            <w:r>
              <w:rPr>
                <w:rFonts w:hint="eastAsia" w:ascii="宋体" w:hAnsi="宋体" w:cs="宋体"/>
                <w:bCs/>
                <w:szCs w:val="21"/>
              </w:rPr>
              <w:t>用于设备巡检和使用情况异常的预警、</w:t>
            </w:r>
            <w:r>
              <w:rPr>
                <w:rFonts w:hint="default" w:ascii="宋体" w:hAnsi="宋体" w:cs="宋体"/>
                <w:bCs/>
                <w:szCs w:val="21"/>
                <w:woUserID w:val="2"/>
              </w:rPr>
              <w:t>提醒</w:t>
            </w:r>
          </w:p>
        </w:tc>
      </w:tr>
      <w:tr w14:paraId="6336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51" w:type="pct"/>
            <w:vAlign w:val="center"/>
          </w:tcPr>
          <w:p w14:paraId="335FD99B">
            <w:pPr>
              <w:spacing w:line="440" w:lineRule="exact"/>
              <w:jc w:val="center"/>
              <w:rPr>
                <w:rFonts w:hint="eastAsia" w:ascii="宋体" w:hAnsi="宋体" w:cs="宋体"/>
                <w:kern w:val="0"/>
                <w:szCs w:val="21"/>
              </w:rPr>
            </w:pPr>
            <w:r>
              <w:rPr>
                <w:rFonts w:hint="eastAsia" w:ascii="宋体" w:hAnsi="宋体" w:cs="宋体"/>
                <w:kern w:val="0"/>
                <w:szCs w:val="21"/>
              </w:rPr>
              <w:t>6</w:t>
            </w:r>
          </w:p>
        </w:tc>
        <w:tc>
          <w:tcPr>
            <w:tcW w:w="1298" w:type="pct"/>
            <w:vAlign w:val="center"/>
          </w:tcPr>
          <w:p w14:paraId="4E85727A">
            <w:pPr>
              <w:widowControl/>
              <w:spacing w:line="440" w:lineRule="exact"/>
              <w:rPr>
                <w:rFonts w:hint="eastAsia" w:cs="宋体" w:asciiTheme="majorEastAsia" w:hAnsiTheme="majorEastAsia" w:eastAsiaTheme="majorEastAsia"/>
                <w:bCs/>
                <w:szCs w:val="21"/>
              </w:rPr>
            </w:pPr>
            <w:r>
              <w:rPr>
                <w:rFonts w:asciiTheme="majorEastAsia" w:hAnsiTheme="majorEastAsia" w:eastAsiaTheme="majorEastAsia"/>
                <w:bCs/>
              </w:rPr>
              <w:t>预警闭环</w:t>
            </w:r>
            <w:r>
              <w:rPr>
                <w:rFonts w:hint="eastAsia" w:asciiTheme="majorEastAsia" w:hAnsiTheme="majorEastAsia" w:eastAsiaTheme="majorEastAsia"/>
                <w:bCs/>
              </w:rPr>
              <w:t>销号</w:t>
            </w:r>
          </w:p>
        </w:tc>
        <w:tc>
          <w:tcPr>
            <w:tcW w:w="3051" w:type="pct"/>
            <w:vAlign w:val="center"/>
          </w:tcPr>
          <w:p w14:paraId="00940422">
            <w:pPr>
              <w:spacing w:line="440" w:lineRule="exact"/>
              <w:rPr>
                <w:rFonts w:hint="eastAsia" w:ascii="宋体" w:hAnsi="宋体" w:cs="宋体"/>
                <w:bCs/>
                <w:szCs w:val="21"/>
              </w:rPr>
            </w:pPr>
            <w:r>
              <w:rPr>
                <w:rFonts w:hint="eastAsia" w:ascii="宋体" w:hAnsi="宋体" w:cs="宋体"/>
                <w:bCs/>
                <w:szCs w:val="21"/>
              </w:rPr>
              <w:t>用于预警后的通知和闭环处理</w:t>
            </w:r>
          </w:p>
        </w:tc>
      </w:tr>
      <w:tr w14:paraId="7BA1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51" w:type="pct"/>
            <w:vAlign w:val="center"/>
          </w:tcPr>
          <w:p w14:paraId="1D7ABEFA">
            <w:pPr>
              <w:spacing w:line="440" w:lineRule="exact"/>
              <w:jc w:val="center"/>
              <w:rPr>
                <w:rFonts w:hint="eastAsia" w:ascii="宋体" w:hAnsi="宋体" w:cs="宋体"/>
                <w:kern w:val="0"/>
                <w:szCs w:val="21"/>
              </w:rPr>
            </w:pPr>
            <w:r>
              <w:rPr>
                <w:rFonts w:hint="eastAsia" w:ascii="宋体" w:hAnsi="宋体" w:cs="宋体"/>
                <w:kern w:val="0"/>
                <w:szCs w:val="21"/>
              </w:rPr>
              <w:t>7</w:t>
            </w:r>
          </w:p>
        </w:tc>
        <w:tc>
          <w:tcPr>
            <w:tcW w:w="1298" w:type="pct"/>
            <w:vAlign w:val="center"/>
          </w:tcPr>
          <w:p w14:paraId="16C4CC1F">
            <w:pPr>
              <w:widowControl/>
              <w:spacing w:line="440" w:lineRule="exact"/>
              <w:rPr>
                <w:rFonts w:hint="eastAsia" w:asciiTheme="majorEastAsia" w:hAnsiTheme="majorEastAsia" w:eastAsiaTheme="majorEastAsia"/>
                <w:bCs/>
              </w:rPr>
            </w:pPr>
            <w:r>
              <w:rPr>
                <w:rFonts w:asciiTheme="majorEastAsia" w:hAnsiTheme="majorEastAsia" w:eastAsiaTheme="majorEastAsia"/>
                <w:bCs/>
              </w:rPr>
              <w:t>数据</w:t>
            </w:r>
            <w:r>
              <w:rPr>
                <w:rFonts w:hint="eastAsia" w:asciiTheme="majorEastAsia" w:hAnsiTheme="majorEastAsia" w:eastAsiaTheme="majorEastAsia"/>
                <w:bCs/>
              </w:rPr>
              <w:t>看板</w:t>
            </w:r>
          </w:p>
        </w:tc>
        <w:tc>
          <w:tcPr>
            <w:tcW w:w="3051" w:type="pct"/>
            <w:vAlign w:val="center"/>
          </w:tcPr>
          <w:p w14:paraId="2FA2CC61">
            <w:pPr>
              <w:spacing w:line="440" w:lineRule="exact"/>
              <w:rPr>
                <w:rFonts w:hint="eastAsia" w:ascii="宋体" w:hAnsi="宋体" w:cs="宋体"/>
                <w:bCs/>
                <w:szCs w:val="21"/>
              </w:rPr>
            </w:pPr>
            <w:r>
              <w:rPr>
                <w:rFonts w:hint="eastAsia" w:ascii="宋体" w:hAnsi="宋体" w:cs="宋体"/>
                <w:bCs/>
                <w:szCs w:val="21"/>
              </w:rPr>
              <w:t>汇总监管数据实现可视化的展示</w:t>
            </w:r>
          </w:p>
        </w:tc>
      </w:tr>
      <w:tr w14:paraId="41B6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51" w:type="pct"/>
            <w:vAlign w:val="center"/>
          </w:tcPr>
          <w:p w14:paraId="64DE9538">
            <w:pPr>
              <w:spacing w:line="440" w:lineRule="exact"/>
              <w:jc w:val="center"/>
              <w:rPr>
                <w:rFonts w:hint="eastAsia" w:ascii="宋体" w:hAnsi="宋体" w:cs="宋体"/>
                <w:kern w:val="0"/>
                <w:szCs w:val="21"/>
              </w:rPr>
            </w:pPr>
            <w:r>
              <w:rPr>
                <w:rFonts w:hint="eastAsia" w:ascii="宋体" w:hAnsi="宋体" w:cs="宋体"/>
                <w:kern w:val="0"/>
                <w:szCs w:val="21"/>
              </w:rPr>
              <w:t>8</w:t>
            </w:r>
          </w:p>
        </w:tc>
        <w:tc>
          <w:tcPr>
            <w:tcW w:w="1298" w:type="pct"/>
            <w:vAlign w:val="center"/>
          </w:tcPr>
          <w:p w14:paraId="427405BC">
            <w:pPr>
              <w:widowControl/>
              <w:spacing w:line="440" w:lineRule="exact"/>
              <w:rPr>
                <w:rFonts w:asciiTheme="majorEastAsia" w:hAnsiTheme="majorEastAsia" w:eastAsiaTheme="majorEastAsia"/>
                <w:bCs/>
              </w:rPr>
            </w:pPr>
            <w:r>
              <w:rPr>
                <w:rFonts w:hint="eastAsia" w:asciiTheme="majorEastAsia" w:hAnsiTheme="majorEastAsia" w:eastAsiaTheme="majorEastAsia"/>
                <w:bCs/>
              </w:rPr>
              <w:t>合同到期预警</w:t>
            </w:r>
          </w:p>
        </w:tc>
        <w:tc>
          <w:tcPr>
            <w:tcW w:w="3051" w:type="pct"/>
            <w:vAlign w:val="center"/>
          </w:tcPr>
          <w:p w14:paraId="5F2A370A">
            <w:pPr>
              <w:spacing w:line="440" w:lineRule="exact"/>
              <w:rPr>
                <w:rFonts w:hint="eastAsia" w:ascii="宋体" w:hAnsi="宋体" w:cs="宋体"/>
                <w:bCs/>
                <w:szCs w:val="21"/>
              </w:rPr>
            </w:pPr>
            <w:r>
              <w:rPr>
                <w:rFonts w:hint="eastAsia" w:ascii="宋体" w:hAnsi="宋体" w:cs="宋体"/>
                <w:bCs/>
                <w:szCs w:val="21"/>
              </w:rPr>
              <w:t>用于对合同到期预警的提醒和闭环管理</w:t>
            </w:r>
          </w:p>
        </w:tc>
      </w:tr>
      <w:tr w14:paraId="6B2C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51" w:type="pct"/>
            <w:vAlign w:val="center"/>
          </w:tcPr>
          <w:p w14:paraId="26028468">
            <w:pPr>
              <w:spacing w:line="440" w:lineRule="exact"/>
              <w:jc w:val="center"/>
              <w:rPr>
                <w:rFonts w:hint="eastAsia" w:ascii="宋体" w:hAnsi="宋体" w:cs="宋体"/>
                <w:kern w:val="0"/>
                <w:szCs w:val="21"/>
              </w:rPr>
            </w:pPr>
            <w:r>
              <w:rPr>
                <w:rFonts w:hint="eastAsia" w:ascii="宋体" w:hAnsi="宋体" w:cs="宋体"/>
                <w:kern w:val="0"/>
                <w:szCs w:val="21"/>
              </w:rPr>
              <w:t>9</w:t>
            </w:r>
          </w:p>
        </w:tc>
        <w:tc>
          <w:tcPr>
            <w:tcW w:w="1298" w:type="pct"/>
            <w:vAlign w:val="center"/>
          </w:tcPr>
          <w:p w14:paraId="34FC4708">
            <w:pPr>
              <w:widowControl/>
              <w:spacing w:line="440" w:lineRule="exact"/>
              <w:rPr>
                <w:rFonts w:asciiTheme="majorEastAsia" w:hAnsiTheme="majorEastAsia" w:eastAsiaTheme="majorEastAsia"/>
                <w:bCs/>
              </w:rPr>
            </w:pPr>
            <w:r>
              <w:rPr>
                <w:rFonts w:hint="eastAsia" w:asciiTheme="majorEastAsia" w:hAnsiTheme="majorEastAsia" w:eastAsiaTheme="majorEastAsia"/>
                <w:bCs/>
              </w:rPr>
              <w:t>合同审查管理</w:t>
            </w:r>
          </w:p>
        </w:tc>
        <w:tc>
          <w:tcPr>
            <w:tcW w:w="3051" w:type="pct"/>
            <w:vAlign w:val="center"/>
          </w:tcPr>
          <w:p w14:paraId="61A77CEF">
            <w:pPr>
              <w:spacing w:line="440" w:lineRule="exact"/>
              <w:rPr>
                <w:rFonts w:hint="eastAsia" w:ascii="宋体" w:hAnsi="宋体" w:cs="宋体"/>
                <w:bCs/>
                <w:szCs w:val="21"/>
              </w:rPr>
            </w:pPr>
            <w:r>
              <w:rPr>
                <w:rFonts w:hint="eastAsia" w:ascii="宋体" w:hAnsi="宋体" w:cs="宋体"/>
                <w:bCs/>
                <w:szCs w:val="21"/>
              </w:rPr>
              <w:t>借助AI对合同的合规性的审查辅助</w:t>
            </w:r>
          </w:p>
        </w:tc>
      </w:tr>
    </w:tbl>
    <w:p w14:paraId="38A25291"/>
    <w:p w14:paraId="2765C9CC">
      <w:pPr>
        <w:pStyle w:val="2"/>
        <w:numPr>
          <w:ilvl w:val="0"/>
          <w:numId w:val="3"/>
        </w:numPr>
        <w:tabs>
          <w:tab w:val="left" w:pos="720"/>
          <w:tab w:val="left" w:pos="1980"/>
        </w:tabs>
        <w:spacing w:line="440" w:lineRule="exact"/>
        <w:rPr>
          <w:rFonts w:hint="eastAsia" w:hAnsi="宋体" w:cs="宋体"/>
          <w:sz w:val="21"/>
          <w:szCs w:val="21"/>
        </w:rPr>
      </w:pPr>
      <w:r>
        <w:rPr>
          <w:rFonts w:hint="eastAsia" w:hAnsi="宋体" w:cs="宋体"/>
          <w:sz w:val="21"/>
          <w:szCs w:val="21"/>
        </w:rPr>
        <w:t>技术要求</w:t>
      </w:r>
    </w:p>
    <w:p w14:paraId="3F1A8EA2">
      <w:pPr>
        <w:pStyle w:val="32"/>
        <w:numPr>
          <w:ilvl w:val="0"/>
          <w:numId w:val="4"/>
        </w:numPr>
        <w:spacing w:line="440" w:lineRule="exact"/>
        <w:ind w:firstLineChars="0"/>
        <w:outlineLvl w:val="1"/>
        <w:rPr>
          <w:rFonts w:hint="eastAsia" w:ascii="宋体" w:hAnsi="宋体" w:cs="宋体"/>
          <w:b/>
          <w:szCs w:val="21"/>
        </w:rPr>
      </w:pPr>
      <w:r>
        <w:rPr>
          <w:rFonts w:hint="eastAsia" w:ascii="宋体" w:hAnsi="宋体" w:cs="宋体"/>
          <w:b/>
          <w:szCs w:val="21"/>
        </w:rPr>
        <w:t>总体要求</w:t>
      </w:r>
    </w:p>
    <w:p w14:paraId="0F97EFE9">
      <w:pPr>
        <w:spacing w:line="360" w:lineRule="auto"/>
        <w:ind w:firstLine="424" w:firstLineChars="202"/>
        <w:rPr>
          <w:rFonts w:hint="eastAsia" w:asciiTheme="majorEastAsia" w:hAnsiTheme="majorEastAsia" w:eastAsiaTheme="majorEastAsia"/>
          <w:bCs/>
          <w:szCs w:val="21"/>
        </w:rPr>
      </w:pPr>
      <w:r>
        <w:rPr>
          <w:rFonts w:hint="eastAsia" w:asciiTheme="majorEastAsia" w:hAnsiTheme="majorEastAsia" w:eastAsiaTheme="majorEastAsia"/>
          <w:bCs/>
          <w:szCs w:val="21"/>
        </w:rPr>
        <w:t>1.</w:t>
      </w:r>
      <w:r>
        <w:rPr>
          <w:rFonts w:hint="eastAsia" w:asciiTheme="majorEastAsia" w:hAnsiTheme="majorEastAsia" w:eastAsiaTheme="majorEastAsia"/>
          <w:bCs/>
          <w:szCs w:val="21"/>
        </w:rPr>
        <w:tab/>
      </w:r>
      <w:r>
        <w:rPr>
          <w:rFonts w:hint="eastAsia" w:asciiTheme="majorEastAsia" w:hAnsiTheme="majorEastAsia" w:eastAsiaTheme="majorEastAsia"/>
          <w:bCs/>
          <w:szCs w:val="21"/>
        </w:rPr>
        <w:t>系统采用微服务技术开发，充分利用业务中台共享中心的公共服务能力与数据中台的数据服务能力，构建审计管理应用。</w:t>
      </w:r>
    </w:p>
    <w:p w14:paraId="0C58BAB8">
      <w:pPr>
        <w:spacing w:line="360" w:lineRule="auto"/>
        <w:ind w:firstLine="424" w:firstLineChars="202"/>
        <w:rPr>
          <w:rFonts w:hint="eastAsia" w:asciiTheme="majorEastAsia" w:hAnsiTheme="majorEastAsia" w:eastAsiaTheme="majorEastAsia"/>
          <w:bCs/>
          <w:strike w:val="0"/>
          <w:color w:val="0000FF"/>
          <w:szCs w:val="21"/>
          <w:lang w:eastAsia="zh-CN"/>
        </w:rPr>
      </w:pPr>
      <w:r>
        <w:rPr>
          <w:rFonts w:hint="eastAsia" w:asciiTheme="majorEastAsia" w:hAnsiTheme="majorEastAsia" w:eastAsiaTheme="majorEastAsia"/>
          <w:bCs/>
          <w:szCs w:val="21"/>
        </w:rPr>
        <w:t>2.</w:t>
      </w:r>
      <w:r>
        <w:rPr>
          <w:rFonts w:hint="eastAsia" w:asciiTheme="majorEastAsia" w:hAnsiTheme="majorEastAsia" w:eastAsiaTheme="majorEastAsia"/>
          <w:bCs/>
          <w:szCs w:val="21"/>
        </w:rPr>
        <w:tab/>
      </w:r>
      <w:r>
        <w:rPr>
          <w:rFonts w:hint="eastAsia" w:asciiTheme="majorEastAsia" w:hAnsiTheme="majorEastAsia" w:eastAsiaTheme="majorEastAsia"/>
          <w:bCs/>
          <w:szCs w:val="21"/>
        </w:rPr>
        <w:t>集成要求：系统建设应与</w:t>
      </w:r>
      <w:r>
        <w:rPr>
          <w:rFonts w:hint="eastAsia" w:asciiTheme="majorEastAsia" w:hAnsiTheme="majorEastAsia" w:eastAsiaTheme="majorEastAsia"/>
          <w:bCs/>
          <w:szCs w:val="21"/>
          <w:lang w:val="en-US" w:eastAsia="zh-CN"/>
        </w:rPr>
        <w:t>院内</w:t>
      </w:r>
      <w:r>
        <w:rPr>
          <w:rFonts w:hint="eastAsia" w:asciiTheme="majorEastAsia" w:hAnsiTheme="majorEastAsia" w:eastAsiaTheme="majorEastAsia"/>
          <w:bCs/>
          <w:szCs w:val="21"/>
        </w:rPr>
        <w:t>OA、钉钉</w:t>
      </w:r>
      <w:r>
        <w:rPr>
          <w:rFonts w:hint="default" w:asciiTheme="majorEastAsia" w:hAnsiTheme="majorEastAsia" w:eastAsiaTheme="majorEastAsia"/>
          <w:bCs/>
          <w:szCs w:val="21"/>
        </w:rPr>
        <w:t>、HIS、物资管理</w:t>
      </w:r>
      <w:r>
        <w:rPr>
          <w:rFonts w:hint="eastAsia" w:asciiTheme="majorEastAsia" w:hAnsiTheme="majorEastAsia" w:eastAsiaTheme="majorEastAsia"/>
          <w:bCs/>
          <w:szCs w:val="21"/>
          <w:lang w:eastAsia="zh-CN"/>
        </w:rPr>
        <w:t>等</w:t>
      </w:r>
      <w:r>
        <w:rPr>
          <w:rFonts w:hint="eastAsia" w:asciiTheme="majorEastAsia" w:hAnsiTheme="majorEastAsia" w:eastAsiaTheme="majorEastAsia"/>
          <w:bCs/>
          <w:szCs w:val="21"/>
        </w:rPr>
        <w:t>系统进行集成</w:t>
      </w:r>
      <w:r>
        <w:rPr>
          <w:rFonts w:hint="eastAsia" w:asciiTheme="majorEastAsia" w:hAnsiTheme="majorEastAsia" w:eastAsiaTheme="majorEastAsia"/>
          <w:bCs/>
          <w:szCs w:val="21"/>
          <w:lang w:eastAsia="zh-CN"/>
        </w:rPr>
        <w:t>，</w:t>
      </w:r>
      <w:r>
        <w:rPr>
          <w:rFonts w:hint="eastAsia" w:asciiTheme="majorEastAsia" w:hAnsiTheme="majorEastAsia" w:eastAsiaTheme="majorEastAsia"/>
          <w:bCs/>
          <w:szCs w:val="21"/>
        </w:rPr>
        <w:t>对接费用包含在整体报价中。</w:t>
      </w:r>
    </w:p>
    <w:p w14:paraId="6045CE03">
      <w:pPr>
        <w:spacing w:line="360" w:lineRule="auto"/>
        <w:ind w:firstLine="424" w:firstLineChars="202"/>
        <w:rPr>
          <w:rFonts w:hint="eastAsia" w:asciiTheme="majorEastAsia" w:hAnsiTheme="majorEastAsia" w:eastAsiaTheme="majorEastAsia"/>
          <w:bCs/>
          <w:szCs w:val="21"/>
        </w:rPr>
      </w:pPr>
      <w:r>
        <w:rPr>
          <w:rFonts w:hint="eastAsia" w:asciiTheme="majorEastAsia" w:hAnsiTheme="majorEastAsia" w:eastAsiaTheme="majorEastAsia"/>
          <w:bCs/>
          <w:szCs w:val="21"/>
        </w:rPr>
        <w:t>3.</w:t>
      </w:r>
      <w:r>
        <w:rPr>
          <w:rFonts w:hint="eastAsia" w:asciiTheme="majorEastAsia" w:hAnsiTheme="majorEastAsia" w:eastAsiaTheme="majorEastAsia"/>
          <w:bCs/>
          <w:szCs w:val="21"/>
        </w:rPr>
        <w:tab/>
      </w:r>
      <w:r>
        <w:rPr>
          <w:rFonts w:hint="eastAsia" w:asciiTheme="majorEastAsia" w:hAnsiTheme="majorEastAsia" w:eastAsiaTheme="majorEastAsia"/>
          <w:bCs/>
          <w:szCs w:val="21"/>
        </w:rPr>
        <w:t>系统建设应符合国家及行业要求的规范标准并结合我单位的实际情况，支持私有云及信创环境下部署。</w:t>
      </w:r>
    </w:p>
    <w:p w14:paraId="1020FE27">
      <w:pPr>
        <w:spacing w:line="360" w:lineRule="auto"/>
        <w:ind w:firstLine="424" w:firstLineChars="202"/>
        <w:rPr>
          <w:rFonts w:hint="eastAsia" w:asciiTheme="majorEastAsia" w:hAnsiTheme="majorEastAsia" w:eastAsiaTheme="majorEastAsia"/>
          <w:bCs/>
          <w:szCs w:val="21"/>
        </w:rPr>
      </w:pPr>
      <w:r>
        <w:rPr>
          <w:rFonts w:hint="eastAsia" w:asciiTheme="majorEastAsia" w:hAnsiTheme="majorEastAsia" w:eastAsiaTheme="majorEastAsia"/>
          <w:bCs/>
          <w:szCs w:val="21"/>
        </w:rPr>
        <w:t>4.</w:t>
      </w:r>
      <w:r>
        <w:rPr>
          <w:rFonts w:hint="eastAsia" w:asciiTheme="majorEastAsia" w:hAnsiTheme="majorEastAsia" w:eastAsiaTheme="majorEastAsia"/>
          <w:bCs/>
          <w:szCs w:val="21"/>
        </w:rPr>
        <w:tab/>
      </w:r>
      <w:r>
        <w:rPr>
          <w:rFonts w:hint="eastAsia" w:asciiTheme="majorEastAsia" w:hAnsiTheme="majorEastAsia" w:eastAsiaTheme="majorEastAsia"/>
          <w:bCs/>
          <w:szCs w:val="21"/>
        </w:rPr>
        <w:t>所有建设内容应满足项目整体建设需要，成交供应商需要完成系统建设工作，同时承担相应系统及初始化的运行维护等工作。</w:t>
      </w:r>
    </w:p>
    <w:p w14:paraId="5A8057B4">
      <w:pPr>
        <w:pStyle w:val="32"/>
        <w:numPr>
          <w:ilvl w:val="0"/>
          <w:numId w:val="4"/>
        </w:numPr>
        <w:spacing w:line="440" w:lineRule="exact"/>
        <w:ind w:firstLineChars="0"/>
        <w:outlineLvl w:val="1"/>
        <w:rPr>
          <w:rFonts w:hint="eastAsia" w:ascii="宋体" w:hAnsi="宋体" w:cs="宋体"/>
          <w:b/>
          <w:szCs w:val="21"/>
        </w:rPr>
      </w:pPr>
      <w:r>
        <w:rPr>
          <w:rFonts w:hint="eastAsia" w:ascii="宋体" w:hAnsi="宋体" w:cs="宋体"/>
          <w:b/>
          <w:szCs w:val="21"/>
        </w:rPr>
        <w:t>功能要求</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5"/>
        <w:gridCol w:w="7708"/>
      </w:tblGrid>
      <w:tr w14:paraId="1188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69" w:type="pct"/>
          </w:tcPr>
          <w:p w14:paraId="05C0DE0E">
            <w:pPr>
              <w:rPr>
                <w:bCs/>
              </w:rPr>
            </w:pPr>
            <w:r>
              <w:rPr>
                <w:rFonts w:ascii="黑体" w:hAnsi="黑体" w:eastAsia="黑体"/>
                <w:bCs/>
              </w:rPr>
              <w:t>序号</w:t>
            </w:r>
          </w:p>
        </w:tc>
        <w:tc>
          <w:tcPr>
            <w:tcW w:w="4530" w:type="pct"/>
            <w:gridSpan w:val="2"/>
          </w:tcPr>
          <w:p w14:paraId="17C04D36">
            <w:pPr>
              <w:rPr>
                <w:bCs/>
              </w:rPr>
            </w:pPr>
            <w:r>
              <w:rPr>
                <w:rFonts w:ascii="黑体" w:hAnsi="黑体" w:eastAsia="黑体"/>
                <w:bCs/>
              </w:rPr>
              <w:t>功能与技术说明</w:t>
            </w:r>
          </w:p>
        </w:tc>
      </w:tr>
      <w:tr w14:paraId="505A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54B94D7F">
            <w:pPr>
              <w:rPr>
                <w:bCs/>
              </w:rPr>
            </w:pPr>
            <w:r>
              <w:rPr>
                <w:rFonts w:ascii="黑体" w:hAnsi="黑体" w:eastAsia="黑体"/>
                <w:bCs/>
              </w:rPr>
              <w:t>一、基础管理</w:t>
            </w:r>
          </w:p>
        </w:tc>
      </w:tr>
      <w:tr w14:paraId="3CCB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shd w:val="clear" w:color="auto" w:fill="auto"/>
            <w:vAlign w:val="top"/>
          </w:tcPr>
          <w:p w14:paraId="2388E6BA">
            <w:pPr>
              <w:jc w:val="center"/>
              <w:rPr>
                <w:rFonts w:hint="eastAsia" w:ascii="Times New Roman" w:hAnsi="Times New Roman" w:eastAsia="宋体" w:cs="Times New Roman"/>
                <w:kern w:val="2"/>
                <w:sz w:val="21"/>
                <w:szCs w:val="24"/>
                <w:lang w:val="en-US" w:eastAsia="zh-CN" w:bidi="ar-SA"/>
              </w:rPr>
            </w:pPr>
            <w:r>
              <w:rPr>
                <w:rFonts w:hint="eastAsia"/>
                <w:lang w:val="en-US" w:eastAsia="zh-CN"/>
              </w:rPr>
              <w:t>1</w:t>
            </w:r>
          </w:p>
        </w:tc>
        <w:tc>
          <w:tcPr>
            <w:tcW w:w="4530" w:type="pct"/>
            <w:gridSpan w:val="2"/>
            <w:shd w:val="clear" w:color="auto" w:fill="auto"/>
            <w:vAlign w:val="top"/>
          </w:tcPr>
          <w:p w14:paraId="5D037D3D">
            <w:pPr>
              <w:rPr>
                <w:rFonts w:ascii="Times New Roman" w:hAnsi="Times New Roman" w:eastAsia="宋体" w:cs="Times New Roman"/>
                <w:bCs/>
                <w:kern w:val="2"/>
                <w:sz w:val="21"/>
                <w:szCs w:val="24"/>
                <w:lang w:val="en-US" w:eastAsia="zh-CN" w:bidi="ar-SA"/>
              </w:rPr>
            </w:pPr>
            <w:r>
              <w:rPr>
                <w:rFonts w:hint="eastAsia" w:ascii="宋体" w:hAnsi="宋体"/>
                <w:bCs/>
                <w:sz w:val="20"/>
              </w:rPr>
              <w:t>支持对药品信息的维护管理</w:t>
            </w:r>
          </w:p>
        </w:tc>
      </w:tr>
      <w:tr w14:paraId="3E40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shd w:val="clear" w:color="auto" w:fill="auto"/>
            <w:vAlign w:val="top"/>
          </w:tcPr>
          <w:p w14:paraId="767F5487">
            <w:pPr>
              <w:jc w:val="center"/>
              <w:rPr>
                <w:rFonts w:hint="eastAsia" w:ascii="Times New Roman" w:hAnsi="Times New Roman" w:eastAsia="宋体" w:cs="Times New Roman"/>
                <w:kern w:val="2"/>
                <w:sz w:val="21"/>
                <w:szCs w:val="24"/>
                <w:lang w:val="en-US" w:eastAsia="zh-CN" w:bidi="ar-SA"/>
              </w:rPr>
            </w:pPr>
            <w:r>
              <w:rPr>
                <w:rFonts w:hint="eastAsia"/>
                <w:lang w:val="en-US" w:eastAsia="zh-CN"/>
              </w:rPr>
              <w:t>2</w:t>
            </w:r>
          </w:p>
        </w:tc>
        <w:tc>
          <w:tcPr>
            <w:tcW w:w="4530" w:type="pct"/>
            <w:gridSpan w:val="2"/>
            <w:shd w:val="clear" w:color="auto" w:fill="auto"/>
            <w:vAlign w:val="top"/>
          </w:tcPr>
          <w:p w14:paraId="365CD1D4">
            <w:pPr>
              <w:rPr>
                <w:rFonts w:hint="eastAsia" w:ascii="Times New Roman" w:hAnsi="Times New Roman" w:eastAsia="宋体" w:cs="Times New Roman"/>
                <w:bCs/>
                <w:kern w:val="2"/>
                <w:sz w:val="21"/>
                <w:szCs w:val="24"/>
                <w:lang w:val="en-US" w:eastAsia="zh-CN" w:bidi="ar-SA"/>
              </w:rPr>
            </w:pPr>
            <w:r>
              <w:rPr>
                <w:rFonts w:hint="eastAsia" w:ascii="宋体" w:hAnsi="宋体"/>
                <w:bCs/>
                <w:sz w:val="20"/>
              </w:rPr>
              <w:t>支持对</w:t>
            </w:r>
            <w:r>
              <w:rPr>
                <w:rFonts w:ascii="宋体" w:hAnsi="宋体"/>
                <w:bCs/>
                <w:sz w:val="20"/>
              </w:rPr>
              <w:t>耗材</w:t>
            </w:r>
            <w:r>
              <w:rPr>
                <w:rFonts w:hint="eastAsia" w:ascii="宋体" w:hAnsi="宋体"/>
                <w:bCs/>
                <w:sz w:val="20"/>
              </w:rPr>
              <w:t>高价值、</w:t>
            </w:r>
            <w:r>
              <w:rPr>
                <w:rFonts w:ascii="宋体" w:hAnsi="宋体"/>
                <w:bCs/>
                <w:sz w:val="20"/>
              </w:rPr>
              <w:t>重点监控耗材目录</w:t>
            </w:r>
            <w:r>
              <w:rPr>
                <w:rFonts w:hint="eastAsia" w:ascii="宋体" w:hAnsi="宋体"/>
                <w:bCs/>
                <w:sz w:val="20"/>
                <w:lang w:val="en-US" w:eastAsia="zh-CN"/>
              </w:rPr>
              <w:t>维护管理</w:t>
            </w:r>
          </w:p>
        </w:tc>
      </w:tr>
      <w:tr w14:paraId="0507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0C17B722">
            <w:bookmarkStart w:id="2" w:name="OLE_LINK3"/>
            <w:r>
              <w:rPr>
                <w:rFonts w:ascii="黑体" w:hAnsi="黑体" w:eastAsia="黑体"/>
                <w:bCs/>
              </w:rPr>
              <w:t>二</w:t>
            </w:r>
            <w:bookmarkEnd w:id="2"/>
            <w:r>
              <w:rPr>
                <w:rFonts w:hint="eastAsia" w:ascii="黑体" w:hAnsi="黑体" w:eastAsia="黑体"/>
                <w:bCs/>
              </w:rPr>
              <w:t>、数据对接同步</w:t>
            </w:r>
          </w:p>
        </w:tc>
      </w:tr>
      <w:tr w14:paraId="2B5C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0B6D4C84">
            <w:pPr>
              <w:jc w:val="center"/>
              <w:rPr>
                <w:rFonts w:hint="eastAsia" w:asciiTheme="majorEastAsia" w:hAnsiTheme="majorEastAsia" w:eastAsiaTheme="majorEastAsia"/>
                <w:bCs/>
                <w:sz w:val="22"/>
                <w:szCs w:val="22"/>
              </w:rPr>
            </w:pPr>
            <w:r>
              <w:rPr>
                <w:rFonts w:hint="eastAsia" w:asciiTheme="majorEastAsia" w:hAnsiTheme="majorEastAsia" w:eastAsiaTheme="majorEastAsia"/>
                <w:bCs/>
                <w:sz w:val="22"/>
                <w:szCs w:val="22"/>
              </w:rPr>
              <w:t>1</w:t>
            </w:r>
          </w:p>
        </w:tc>
        <w:tc>
          <w:tcPr>
            <w:tcW w:w="4530" w:type="pct"/>
            <w:gridSpan w:val="2"/>
          </w:tcPr>
          <w:p w14:paraId="1167E044">
            <w:pPr>
              <w:rPr>
                <w:rFonts w:hint="eastAsia" w:ascii="黑体" w:hAnsi="黑体" w:eastAsia="黑体"/>
                <w:bCs/>
                <w:color w:val="1F4E79"/>
              </w:rPr>
            </w:pPr>
            <w:r>
              <w:rPr>
                <w:rFonts w:hint="eastAsia"/>
              </w:rPr>
              <w:t>支持设置自动调度进行数据的同步，支持对任务的新增、修改、删除操作，任务支持名称、调用目标字符串、cron表达式、计划执行错误策略、是否并发等，支持对任务手动执行</w:t>
            </w:r>
          </w:p>
        </w:tc>
      </w:tr>
      <w:tr w14:paraId="54ED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5FB41045">
            <w:pPr>
              <w:jc w:val="center"/>
              <w:rPr>
                <w:rFonts w:hint="eastAsia" w:asciiTheme="majorEastAsia" w:hAnsiTheme="majorEastAsia" w:eastAsiaTheme="majorEastAsia"/>
                <w:bCs/>
                <w:sz w:val="22"/>
                <w:szCs w:val="22"/>
              </w:rPr>
            </w:pPr>
            <w:r>
              <w:rPr>
                <w:rFonts w:hint="eastAsia" w:asciiTheme="majorEastAsia" w:hAnsiTheme="majorEastAsia" w:eastAsiaTheme="majorEastAsia"/>
                <w:bCs/>
                <w:sz w:val="22"/>
                <w:szCs w:val="22"/>
              </w:rPr>
              <w:t>2</w:t>
            </w:r>
          </w:p>
        </w:tc>
        <w:tc>
          <w:tcPr>
            <w:tcW w:w="4530" w:type="pct"/>
            <w:gridSpan w:val="2"/>
          </w:tcPr>
          <w:p w14:paraId="773A092C">
            <w:pPr>
              <w:rPr>
                <w:rFonts w:hint="eastAsia" w:ascii="宋体" w:hAnsi="宋体"/>
                <w:bCs/>
                <w:sz w:val="20"/>
              </w:rPr>
            </w:pPr>
            <w:r>
              <w:rPr>
                <w:rFonts w:hint="eastAsia" w:ascii="宋体" w:hAnsi="宋体"/>
                <w:bCs/>
                <w:sz w:val="20"/>
              </w:rPr>
              <w:t>需要对接his</w:t>
            </w:r>
            <w:r>
              <w:rPr>
                <w:rFonts w:ascii="宋体" w:hAnsi="宋体"/>
                <w:bCs/>
                <w:sz w:val="20"/>
              </w:rPr>
              <w:t>系统，</w:t>
            </w:r>
            <w:r>
              <w:rPr>
                <w:rFonts w:hint="eastAsia" w:ascii="宋体" w:hAnsi="宋体"/>
                <w:bCs/>
                <w:sz w:val="20"/>
              </w:rPr>
              <w:t>获取</w:t>
            </w:r>
            <w:r>
              <w:rPr>
                <w:rFonts w:ascii="宋体" w:hAnsi="宋体"/>
                <w:bCs/>
                <w:sz w:val="20"/>
              </w:rPr>
              <w:t>药品</w:t>
            </w:r>
            <w:r>
              <w:rPr>
                <w:rFonts w:hint="eastAsia" w:ascii="宋体" w:hAnsi="宋体"/>
                <w:bCs/>
                <w:sz w:val="20"/>
              </w:rPr>
              <w:t>的使用量以及对应的医生的信息</w:t>
            </w:r>
            <w:r>
              <w:rPr>
                <w:rFonts w:ascii="宋体" w:hAnsi="宋体"/>
                <w:bCs/>
                <w:sz w:val="20"/>
              </w:rPr>
              <w:t>。</w:t>
            </w:r>
          </w:p>
        </w:tc>
      </w:tr>
      <w:tr w14:paraId="71DE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7A13C7C7">
            <w:pPr>
              <w:jc w:val="center"/>
              <w:rPr>
                <w:rFonts w:hint="eastAsia" w:asciiTheme="majorEastAsia" w:hAnsiTheme="majorEastAsia" w:eastAsiaTheme="majorEastAsia"/>
                <w:sz w:val="22"/>
                <w:szCs w:val="22"/>
              </w:rPr>
            </w:pPr>
            <w:r>
              <w:rPr>
                <w:rFonts w:hint="eastAsia" w:asciiTheme="majorEastAsia" w:hAnsiTheme="majorEastAsia" w:eastAsiaTheme="majorEastAsia"/>
                <w:sz w:val="22"/>
                <w:szCs w:val="22"/>
              </w:rPr>
              <w:t>3</w:t>
            </w:r>
          </w:p>
        </w:tc>
        <w:tc>
          <w:tcPr>
            <w:tcW w:w="4530" w:type="pct"/>
            <w:gridSpan w:val="2"/>
          </w:tcPr>
          <w:p w14:paraId="4BB88B9C">
            <w:pPr>
              <w:rPr>
                <w:rFonts w:hint="eastAsia" w:ascii="宋体" w:hAnsi="宋体"/>
                <w:b/>
                <w:sz w:val="20"/>
              </w:rPr>
            </w:pPr>
            <w:r>
              <w:rPr>
                <w:rFonts w:hint="eastAsia" w:ascii="宋体" w:hAnsi="宋体"/>
                <w:bCs/>
                <w:sz w:val="20"/>
              </w:rPr>
              <w:t>需要对接SPD系统，获取耗材的领用数据以及对应科室的信息。</w:t>
            </w:r>
          </w:p>
        </w:tc>
      </w:tr>
      <w:tr w14:paraId="1B47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5A46CBC1">
            <w:pPr>
              <w:jc w:val="center"/>
              <w:rPr>
                <w:rFonts w:hint="eastAsia" w:asciiTheme="majorEastAsia" w:hAnsiTheme="majorEastAsia" w:eastAsiaTheme="majorEastAsia"/>
                <w:bCs/>
                <w:sz w:val="22"/>
                <w:szCs w:val="22"/>
              </w:rPr>
            </w:pPr>
            <w:r>
              <w:rPr>
                <w:rFonts w:hint="eastAsia" w:asciiTheme="majorEastAsia" w:hAnsiTheme="majorEastAsia" w:eastAsiaTheme="majorEastAsia"/>
                <w:bCs/>
                <w:sz w:val="22"/>
                <w:szCs w:val="22"/>
              </w:rPr>
              <w:t>4</w:t>
            </w:r>
          </w:p>
        </w:tc>
        <w:tc>
          <w:tcPr>
            <w:tcW w:w="4530" w:type="pct"/>
            <w:gridSpan w:val="2"/>
          </w:tcPr>
          <w:p w14:paraId="56CD5D82">
            <w:pPr>
              <w:rPr>
                <w:rFonts w:hint="eastAsia" w:ascii="黑体" w:hAnsi="黑体" w:eastAsia="黑体"/>
                <w:bCs/>
                <w:color w:val="1F4E79"/>
              </w:rPr>
            </w:pPr>
            <w:r>
              <w:rPr>
                <w:rFonts w:hint="eastAsia" w:ascii="宋体" w:hAnsi="宋体"/>
                <w:bCs/>
                <w:sz w:val="20"/>
              </w:rPr>
              <w:t>需要对接资产管理系统，获取设备的巡检记录信息</w:t>
            </w:r>
          </w:p>
        </w:tc>
      </w:tr>
      <w:tr w14:paraId="63DF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2DDEF5D7">
            <w:pPr>
              <w:rPr>
                <w:rFonts w:hint="eastAsia" w:ascii="黑体" w:hAnsi="黑体" w:eastAsia="黑体"/>
                <w:bCs/>
              </w:rPr>
            </w:pPr>
            <w:r>
              <w:rPr>
                <w:rFonts w:hint="eastAsia" w:ascii="黑体" w:hAnsi="黑体" w:eastAsia="黑体"/>
                <w:bCs/>
              </w:rPr>
              <w:t>三</w:t>
            </w:r>
            <w:r>
              <w:rPr>
                <w:rFonts w:ascii="黑体" w:hAnsi="黑体" w:eastAsia="黑体"/>
                <w:bCs/>
              </w:rPr>
              <w:t>、药品监管</w:t>
            </w:r>
          </w:p>
        </w:tc>
      </w:tr>
      <w:tr w14:paraId="00F4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312DBCE4">
            <w:pPr>
              <w:jc w:val="center"/>
              <w:rPr>
                <w:rFonts w:hint="eastAsia" w:asciiTheme="majorEastAsia" w:hAnsiTheme="majorEastAsia" w:eastAsiaTheme="majorEastAsia"/>
              </w:rPr>
            </w:pPr>
            <w:r>
              <w:rPr>
                <w:rFonts w:hint="eastAsia" w:asciiTheme="majorEastAsia" w:hAnsiTheme="majorEastAsia" w:eastAsiaTheme="majorEastAsia"/>
              </w:rPr>
              <w:t>1</w:t>
            </w:r>
          </w:p>
        </w:tc>
        <w:tc>
          <w:tcPr>
            <w:tcW w:w="4530" w:type="pct"/>
            <w:gridSpan w:val="2"/>
          </w:tcPr>
          <w:p w14:paraId="6E871AF1">
            <w:pPr>
              <w:rPr>
                <w:rFonts w:hint="default"/>
                <w:bCs/>
                <w:woUserID w:val="1"/>
              </w:rPr>
            </w:pPr>
            <w:r>
              <w:rPr>
                <w:rFonts w:ascii="宋体" w:hAnsi="宋体"/>
                <w:bCs/>
                <w:sz w:val="20"/>
              </w:rPr>
              <w:t>新药申请量预警：监测各科室在一个周期内累计申请新药次数，超过医院规定限额即触发预警</w:t>
            </w:r>
            <w:r>
              <w:rPr>
                <w:rFonts w:ascii="宋体" w:hAnsi="宋体"/>
                <w:bCs/>
                <w:sz w:val="20"/>
                <w:woUserID w:val="1"/>
              </w:rPr>
              <w:t>。</w:t>
            </w:r>
          </w:p>
        </w:tc>
      </w:tr>
      <w:tr w14:paraId="4CBD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2ABD21CB">
            <w:pPr>
              <w:jc w:val="center"/>
              <w:rPr>
                <w:rFonts w:hint="eastAsia" w:asciiTheme="majorEastAsia" w:hAnsiTheme="majorEastAsia" w:eastAsiaTheme="majorEastAsia"/>
              </w:rPr>
            </w:pPr>
            <w:r>
              <w:rPr>
                <w:rFonts w:hint="eastAsia" w:asciiTheme="majorEastAsia" w:hAnsiTheme="majorEastAsia" w:eastAsiaTheme="majorEastAsia"/>
              </w:rPr>
              <w:t>2</w:t>
            </w:r>
          </w:p>
        </w:tc>
        <w:tc>
          <w:tcPr>
            <w:tcW w:w="4530" w:type="pct"/>
            <w:gridSpan w:val="2"/>
          </w:tcPr>
          <w:p w14:paraId="730AE00B">
            <w:pPr>
              <w:rPr>
                <w:bCs/>
              </w:rPr>
            </w:pPr>
            <w:r>
              <w:rPr>
                <w:rFonts w:ascii="宋体" w:hAnsi="宋体"/>
                <w:bCs/>
                <w:sz w:val="20"/>
              </w:rPr>
              <w:t>全院药品周转率预警：监测每月全院药品周转率（月药品销售金额/月底药品库存金额），对</w:t>
            </w:r>
            <w:r>
              <w:rPr>
                <w:rFonts w:hint="eastAsia" w:ascii="宋体" w:hAnsi="宋体"/>
                <w:bCs/>
                <w:sz w:val="20"/>
              </w:rPr>
              <w:t>低于一</w:t>
            </w:r>
            <w:r>
              <w:rPr>
                <w:rFonts w:hint="eastAsia" w:ascii="宋体" w:hAnsi="宋体"/>
                <w:bCs/>
                <w:sz w:val="20"/>
                <w:lang w:val="en-US" w:eastAsia="zh-CN"/>
              </w:rPr>
              <w:t>定</w:t>
            </w:r>
            <w:r>
              <w:rPr>
                <w:rFonts w:hint="eastAsia" w:ascii="宋体" w:hAnsi="宋体"/>
                <w:bCs/>
                <w:sz w:val="20"/>
              </w:rPr>
              <w:t>阈值进行</w:t>
            </w:r>
            <w:r>
              <w:rPr>
                <w:rFonts w:ascii="宋体" w:hAnsi="宋体"/>
                <w:bCs/>
                <w:sz w:val="20"/>
              </w:rPr>
              <w:t>预警。</w:t>
            </w:r>
          </w:p>
        </w:tc>
      </w:tr>
      <w:tr w14:paraId="3C5E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211D6687">
            <w:pPr>
              <w:jc w:val="center"/>
              <w:rPr>
                <w:rFonts w:hint="eastAsia" w:asciiTheme="majorEastAsia" w:hAnsiTheme="majorEastAsia" w:eastAsiaTheme="majorEastAsia"/>
              </w:rPr>
            </w:pPr>
            <w:r>
              <w:rPr>
                <w:rFonts w:hint="eastAsia" w:asciiTheme="majorEastAsia" w:hAnsiTheme="majorEastAsia" w:eastAsiaTheme="majorEastAsia"/>
              </w:rPr>
              <w:t>3</w:t>
            </w:r>
          </w:p>
        </w:tc>
        <w:tc>
          <w:tcPr>
            <w:tcW w:w="4530" w:type="pct"/>
            <w:gridSpan w:val="2"/>
          </w:tcPr>
          <w:p w14:paraId="76C21DD2">
            <w:pPr>
              <w:rPr>
                <w:rFonts w:hint="default"/>
                <w:bCs/>
                <w:woUserID w:val="1"/>
              </w:rPr>
            </w:pPr>
            <w:r>
              <w:rPr>
                <w:rFonts w:ascii="宋体" w:hAnsi="宋体"/>
                <w:bCs/>
                <w:sz w:val="20"/>
              </w:rPr>
              <w:t>单品种药品使用金额预警：按抗菌药物、抗肿瘤药、重点监控合理用药药品、外配处方、新准入药品等单品种使用金额</w:t>
            </w:r>
            <w:r>
              <w:rPr>
                <w:rFonts w:hint="eastAsia" w:ascii="宋体" w:hAnsi="宋体"/>
                <w:bCs/>
                <w:sz w:val="20"/>
              </w:rPr>
              <w:t>进行统计分析</w:t>
            </w:r>
            <w:r>
              <w:rPr>
                <w:rFonts w:ascii="宋体" w:hAnsi="宋体"/>
                <w:bCs/>
                <w:sz w:val="20"/>
              </w:rPr>
              <w:t>，依据环比增长率设定红、黄预警阈值，实现“科室—医疗组—医生”三级穿透</w:t>
            </w:r>
            <w:r>
              <w:rPr>
                <w:rFonts w:ascii="宋体" w:hAnsi="宋体"/>
                <w:bCs/>
                <w:sz w:val="20"/>
                <w:woUserID w:val="1"/>
              </w:rPr>
              <w:t>。</w:t>
            </w:r>
          </w:p>
        </w:tc>
      </w:tr>
      <w:tr w14:paraId="2E9E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01DD56DD">
            <w:pPr>
              <w:jc w:val="center"/>
              <w:rPr>
                <w:rFonts w:hint="eastAsia" w:asciiTheme="majorEastAsia" w:hAnsiTheme="majorEastAsia" w:eastAsiaTheme="majorEastAsia"/>
              </w:rPr>
            </w:pPr>
            <w:r>
              <w:rPr>
                <w:rFonts w:hint="eastAsia" w:asciiTheme="majorEastAsia" w:hAnsiTheme="majorEastAsia" w:eastAsiaTheme="majorEastAsia"/>
              </w:rPr>
              <w:t>4</w:t>
            </w:r>
          </w:p>
        </w:tc>
        <w:tc>
          <w:tcPr>
            <w:tcW w:w="4530" w:type="pct"/>
            <w:gridSpan w:val="2"/>
          </w:tcPr>
          <w:p w14:paraId="561DF031">
            <w:pPr>
              <w:rPr>
                <w:bCs/>
              </w:rPr>
            </w:pPr>
            <w:r>
              <w:rPr>
                <w:rFonts w:ascii="宋体" w:hAnsi="宋体"/>
                <w:bCs/>
                <w:sz w:val="20"/>
              </w:rPr>
              <w:t>药品使用金额对比预警：从科室、病区、医疗组、医生等维度对药品使用金额进行对比，按差异倍数设定红、黄预警阈值。</w:t>
            </w:r>
          </w:p>
        </w:tc>
      </w:tr>
      <w:tr w14:paraId="7149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117C1773">
            <w:pPr>
              <w:rPr>
                <w:bCs/>
              </w:rPr>
            </w:pPr>
            <w:r>
              <w:rPr>
                <w:rFonts w:hint="eastAsia" w:ascii="黑体" w:hAnsi="黑体" w:eastAsia="黑体"/>
                <w:bCs/>
              </w:rPr>
              <w:t>四</w:t>
            </w:r>
            <w:r>
              <w:rPr>
                <w:rFonts w:ascii="黑体" w:hAnsi="黑体" w:eastAsia="黑体"/>
                <w:bCs/>
              </w:rPr>
              <w:t>、耗材监管</w:t>
            </w:r>
          </w:p>
        </w:tc>
      </w:tr>
      <w:tr w14:paraId="4D28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04297CB3">
            <w:pPr>
              <w:jc w:val="center"/>
              <w:rPr>
                <w:rFonts w:hint="eastAsia" w:asciiTheme="majorEastAsia" w:hAnsiTheme="majorEastAsia" w:eastAsiaTheme="majorEastAsia"/>
              </w:rPr>
            </w:pPr>
            <w:r>
              <w:rPr>
                <w:rFonts w:hint="eastAsia" w:asciiTheme="majorEastAsia" w:hAnsiTheme="majorEastAsia" w:eastAsiaTheme="majorEastAsia"/>
              </w:rPr>
              <w:t>1</w:t>
            </w:r>
          </w:p>
        </w:tc>
        <w:tc>
          <w:tcPr>
            <w:tcW w:w="4530" w:type="pct"/>
            <w:gridSpan w:val="2"/>
          </w:tcPr>
          <w:p w14:paraId="64927B8B">
            <w:pPr>
              <w:rPr>
                <w:bCs/>
              </w:rPr>
            </w:pPr>
            <w:r>
              <w:rPr>
                <w:rFonts w:ascii="宋体" w:hAnsi="宋体"/>
                <w:bCs/>
                <w:sz w:val="20"/>
              </w:rPr>
              <w:t>临采耗材申请数预警：</w:t>
            </w:r>
            <w:r>
              <w:rPr>
                <w:rFonts w:hint="eastAsia" w:ascii="宋体" w:hAnsi="宋体"/>
                <w:bCs/>
                <w:sz w:val="20"/>
              </w:rPr>
              <w:t>支持</w:t>
            </w:r>
            <w:r>
              <w:rPr>
                <w:rFonts w:ascii="宋体" w:hAnsi="宋体"/>
                <w:bCs/>
                <w:sz w:val="20"/>
              </w:rPr>
              <w:t>按产品类别对临采耗材申请次数</w:t>
            </w:r>
            <w:r>
              <w:rPr>
                <w:rFonts w:hint="eastAsia" w:ascii="宋体" w:hAnsi="宋体"/>
                <w:bCs/>
                <w:sz w:val="20"/>
              </w:rPr>
              <w:t>进行统计分析</w:t>
            </w:r>
            <w:r>
              <w:rPr>
                <w:rFonts w:ascii="宋体" w:hAnsi="宋体"/>
                <w:bCs/>
                <w:sz w:val="20"/>
              </w:rPr>
              <w:t>，超出医院限定即触发预警</w:t>
            </w:r>
            <w:r>
              <w:rPr>
                <w:rFonts w:hint="eastAsia" w:ascii="宋体" w:hAnsi="宋体"/>
                <w:bCs/>
                <w:sz w:val="20"/>
              </w:rPr>
              <w:t>提醒</w:t>
            </w:r>
            <w:r>
              <w:rPr>
                <w:rFonts w:ascii="宋体" w:hAnsi="宋体"/>
                <w:bCs/>
                <w:sz w:val="20"/>
              </w:rPr>
              <w:t>。</w:t>
            </w:r>
          </w:p>
        </w:tc>
      </w:tr>
      <w:tr w14:paraId="29F4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59AB2362">
            <w:pPr>
              <w:jc w:val="center"/>
              <w:rPr>
                <w:rFonts w:hint="eastAsia" w:asciiTheme="majorEastAsia" w:hAnsiTheme="majorEastAsia" w:eastAsiaTheme="majorEastAsia"/>
              </w:rPr>
            </w:pPr>
            <w:r>
              <w:rPr>
                <w:rFonts w:hint="eastAsia" w:asciiTheme="majorEastAsia" w:hAnsiTheme="majorEastAsia" w:eastAsiaTheme="majorEastAsia"/>
              </w:rPr>
              <w:t>2</w:t>
            </w:r>
          </w:p>
        </w:tc>
        <w:tc>
          <w:tcPr>
            <w:tcW w:w="4530" w:type="pct"/>
            <w:gridSpan w:val="2"/>
          </w:tcPr>
          <w:p w14:paraId="3FB85B65">
            <w:pPr>
              <w:rPr>
                <w:bCs/>
              </w:rPr>
            </w:pPr>
            <w:r>
              <w:rPr>
                <w:rFonts w:ascii="宋体" w:hAnsi="宋体"/>
                <w:bCs/>
                <w:sz w:val="20"/>
              </w:rPr>
              <w:t>医用耗材领用金额预警：监测各科室医用耗材领用金额，对比前12个月月均值设置红、黄预警阈值。</w:t>
            </w:r>
          </w:p>
        </w:tc>
      </w:tr>
      <w:tr w14:paraId="5FB8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1D7B742F">
            <w:pPr>
              <w:jc w:val="center"/>
              <w:rPr>
                <w:rFonts w:hint="eastAsia" w:asciiTheme="majorEastAsia" w:hAnsiTheme="majorEastAsia" w:eastAsiaTheme="majorEastAsia"/>
              </w:rPr>
            </w:pPr>
            <w:r>
              <w:rPr>
                <w:rFonts w:hint="eastAsia" w:asciiTheme="majorEastAsia" w:hAnsiTheme="majorEastAsia" w:eastAsiaTheme="majorEastAsia"/>
              </w:rPr>
              <w:t>3</w:t>
            </w:r>
          </w:p>
        </w:tc>
        <w:tc>
          <w:tcPr>
            <w:tcW w:w="4530" w:type="pct"/>
            <w:gridSpan w:val="2"/>
          </w:tcPr>
          <w:p w14:paraId="379EAA7A">
            <w:pPr>
              <w:rPr>
                <w:bCs/>
              </w:rPr>
            </w:pPr>
            <w:r>
              <w:rPr>
                <w:rFonts w:ascii="宋体" w:hAnsi="宋体"/>
                <w:bCs/>
                <w:sz w:val="20"/>
              </w:rPr>
              <w:t>医用耗材使用金额预警：</w:t>
            </w:r>
            <w:r>
              <w:rPr>
                <w:rFonts w:hint="eastAsia" w:ascii="宋体" w:hAnsi="宋体"/>
                <w:bCs/>
                <w:sz w:val="20"/>
              </w:rPr>
              <w:t>支持维护</w:t>
            </w:r>
            <w:r>
              <w:rPr>
                <w:rFonts w:ascii="宋体" w:hAnsi="宋体"/>
                <w:bCs/>
                <w:sz w:val="20"/>
              </w:rPr>
              <w:t>高值耗材及重点监控耗材目录，按类别</w:t>
            </w:r>
            <w:r>
              <w:rPr>
                <w:rFonts w:hint="eastAsia" w:ascii="宋体" w:hAnsi="宋体"/>
                <w:bCs/>
                <w:sz w:val="20"/>
              </w:rPr>
              <w:t>进行统计分析</w:t>
            </w:r>
            <w:r>
              <w:rPr>
                <w:rFonts w:ascii="宋体" w:hAnsi="宋体"/>
                <w:bCs/>
                <w:sz w:val="20"/>
              </w:rPr>
              <w:t>，对比前12个月月均值或上年同期值增长率设定红、黄预警阈值，实现“科室—医疗组—医生”三级穿透。</w:t>
            </w:r>
          </w:p>
        </w:tc>
      </w:tr>
      <w:tr w14:paraId="67ED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29FD2C72">
            <w:pPr>
              <w:jc w:val="center"/>
              <w:rPr>
                <w:rFonts w:hint="eastAsia" w:asciiTheme="majorEastAsia" w:hAnsiTheme="majorEastAsia" w:eastAsiaTheme="majorEastAsia"/>
              </w:rPr>
            </w:pPr>
            <w:r>
              <w:rPr>
                <w:rFonts w:hint="eastAsia" w:asciiTheme="majorEastAsia" w:hAnsiTheme="majorEastAsia" w:eastAsiaTheme="majorEastAsia"/>
              </w:rPr>
              <w:t>4</w:t>
            </w:r>
          </w:p>
        </w:tc>
        <w:tc>
          <w:tcPr>
            <w:tcW w:w="4530" w:type="pct"/>
            <w:gridSpan w:val="2"/>
          </w:tcPr>
          <w:p w14:paraId="614EBA46">
            <w:r>
              <w:rPr>
                <w:rFonts w:ascii="宋体" w:hAnsi="宋体"/>
                <w:sz w:val="20"/>
              </w:rPr>
              <w:t>耗材供应商销售额排名预警：对耗材供应商月度销售额</w:t>
            </w:r>
            <w:r>
              <w:rPr>
                <w:rFonts w:hint="eastAsia" w:ascii="宋体" w:hAnsi="宋体"/>
                <w:sz w:val="20"/>
              </w:rPr>
              <w:t>进行统计分析</w:t>
            </w:r>
            <w:r>
              <w:rPr>
                <w:rFonts w:ascii="宋体" w:hAnsi="宋体"/>
                <w:sz w:val="20"/>
              </w:rPr>
              <w:t>，对比前12个月月均值增长率设定红、黄预警阈值。</w:t>
            </w:r>
          </w:p>
        </w:tc>
      </w:tr>
      <w:tr w14:paraId="7146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2CD6815E">
            <w:pPr>
              <w:jc w:val="center"/>
              <w:rPr>
                <w:rFonts w:hint="eastAsia" w:asciiTheme="majorEastAsia" w:hAnsiTheme="majorEastAsia" w:eastAsiaTheme="majorEastAsia"/>
              </w:rPr>
            </w:pPr>
            <w:r>
              <w:rPr>
                <w:rFonts w:hint="eastAsia" w:asciiTheme="majorEastAsia" w:hAnsiTheme="majorEastAsia" w:eastAsiaTheme="majorEastAsia"/>
                <w:sz w:val="20"/>
              </w:rPr>
              <w:t>5</w:t>
            </w:r>
          </w:p>
        </w:tc>
        <w:tc>
          <w:tcPr>
            <w:tcW w:w="4530" w:type="pct"/>
            <w:gridSpan w:val="2"/>
          </w:tcPr>
          <w:p w14:paraId="526EE8BF">
            <w:r>
              <w:rPr>
                <w:rFonts w:ascii="宋体" w:hAnsi="宋体"/>
                <w:sz w:val="20"/>
              </w:rPr>
              <w:t>临采耗材使用金额预警：对科室每月临采耗材使用金额</w:t>
            </w:r>
            <w:r>
              <w:rPr>
                <w:rFonts w:hint="eastAsia" w:ascii="宋体" w:hAnsi="宋体"/>
                <w:sz w:val="20"/>
              </w:rPr>
              <w:t>进行统计分析</w:t>
            </w:r>
            <w:r>
              <w:rPr>
                <w:rFonts w:ascii="宋体" w:hAnsi="宋体"/>
                <w:sz w:val="20"/>
              </w:rPr>
              <w:t>，对比前12个月月均值增幅设定红、黄预警阈值。</w:t>
            </w:r>
          </w:p>
        </w:tc>
      </w:tr>
      <w:tr w14:paraId="29F7A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4CEDFE10">
            <w:pPr>
              <w:rPr>
                <w:bCs/>
              </w:rPr>
            </w:pPr>
            <w:r>
              <w:rPr>
                <w:rFonts w:hint="eastAsia" w:ascii="黑体" w:hAnsi="黑体" w:eastAsia="黑体"/>
                <w:bCs/>
              </w:rPr>
              <w:t>五</w:t>
            </w:r>
            <w:r>
              <w:rPr>
                <w:rFonts w:ascii="黑体" w:hAnsi="黑体" w:eastAsia="黑体"/>
                <w:bCs/>
              </w:rPr>
              <w:t>、设备监管</w:t>
            </w:r>
          </w:p>
        </w:tc>
      </w:tr>
      <w:tr w14:paraId="7841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4F6C380A">
            <w:pPr>
              <w:jc w:val="center"/>
            </w:pPr>
            <w:r>
              <w:rPr>
                <w:rFonts w:hint="eastAsia" w:ascii="宋体" w:hAnsi="宋体"/>
                <w:sz w:val="20"/>
              </w:rPr>
              <w:t>1</w:t>
            </w:r>
          </w:p>
        </w:tc>
        <w:tc>
          <w:tcPr>
            <w:tcW w:w="4530" w:type="pct"/>
            <w:gridSpan w:val="2"/>
          </w:tcPr>
          <w:p w14:paraId="21097DBD">
            <w:pPr>
              <w:rPr>
                <w:bCs/>
              </w:rPr>
            </w:pPr>
            <w:r>
              <w:rPr>
                <w:rFonts w:ascii="宋体" w:hAnsi="宋体"/>
                <w:bCs/>
                <w:sz w:val="20"/>
              </w:rPr>
              <w:t>设备采购情况监管：对医院医疗设备采购信息进行归集与分析，</w:t>
            </w:r>
            <w:r>
              <w:rPr>
                <w:rFonts w:hint="eastAsia" w:ascii="宋体" w:hAnsi="宋体"/>
                <w:bCs/>
                <w:sz w:val="20"/>
              </w:rPr>
              <w:t>对于</w:t>
            </w:r>
            <w:r>
              <w:rPr>
                <w:rFonts w:ascii="宋体" w:hAnsi="宋体"/>
                <w:bCs/>
                <w:sz w:val="20"/>
              </w:rPr>
              <w:t>同一供应商连续中标</w:t>
            </w:r>
            <w:r>
              <w:rPr>
                <w:rFonts w:hint="eastAsia" w:ascii="宋体" w:hAnsi="宋体"/>
                <w:bCs/>
                <w:sz w:val="20"/>
              </w:rPr>
              <w:t>、执行合同份额过高的情况进行</w:t>
            </w:r>
            <w:r>
              <w:rPr>
                <w:rFonts w:ascii="宋体" w:hAnsi="宋体"/>
                <w:bCs/>
                <w:sz w:val="20"/>
              </w:rPr>
              <w:t>预警。</w:t>
            </w:r>
          </w:p>
        </w:tc>
      </w:tr>
      <w:tr w14:paraId="4FD9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7D6424E2">
            <w:pPr>
              <w:jc w:val="center"/>
            </w:pPr>
            <w:r>
              <w:rPr>
                <w:rFonts w:hint="eastAsia" w:ascii="宋体" w:hAnsi="宋体"/>
                <w:sz w:val="20"/>
              </w:rPr>
              <w:t>2</w:t>
            </w:r>
          </w:p>
        </w:tc>
        <w:tc>
          <w:tcPr>
            <w:tcW w:w="4530" w:type="pct"/>
            <w:gridSpan w:val="2"/>
          </w:tcPr>
          <w:p w14:paraId="62B237D2">
            <w:r>
              <w:rPr>
                <w:rFonts w:ascii="宋体" w:hAnsi="宋体"/>
                <w:sz w:val="20"/>
              </w:rPr>
              <w:t>设备使用情况监管：对重点医用设备（大型设备、新购入设备等）使用率进行监管，对照科室预期使用率按达标情况设置红、黄预警阈值。</w:t>
            </w:r>
          </w:p>
        </w:tc>
      </w:tr>
      <w:tr w14:paraId="4D01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1951800A">
            <w:pPr>
              <w:jc w:val="center"/>
            </w:pPr>
            <w:r>
              <w:rPr>
                <w:rFonts w:hint="eastAsia" w:ascii="宋体" w:hAnsi="宋体"/>
                <w:sz w:val="20"/>
              </w:rPr>
              <w:t>3</w:t>
            </w:r>
          </w:p>
        </w:tc>
        <w:tc>
          <w:tcPr>
            <w:tcW w:w="4530" w:type="pct"/>
            <w:gridSpan w:val="2"/>
          </w:tcPr>
          <w:p w14:paraId="49EAA422">
            <w:pPr>
              <w:rPr>
                <w:bCs/>
              </w:rPr>
            </w:pPr>
            <w:r>
              <w:rPr>
                <w:rFonts w:ascii="宋体" w:hAnsi="宋体"/>
                <w:bCs/>
                <w:sz w:val="20"/>
              </w:rPr>
              <w:t>设备维修情况监管：归集设备巡检</w:t>
            </w:r>
            <w:r>
              <w:rPr>
                <w:rFonts w:hint="eastAsia" w:ascii="宋体" w:hAnsi="宋体"/>
                <w:bCs/>
                <w:sz w:val="20"/>
              </w:rPr>
              <w:t>记录</w:t>
            </w:r>
            <w:r>
              <w:rPr>
                <w:rFonts w:ascii="宋体" w:hAnsi="宋体"/>
                <w:bCs/>
                <w:sz w:val="20"/>
              </w:rPr>
              <w:t>信息，设置逾期未巡检、维保合同到期等</w:t>
            </w:r>
            <w:r>
              <w:rPr>
                <w:rFonts w:hint="eastAsia" w:ascii="宋体" w:hAnsi="宋体"/>
                <w:bCs/>
                <w:sz w:val="20"/>
              </w:rPr>
              <w:t>进行预警和提醒</w:t>
            </w:r>
            <w:r>
              <w:rPr>
                <w:rFonts w:ascii="宋体" w:hAnsi="宋体"/>
                <w:bCs/>
                <w:sz w:val="20"/>
              </w:rPr>
              <w:t>。</w:t>
            </w:r>
          </w:p>
        </w:tc>
      </w:tr>
      <w:tr w14:paraId="35CF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5AA92E4B">
            <w:pPr>
              <w:rPr>
                <w:bCs/>
              </w:rPr>
            </w:pPr>
            <w:r>
              <w:rPr>
                <w:rFonts w:hint="eastAsia" w:ascii="黑体" w:hAnsi="黑体" w:eastAsia="黑体"/>
                <w:bCs/>
              </w:rPr>
              <w:t>六</w:t>
            </w:r>
            <w:r>
              <w:rPr>
                <w:rFonts w:ascii="黑体" w:hAnsi="黑体" w:eastAsia="黑体"/>
                <w:bCs/>
              </w:rPr>
              <w:t>、预警闭环</w:t>
            </w:r>
            <w:r>
              <w:rPr>
                <w:rFonts w:hint="eastAsia" w:ascii="黑体" w:hAnsi="黑体" w:eastAsia="黑体"/>
                <w:bCs/>
              </w:rPr>
              <w:t>销号</w:t>
            </w:r>
          </w:p>
        </w:tc>
      </w:tr>
      <w:tr w14:paraId="250C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1468BE1B">
            <w:pPr>
              <w:jc w:val="center"/>
            </w:pPr>
            <w:r>
              <w:rPr>
                <w:rFonts w:hint="eastAsia" w:ascii="宋体" w:hAnsi="宋体"/>
                <w:sz w:val="20"/>
              </w:rPr>
              <w:t>1</w:t>
            </w:r>
          </w:p>
        </w:tc>
        <w:tc>
          <w:tcPr>
            <w:tcW w:w="4530" w:type="pct"/>
            <w:gridSpan w:val="2"/>
          </w:tcPr>
          <w:p w14:paraId="4B4FACC1">
            <w:r>
              <w:rPr>
                <w:rFonts w:hint="eastAsia"/>
              </w:rPr>
              <w:t>支持对</w:t>
            </w:r>
            <w:r>
              <w:t>预警</w:t>
            </w:r>
            <w:r>
              <w:rPr>
                <w:rFonts w:hint="eastAsia"/>
              </w:rPr>
              <w:t>信息的闭环销号流程设置，支持设置审批人、抄送人、级联条件分支、条件分支、连接器等不同的类型以满足各种流程。流程设计支持对节点设置要签名和不要签名的两种情况，同时对于签名能够设置每次重新签名或是复用签名。</w:t>
            </w:r>
          </w:p>
        </w:tc>
      </w:tr>
      <w:tr w14:paraId="1AE7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508C9D1B">
            <w:pPr>
              <w:jc w:val="center"/>
              <w:rPr>
                <w:rFonts w:hint="eastAsia" w:ascii="宋体" w:hAnsi="宋体"/>
                <w:sz w:val="20"/>
              </w:rPr>
            </w:pPr>
            <w:r>
              <w:rPr>
                <w:rFonts w:hint="eastAsia" w:ascii="宋体" w:hAnsi="宋体"/>
                <w:sz w:val="20"/>
              </w:rPr>
              <w:t>2</w:t>
            </w:r>
          </w:p>
        </w:tc>
        <w:tc>
          <w:tcPr>
            <w:tcW w:w="4530" w:type="pct"/>
            <w:gridSpan w:val="2"/>
          </w:tcPr>
          <w:p w14:paraId="23425F8E">
            <w:r>
              <w:rPr>
                <w:rFonts w:hint="eastAsia"/>
              </w:rPr>
              <w:t>★支持对每个节点设置多个操作按钮（同意、转交、驳回、拒绝、撤销），并能够对操作按钮的名称进行自定义，同时还能支持对操作按钮的弹出表单进行自定义组件的配置，同时弹出表单中的组件元素支持与主表单中的组件绑定以实现数据的同步更新，如果是驳回按钮，还需要支持对驳回按钮设置可以驳回的操作节点。（需提供有效系统截图或相关证明文件）</w:t>
            </w:r>
          </w:p>
        </w:tc>
      </w:tr>
      <w:tr w14:paraId="2845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2CB95709">
            <w:pPr>
              <w:jc w:val="center"/>
              <w:rPr>
                <w:rFonts w:hint="eastAsia" w:ascii="宋体" w:hAnsi="宋体"/>
                <w:sz w:val="20"/>
              </w:rPr>
            </w:pPr>
            <w:r>
              <w:rPr>
                <w:rFonts w:hint="eastAsia" w:ascii="宋体" w:hAnsi="宋体"/>
                <w:sz w:val="20"/>
              </w:rPr>
              <w:t>3</w:t>
            </w:r>
          </w:p>
        </w:tc>
        <w:tc>
          <w:tcPr>
            <w:tcW w:w="4530" w:type="pct"/>
            <w:gridSpan w:val="2"/>
          </w:tcPr>
          <w:p w14:paraId="443D22BB">
            <w:r>
              <w:rPr>
                <w:rFonts w:hint="eastAsia"/>
              </w:rPr>
              <w:t>★支持操作超时设置，超时支持超时规则的配置，自动生成完成和未完成两个不同的条件分支，每个分支节点可以设置对应的操作人员和操作功能,同时也支持超过X天未完成操作将流程自动转至新审批人员进行操作。（需提供有效系统截图或相关证明文件）</w:t>
            </w:r>
          </w:p>
        </w:tc>
      </w:tr>
      <w:tr w14:paraId="1BB4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74C4C75F">
            <w:pPr>
              <w:jc w:val="center"/>
            </w:pPr>
            <w:r>
              <w:rPr>
                <w:rFonts w:hint="eastAsia"/>
              </w:rPr>
              <w:t>4</w:t>
            </w:r>
          </w:p>
        </w:tc>
        <w:tc>
          <w:tcPr>
            <w:tcW w:w="4530" w:type="pct"/>
            <w:gridSpan w:val="2"/>
          </w:tcPr>
          <w:p w14:paraId="76499A02">
            <w:pPr>
              <w:rPr>
                <w:bCs/>
              </w:rPr>
            </w:pPr>
            <w:r>
              <w:rPr>
                <w:rFonts w:ascii="宋体" w:hAnsi="宋体"/>
                <w:bCs/>
                <w:sz w:val="20"/>
              </w:rPr>
              <w:t>预警消息推送：</w:t>
            </w:r>
            <w:r>
              <w:rPr>
                <w:rFonts w:hint="eastAsia"/>
                <w:bCs/>
              </w:rPr>
              <w:t>支持对接钉钉的消息推送，实现钉钉端的消息提醒</w:t>
            </w:r>
          </w:p>
        </w:tc>
      </w:tr>
      <w:tr w14:paraId="5C8F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4CDC2DC6">
            <w:pPr>
              <w:rPr>
                <w:bCs/>
              </w:rPr>
            </w:pPr>
            <w:r>
              <w:rPr>
                <w:rFonts w:hint="eastAsia" w:ascii="黑体" w:hAnsi="黑体" w:eastAsia="黑体"/>
                <w:bCs/>
              </w:rPr>
              <w:t>七</w:t>
            </w:r>
            <w:r>
              <w:rPr>
                <w:rFonts w:ascii="黑体" w:hAnsi="黑体" w:eastAsia="黑体"/>
                <w:bCs/>
              </w:rPr>
              <w:t>、</w:t>
            </w:r>
            <w:bookmarkStart w:id="3" w:name="OLE_LINK4"/>
            <w:r>
              <w:rPr>
                <w:rFonts w:ascii="黑体" w:hAnsi="黑体" w:eastAsia="黑体"/>
                <w:bCs/>
              </w:rPr>
              <w:t>数据</w:t>
            </w:r>
            <w:r>
              <w:rPr>
                <w:rFonts w:hint="eastAsia" w:ascii="黑体" w:hAnsi="黑体" w:eastAsia="黑体"/>
                <w:bCs/>
              </w:rPr>
              <w:t>看板</w:t>
            </w:r>
            <w:bookmarkEnd w:id="3"/>
          </w:p>
        </w:tc>
      </w:tr>
      <w:tr w14:paraId="0655A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42AF9AA1">
            <w:pPr>
              <w:jc w:val="center"/>
            </w:pPr>
            <w:r>
              <w:rPr>
                <w:rFonts w:hint="eastAsia"/>
              </w:rPr>
              <w:t>1</w:t>
            </w:r>
          </w:p>
        </w:tc>
        <w:tc>
          <w:tcPr>
            <w:tcW w:w="4530" w:type="pct"/>
            <w:gridSpan w:val="2"/>
          </w:tcPr>
          <w:p w14:paraId="5144CB6A">
            <w:r>
              <w:rPr>
                <w:rFonts w:hint="eastAsia"/>
              </w:rPr>
              <w:t>具有预警总数、待销号数、已销号数，支持查看每个指标的明细信息</w:t>
            </w:r>
          </w:p>
        </w:tc>
      </w:tr>
      <w:tr w14:paraId="4039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5FEC0D9D">
            <w:pPr>
              <w:jc w:val="center"/>
            </w:pPr>
            <w:r>
              <w:rPr>
                <w:rFonts w:hint="eastAsia" w:ascii="宋体" w:hAnsi="宋体"/>
                <w:sz w:val="20"/>
              </w:rPr>
              <w:t>2</w:t>
            </w:r>
          </w:p>
        </w:tc>
        <w:tc>
          <w:tcPr>
            <w:tcW w:w="4530" w:type="pct"/>
            <w:gridSpan w:val="2"/>
          </w:tcPr>
          <w:p w14:paraId="3FDA9FFB">
            <w:r>
              <w:rPr>
                <w:rFonts w:hint="eastAsia" w:ascii="宋体" w:hAnsi="宋体"/>
                <w:sz w:val="20"/>
              </w:rPr>
              <w:t>具有针对药品、耗材、设备的三部分内容的监管数据指标，并能够查看各个指标的明细信息</w:t>
            </w:r>
          </w:p>
        </w:tc>
      </w:tr>
      <w:tr w14:paraId="1333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tcPr>
          <w:p w14:paraId="5D0B868A">
            <w:pPr>
              <w:jc w:val="center"/>
            </w:pPr>
            <w:r>
              <w:rPr>
                <w:rFonts w:hint="eastAsia" w:ascii="宋体" w:hAnsi="宋体"/>
                <w:sz w:val="20"/>
              </w:rPr>
              <w:t>3</w:t>
            </w:r>
          </w:p>
        </w:tc>
        <w:tc>
          <w:tcPr>
            <w:tcW w:w="4530" w:type="pct"/>
            <w:gridSpan w:val="2"/>
          </w:tcPr>
          <w:p w14:paraId="7357F494">
            <w:r>
              <w:rPr>
                <w:rFonts w:hint="eastAsia" w:ascii="宋体" w:hAnsi="宋体"/>
                <w:sz w:val="20"/>
              </w:rPr>
              <w:t>相关数据指标推送至</w:t>
            </w:r>
            <w:r>
              <w:rPr>
                <w:rFonts w:ascii="宋体" w:hAnsi="宋体"/>
                <w:sz w:val="20"/>
              </w:rPr>
              <w:t>数字化审计管理系统</w:t>
            </w:r>
            <w:r>
              <w:rPr>
                <w:rFonts w:hint="eastAsia" w:ascii="宋体" w:hAnsi="宋体"/>
                <w:sz w:val="20"/>
              </w:rPr>
              <w:t>用于统一展示</w:t>
            </w:r>
          </w:p>
        </w:tc>
      </w:tr>
      <w:tr w14:paraId="79FE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5667F747">
            <w:pPr>
              <w:rPr>
                <w:rFonts w:hint="eastAsia" w:ascii="宋体" w:hAnsi="宋体"/>
                <w:sz w:val="20"/>
              </w:rPr>
            </w:pPr>
            <w:r>
              <w:rPr>
                <w:rFonts w:hint="eastAsia" w:ascii="黑体" w:hAnsi="黑体" w:eastAsia="黑体"/>
                <w:bCs/>
              </w:rPr>
              <w:t>八</w:t>
            </w:r>
            <w:r>
              <w:rPr>
                <w:rFonts w:ascii="黑体" w:hAnsi="黑体" w:eastAsia="黑体"/>
                <w:bCs/>
              </w:rPr>
              <w:t>、</w:t>
            </w:r>
            <w:r>
              <w:rPr>
                <w:rFonts w:hint="eastAsia" w:ascii="黑体" w:hAnsi="黑体" w:eastAsia="黑体"/>
                <w:bCs/>
              </w:rPr>
              <w:t>合同到期预警</w:t>
            </w:r>
          </w:p>
        </w:tc>
      </w:tr>
      <w:tr w14:paraId="4BD3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Align w:val="center"/>
          </w:tcPr>
          <w:p w14:paraId="23901342">
            <w:pPr>
              <w:jc w:val="center"/>
              <w:rPr>
                <w:rFonts w:hint="eastAsia" w:ascii="宋体" w:hAnsi="宋体"/>
                <w:sz w:val="20"/>
              </w:rPr>
            </w:pPr>
            <w:r>
              <w:rPr>
                <w:rFonts w:hint="eastAsia" w:ascii="宋体" w:hAnsi="宋体"/>
                <w:sz w:val="20"/>
              </w:rPr>
              <w:t>1</w:t>
            </w:r>
          </w:p>
        </w:tc>
        <w:tc>
          <w:tcPr>
            <w:tcW w:w="4530" w:type="pct"/>
            <w:gridSpan w:val="2"/>
            <w:vAlign w:val="center"/>
          </w:tcPr>
          <w:p w14:paraId="49445737">
            <w:pPr>
              <w:rPr>
                <w:rFonts w:hint="eastAsia" w:ascii="宋体" w:hAnsi="宋体"/>
                <w:sz w:val="20"/>
              </w:rPr>
            </w:pPr>
            <w:r>
              <w:rPr>
                <w:rFonts w:hint="eastAsia" w:ascii="宋体" w:hAnsi="宋体"/>
              </w:rPr>
              <w:t>需要与医院的合同管理系统进行对接，获取合同相关信息</w:t>
            </w:r>
          </w:p>
        </w:tc>
      </w:tr>
      <w:tr w14:paraId="5C17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Align w:val="center"/>
          </w:tcPr>
          <w:p w14:paraId="23EA805A">
            <w:pPr>
              <w:jc w:val="center"/>
              <w:rPr>
                <w:rFonts w:hint="eastAsia" w:ascii="宋体" w:hAnsi="宋体"/>
                <w:sz w:val="20"/>
              </w:rPr>
            </w:pPr>
            <w:r>
              <w:rPr>
                <w:rFonts w:hint="eastAsia" w:ascii="宋体" w:hAnsi="宋体"/>
                <w:sz w:val="20"/>
              </w:rPr>
              <w:t>2</w:t>
            </w:r>
          </w:p>
        </w:tc>
        <w:tc>
          <w:tcPr>
            <w:tcW w:w="4530" w:type="pct"/>
            <w:gridSpan w:val="2"/>
            <w:vAlign w:val="center"/>
          </w:tcPr>
          <w:p w14:paraId="7179EA82">
            <w:pPr>
              <w:rPr>
                <w:rFonts w:hint="eastAsia"/>
              </w:rPr>
            </w:pPr>
            <w:r>
              <w:rPr>
                <w:rFonts w:hint="eastAsia"/>
              </w:rPr>
              <w:t>支持对即将到期的合同进行提醒，系统自动根据到期的时间通过OA给相关科室和申请科室推送到期提醒的信息，信息包含到期提醒函、合同名称、合同编号、到期事件等信息，相关科室人员通过系统可以对预警信息进行确认，完成销号闭环处理。</w:t>
            </w:r>
          </w:p>
        </w:tc>
      </w:tr>
      <w:tr w14:paraId="6624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Align w:val="center"/>
          </w:tcPr>
          <w:p w14:paraId="0BB16391">
            <w:pPr>
              <w:jc w:val="center"/>
              <w:rPr>
                <w:rFonts w:hint="eastAsia" w:ascii="宋体" w:hAnsi="宋体"/>
                <w:sz w:val="20"/>
              </w:rPr>
            </w:pPr>
            <w:r>
              <w:rPr>
                <w:rFonts w:hint="eastAsia" w:ascii="宋体" w:hAnsi="宋体"/>
                <w:sz w:val="20"/>
              </w:rPr>
              <w:t>3</w:t>
            </w:r>
          </w:p>
        </w:tc>
        <w:tc>
          <w:tcPr>
            <w:tcW w:w="4530" w:type="pct"/>
            <w:gridSpan w:val="2"/>
            <w:vAlign w:val="center"/>
          </w:tcPr>
          <w:p w14:paraId="7D3A01E6">
            <w:pPr>
              <w:rPr>
                <w:rFonts w:hint="eastAsia" w:ascii="宋体" w:hAnsi="宋体"/>
                <w:sz w:val="20"/>
              </w:rPr>
            </w:pPr>
            <w:r>
              <w:rPr>
                <w:rFonts w:hint="eastAsia"/>
              </w:rPr>
              <w:t>支持在平台中对即将到期合同的预警销号情况进行查询，并查看合同到期天数和相关科室的信息，并支持查看合同到期预警销号的处理结果。</w:t>
            </w:r>
          </w:p>
        </w:tc>
      </w:tr>
      <w:tr w14:paraId="4FB0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120A9B64">
            <w:pPr>
              <w:rPr>
                <w:rFonts w:hint="eastAsia" w:ascii="宋体" w:hAnsi="宋体"/>
                <w:b/>
                <w:sz w:val="20"/>
              </w:rPr>
            </w:pPr>
            <w:r>
              <w:rPr>
                <w:rFonts w:hint="eastAsia" w:ascii="黑体" w:hAnsi="黑体" w:eastAsia="黑体"/>
                <w:b/>
              </w:rPr>
              <w:t>九</w:t>
            </w:r>
            <w:r>
              <w:rPr>
                <w:rFonts w:ascii="黑体" w:hAnsi="黑体" w:eastAsia="黑体"/>
                <w:b/>
              </w:rPr>
              <w:t>、</w:t>
            </w:r>
            <w:r>
              <w:rPr>
                <w:rFonts w:hint="eastAsia"/>
                <w:b/>
              </w:rPr>
              <w:t>合同审查管理</w:t>
            </w:r>
          </w:p>
        </w:tc>
      </w:tr>
      <w:tr w14:paraId="3BEC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gridSpan w:val="2"/>
            <w:vAlign w:val="center"/>
          </w:tcPr>
          <w:p w14:paraId="124C24E5">
            <w:pPr>
              <w:jc w:val="center"/>
              <w:rPr>
                <w:rFonts w:hint="eastAsia" w:ascii="宋体" w:hAnsi="宋体"/>
                <w:sz w:val="20"/>
              </w:rPr>
            </w:pPr>
            <w:r>
              <w:rPr>
                <w:rFonts w:hint="eastAsia" w:ascii="宋体" w:hAnsi="宋体"/>
                <w:sz w:val="20"/>
              </w:rPr>
              <w:t>1</w:t>
            </w:r>
          </w:p>
        </w:tc>
        <w:tc>
          <w:tcPr>
            <w:tcW w:w="4521" w:type="pct"/>
            <w:vAlign w:val="center"/>
          </w:tcPr>
          <w:p w14:paraId="6DCAE85C">
            <w:pPr>
              <w:rPr>
                <w:rFonts w:hint="eastAsia" w:ascii="黑体" w:hAnsi="黑体" w:eastAsia="黑体"/>
                <w:bCs/>
              </w:rPr>
            </w:pPr>
            <w:r>
              <w:rPr>
                <w:rFonts w:hint="eastAsia"/>
              </w:rPr>
              <w:t>支持对需要审查的合同进行关键规则的设定，可以对规则进行新增、修改、删除操作</w:t>
            </w:r>
          </w:p>
        </w:tc>
      </w:tr>
      <w:tr w14:paraId="195D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gridSpan w:val="2"/>
            <w:vAlign w:val="center"/>
          </w:tcPr>
          <w:p w14:paraId="39F1817F">
            <w:pPr>
              <w:jc w:val="center"/>
              <w:rPr>
                <w:rFonts w:hint="eastAsia" w:ascii="宋体" w:hAnsi="宋体"/>
                <w:sz w:val="20"/>
              </w:rPr>
            </w:pPr>
            <w:r>
              <w:rPr>
                <w:rFonts w:hint="eastAsia" w:ascii="宋体" w:hAnsi="宋体"/>
                <w:sz w:val="20"/>
              </w:rPr>
              <w:t>2</w:t>
            </w:r>
          </w:p>
        </w:tc>
        <w:tc>
          <w:tcPr>
            <w:tcW w:w="4521" w:type="pct"/>
            <w:vAlign w:val="center"/>
          </w:tcPr>
          <w:p w14:paraId="599924D0">
            <w:pPr>
              <w:rPr>
                <w:rFonts w:hint="eastAsia" w:ascii="黑体" w:hAnsi="黑体" w:eastAsia="黑体"/>
                <w:bCs/>
              </w:rPr>
            </w:pPr>
            <w:r>
              <w:rPr>
                <w:rFonts w:hint="eastAsia"/>
              </w:rPr>
              <w:t>支持上传pdf、word</w:t>
            </w:r>
            <w:r>
              <w:rPr>
                <w:rFonts w:hint="eastAsia"/>
                <w:lang w:eastAsia="zh-CN"/>
              </w:rPr>
              <w:t>等</w:t>
            </w:r>
            <w:r>
              <w:rPr>
                <w:rFonts w:hint="eastAsia"/>
              </w:rPr>
              <w:t>类型合同</w:t>
            </w:r>
            <w:r>
              <w:rPr>
                <w:rFonts w:hint="eastAsia"/>
                <w:lang w:eastAsia="zh-CN"/>
              </w:rPr>
              <w:t>或文件</w:t>
            </w:r>
            <w:r>
              <w:rPr>
                <w:rFonts w:hint="eastAsia"/>
              </w:rPr>
              <w:t>，借助AI大模型进行合规性审查</w:t>
            </w:r>
            <w:r>
              <w:rPr>
                <w:rFonts w:hint="eastAsia"/>
                <w:lang w:eastAsia="zh-CN"/>
              </w:rPr>
              <w:t>，</w:t>
            </w:r>
            <w:r>
              <w:rPr>
                <w:rFonts w:hint="eastAsia"/>
                <w:lang w:val="en-US" w:eastAsia="zh-CN"/>
              </w:rPr>
              <w:t>并</w:t>
            </w:r>
            <w:r>
              <w:rPr>
                <w:rFonts w:hint="eastAsia"/>
                <w:lang w:eastAsia="zh-CN"/>
              </w:rPr>
              <w:t>与相关文件进行比对</w:t>
            </w:r>
            <w:r>
              <w:rPr>
                <w:rFonts w:hint="eastAsia"/>
              </w:rPr>
              <w:t>，能够对设定的关键规则强制判断确认，并能够</w:t>
            </w:r>
            <w:r>
              <w:rPr>
                <w:rFonts w:hint="eastAsia"/>
                <w:lang w:eastAsia="zh-CN"/>
              </w:rPr>
              <w:t>对其</w:t>
            </w:r>
            <w:r>
              <w:rPr>
                <w:rFonts w:hint="eastAsia"/>
              </w:rPr>
              <w:t>相关内容进行合规分析和审核，并对审查中发现的问题给以建议提醒。</w:t>
            </w:r>
          </w:p>
        </w:tc>
      </w:tr>
    </w:tbl>
    <w:p w14:paraId="49730364">
      <w:pPr>
        <w:pStyle w:val="39"/>
        <w:spacing w:line="360" w:lineRule="auto"/>
        <w:jc w:val="both"/>
        <w:rPr>
          <w:rFonts w:hint="eastAsia" w:hAnsi="宋体"/>
          <w:sz w:val="21"/>
          <w:szCs w:val="21"/>
        </w:rPr>
      </w:pPr>
    </w:p>
    <w:p w14:paraId="6CE3B6D4">
      <w:pPr>
        <w:pStyle w:val="2"/>
        <w:numPr>
          <w:ilvl w:val="0"/>
          <w:numId w:val="3"/>
        </w:numPr>
        <w:tabs>
          <w:tab w:val="left" w:pos="720"/>
          <w:tab w:val="left" w:pos="1980"/>
        </w:tabs>
        <w:spacing w:line="440" w:lineRule="exact"/>
        <w:rPr>
          <w:rFonts w:hint="eastAsia" w:hAnsi="宋体" w:cs="宋体"/>
          <w:sz w:val="21"/>
          <w:szCs w:val="21"/>
        </w:rPr>
      </w:pPr>
      <w:r>
        <w:rPr>
          <w:rFonts w:hint="eastAsia" w:hAnsi="宋体" w:cs="宋体"/>
          <w:sz w:val="21"/>
          <w:szCs w:val="21"/>
        </w:rPr>
        <w:t>项目实施与验收</w:t>
      </w:r>
    </w:p>
    <w:p w14:paraId="62197027">
      <w:pPr>
        <w:pStyle w:val="32"/>
        <w:numPr>
          <w:ilvl w:val="0"/>
          <w:numId w:val="5"/>
        </w:numPr>
        <w:spacing w:line="360" w:lineRule="auto"/>
        <w:ind w:firstLineChars="0"/>
        <w:outlineLvl w:val="1"/>
        <w:rPr>
          <w:rFonts w:hint="eastAsia" w:ascii="宋体" w:hAnsi="宋体" w:cs="宋体"/>
          <w:b/>
          <w:szCs w:val="21"/>
        </w:rPr>
      </w:pPr>
      <w:bookmarkStart w:id="4" w:name="_Toc74682240"/>
      <w:bookmarkStart w:id="5" w:name="_Toc449000764"/>
      <w:r>
        <w:rPr>
          <w:rFonts w:ascii="宋体" w:hAnsi="宋体" w:cs="宋体"/>
          <w:b/>
          <w:szCs w:val="21"/>
        </w:rPr>
        <w:t>项目实施要求</w:t>
      </w:r>
      <w:bookmarkEnd w:id="4"/>
      <w:bookmarkEnd w:id="5"/>
    </w:p>
    <w:p w14:paraId="26C776D6">
      <w:pPr>
        <w:numPr>
          <w:ilvl w:val="0"/>
          <w:numId w:val="6"/>
        </w:numPr>
        <w:spacing w:line="360" w:lineRule="auto"/>
        <w:rPr>
          <w:color w:val="000000"/>
        </w:rPr>
      </w:pPr>
      <w:r>
        <w:rPr>
          <w:color w:val="000000"/>
        </w:rPr>
        <w:t>投标</w:t>
      </w:r>
      <w:r>
        <w:rPr>
          <w:rFonts w:hint="eastAsia"/>
          <w:color w:val="000000"/>
        </w:rPr>
        <w:t>人</w:t>
      </w:r>
      <w:r>
        <w:rPr>
          <w:color w:val="000000"/>
        </w:rPr>
        <w:t>需要根据项目建设内容和进度需要，</w:t>
      </w:r>
      <w:r>
        <w:rPr>
          <w:rFonts w:hint="eastAsia"/>
          <w:color w:val="000000"/>
          <w:u w:val="single"/>
        </w:rPr>
        <w:t>派驻</w:t>
      </w:r>
      <w:r>
        <w:rPr>
          <w:color w:val="000000"/>
        </w:rPr>
        <w:t>具有一定资质能力水平的成员组成项目小组对系统进行实施及服务。</w:t>
      </w:r>
    </w:p>
    <w:p w14:paraId="6249F78F">
      <w:pPr>
        <w:numPr>
          <w:ilvl w:val="0"/>
          <w:numId w:val="6"/>
        </w:numPr>
        <w:spacing w:line="360" w:lineRule="auto"/>
        <w:rPr>
          <w:color w:val="000000"/>
        </w:rPr>
      </w:pPr>
      <w:r>
        <w:rPr>
          <w:rFonts w:hint="eastAsia"/>
          <w:color w:val="000000"/>
        </w:rPr>
        <w:t>项目建设性内容</w:t>
      </w:r>
      <w:r>
        <w:rPr>
          <w:color w:val="000000"/>
        </w:rPr>
        <w:t>投标人应确保能在合同签订后</w:t>
      </w:r>
      <w:r>
        <w:rPr>
          <w:rFonts w:hint="eastAsia"/>
          <w:color w:val="000000"/>
          <w:u w:val="single"/>
        </w:rPr>
        <w:t>6</w:t>
      </w:r>
      <w:r>
        <w:rPr>
          <w:color w:val="000000"/>
          <w:u w:val="single"/>
        </w:rPr>
        <w:t>个月</w:t>
      </w:r>
      <w:r>
        <w:rPr>
          <w:color w:val="000000"/>
        </w:rPr>
        <w:t>内系统上线</w:t>
      </w:r>
      <w:r>
        <w:rPr>
          <w:rFonts w:hint="eastAsia"/>
          <w:color w:val="000000"/>
        </w:rPr>
        <w:t>应用，实施</w:t>
      </w:r>
      <w:r>
        <w:rPr>
          <w:color w:val="000000"/>
        </w:rPr>
        <w:t>期间可</w:t>
      </w:r>
      <w:r>
        <w:rPr>
          <w:rFonts w:hint="eastAsia"/>
          <w:color w:val="000000"/>
        </w:rPr>
        <w:t>根据</w:t>
      </w:r>
      <w:r>
        <w:rPr>
          <w:color w:val="000000"/>
        </w:rPr>
        <w:t>用户的需要及政策的变化而对系统进行相应的</w:t>
      </w:r>
      <w:r>
        <w:rPr>
          <w:rFonts w:hint="eastAsia"/>
          <w:color w:val="000000"/>
        </w:rPr>
        <w:t>实施方案调整和软件</w:t>
      </w:r>
      <w:r>
        <w:rPr>
          <w:color w:val="000000"/>
        </w:rPr>
        <w:t>客户化修改。</w:t>
      </w:r>
    </w:p>
    <w:p w14:paraId="43C80945">
      <w:pPr>
        <w:pStyle w:val="32"/>
        <w:numPr>
          <w:ilvl w:val="0"/>
          <w:numId w:val="5"/>
        </w:numPr>
        <w:spacing w:line="360" w:lineRule="auto"/>
        <w:ind w:firstLineChars="0"/>
        <w:outlineLvl w:val="1"/>
        <w:rPr>
          <w:rFonts w:hint="eastAsia" w:ascii="宋体" w:hAnsi="宋体" w:cs="宋体"/>
          <w:b/>
          <w:szCs w:val="21"/>
        </w:rPr>
      </w:pPr>
      <w:bookmarkStart w:id="6" w:name="_Toc74682242"/>
      <w:bookmarkStart w:id="7" w:name="_Toc449000765"/>
      <w:bookmarkStart w:id="8" w:name="_Toc24571258"/>
      <w:bookmarkStart w:id="9" w:name="_Toc5054"/>
      <w:bookmarkStart w:id="10" w:name="_Toc74682241"/>
      <w:bookmarkStart w:id="11" w:name="_Toc38032939"/>
      <w:bookmarkStart w:id="12" w:name="_Toc12410"/>
      <w:r>
        <w:rPr>
          <w:rFonts w:ascii="宋体" w:hAnsi="宋体" w:cs="宋体"/>
          <w:b/>
          <w:szCs w:val="21"/>
        </w:rPr>
        <w:t>培训要求</w:t>
      </w:r>
      <w:bookmarkEnd w:id="6"/>
      <w:bookmarkEnd w:id="7"/>
    </w:p>
    <w:p w14:paraId="014E7FF6">
      <w:pPr>
        <w:numPr>
          <w:ilvl w:val="0"/>
          <w:numId w:val="7"/>
        </w:numPr>
        <w:spacing w:line="360" w:lineRule="auto"/>
        <w:rPr>
          <w:color w:val="000000"/>
        </w:rPr>
      </w:pPr>
      <w:r>
        <w:rPr>
          <w:color w:val="000000"/>
        </w:rPr>
        <w:t>投标人须在采购人指定的地点提供操作及维护培训，投标人须在投标文件中提供详细的培训计划，包括培训内容、培训时间等。</w:t>
      </w:r>
    </w:p>
    <w:p w14:paraId="70F770CB">
      <w:pPr>
        <w:numPr>
          <w:ilvl w:val="0"/>
          <w:numId w:val="7"/>
        </w:numPr>
        <w:spacing w:line="360" w:lineRule="auto"/>
        <w:rPr>
          <w:color w:val="000000"/>
        </w:rPr>
      </w:pPr>
      <w:r>
        <w:rPr>
          <w:color w:val="000000"/>
        </w:rPr>
        <w:t>投标人提供的负责培训的人员应具有3年以上的相关应用系统</w:t>
      </w:r>
      <w:r>
        <w:rPr>
          <w:rFonts w:hint="eastAsia"/>
          <w:color w:val="000000"/>
        </w:rPr>
        <w:t>实施或产品负责</w:t>
      </w:r>
      <w:r>
        <w:rPr>
          <w:color w:val="000000"/>
        </w:rPr>
        <w:t>经验。</w:t>
      </w:r>
    </w:p>
    <w:p w14:paraId="2FA8BD13">
      <w:pPr>
        <w:numPr>
          <w:ilvl w:val="0"/>
          <w:numId w:val="7"/>
        </w:numPr>
        <w:spacing w:line="360" w:lineRule="auto"/>
        <w:rPr>
          <w:rFonts w:hint="eastAsia" w:hAnsi="宋体" w:cs="宋体"/>
          <w:szCs w:val="21"/>
        </w:rPr>
      </w:pPr>
      <w:r>
        <w:rPr>
          <w:color w:val="000000"/>
        </w:rPr>
        <w:t>技术培训费用应包含在投标总价中。</w:t>
      </w:r>
    </w:p>
    <w:p w14:paraId="4AC68AA8">
      <w:pPr>
        <w:pStyle w:val="32"/>
        <w:numPr>
          <w:ilvl w:val="0"/>
          <w:numId w:val="5"/>
        </w:numPr>
        <w:spacing w:line="360" w:lineRule="auto"/>
        <w:ind w:firstLineChars="0"/>
        <w:outlineLvl w:val="1"/>
        <w:rPr>
          <w:rFonts w:hint="eastAsia" w:ascii="宋体" w:hAnsi="宋体" w:cs="宋体"/>
          <w:b/>
          <w:szCs w:val="21"/>
        </w:rPr>
      </w:pPr>
      <w:r>
        <w:rPr>
          <w:rFonts w:ascii="宋体" w:hAnsi="宋体" w:cs="宋体"/>
          <w:b/>
          <w:szCs w:val="21"/>
        </w:rPr>
        <w:t>验收要求</w:t>
      </w:r>
      <w:bookmarkEnd w:id="8"/>
      <w:bookmarkEnd w:id="9"/>
      <w:bookmarkEnd w:id="10"/>
      <w:bookmarkEnd w:id="11"/>
      <w:bookmarkEnd w:id="12"/>
    </w:p>
    <w:p w14:paraId="38235BEB">
      <w:pPr>
        <w:numPr>
          <w:ilvl w:val="0"/>
          <w:numId w:val="8"/>
        </w:numPr>
        <w:spacing w:line="360" w:lineRule="auto"/>
        <w:rPr>
          <w:rFonts w:hint="eastAsia"/>
        </w:rPr>
      </w:pPr>
      <w:r>
        <w:rPr>
          <w:rFonts w:hint="eastAsia"/>
          <w:color w:val="000000"/>
        </w:rPr>
        <w:t>项目完成</w:t>
      </w:r>
      <w:r>
        <w:rPr>
          <w:rFonts w:hint="eastAsia"/>
        </w:rPr>
        <w:t>功能建设性内容 ，中标人可提出初步验收申请，初验通过后进入系统试运行。</w:t>
      </w:r>
    </w:p>
    <w:p w14:paraId="65DE4824">
      <w:pPr>
        <w:numPr>
          <w:ilvl w:val="0"/>
          <w:numId w:val="8"/>
        </w:numPr>
        <w:spacing w:line="360" w:lineRule="auto"/>
        <w:rPr>
          <w:rFonts w:hint="eastAsia"/>
        </w:rPr>
      </w:pPr>
      <w:r>
        <w:rPr>
          <w:rFonts w:hint="eastAsia"/>
        </w:rPr>
        <w:t>项目初验后系统试运行满一个月且整体稳定 ，投标人可提出最终验收申请，由招标人组织验收。</w:t>
      </w:r>
    </w:p>
    <w:p w14:paraId="1D575A65">
      <w:pPr>
        <w:numPr>
          <w:ilvl w:val="0"/>
          <w:numId w:val="8"/>
        </w:numPr>
        <w:spacing w:line="360" w:lineRule="auto"/>
      </w:pPr>
      <w:r>
        <w:t>验收</w:t>
      </w:r>
      <w:r>
        <w:rPr>
          <w:rFonts w:hint="eastAsia"/>
        </w:rPr>
        <w:t>时，需提供相关材料，包括需求分析、安装维护、系统接口、操作说明、数据库说明、培训记录、测试报告等相关文档，验收费用由投标人承担</w:t>
      </w:r>
      <w:r>
        <w:t>。</w:t>
      </w:r>
    </w:p>
    <w:p w14:paraId="4FF8B600">
      <w:pPr>
        <w:pStyle w:val="2"/>
        <w:numPr>
          <w:ilvl w:val="0"/>
          <w:numId w:val="3"/>
        </w:numPr>
        <w:tabs>
          <w:tab w:val="left" w:pos="720"/>
          <w:tab w:val="left" w:pos="1980"/>
        </w:tabs>
        <w:spacing w:line="440" w:lineRule="exact"/>
        <w:rPr>
          <w:rFonts w:hint="eastAsia" w:hAnsi="宋体" w:cs="宋体"/>
          <w:sz w:val="21"/>
          <w:szCs w:val="21"/>
        </w:rPr>
      </w:pPr>
      <w:r>
        <w:rPr>
          <w:rFonts w:hint="eastAsia" w:hAnsi="宋体" w:cs="宋体"/>
          <w:sz w:val="21"/>
          <w:szCs w:val="21"/>
        </w:rPr>
        <w:t>售后服务</w:t>
      </w:r>
    </w:p>
    <w:p w14:paraId="2672E16C">
      <w:pPr>
        <w:numPr>
          <w:ilvl w:val="0"/>
          <w:numId w:val="9"/>
        </w:numPr>
        <w:spacing w:line="360" w:lineRule="auto"/>
        <w:rPr>
          <w:rFonts w:hint="eastAsia" w:ascii="宋体" w:hAnsi="宋体" w:cs="宋体"/>
          <w:bCs/>
          <w:szCs w:val="21"/>
        </w:rPr>
      </w:pPr>
      <w:r>
        <w:rPr>
          <w:rFonts w:hint="eastAsia"/>
        </w:rPr>
        <w:t>项目终验通过后，提供</w:t>
      </w:r>
      <w:r>
        <w:rPr>
          <w:rFonts w:hint="eastAsia"/>
          <w:lang w:val="en-US" w:eastAsia="zh-CN"/>
        </w:rPr>
        <w:t>两</w:t>
      </w:r>
      <w:r>
        <w:rPr>
          <w:rFonts w:hint="eastAsia"/>
        </w:rPr>
        <w:t>年质</w:t>
      </w:r>
      <w:r>
        <w:rPr>
          <w:rFonts w:hint="eastAsia" w:ascii="宋体" w:hAnsi="宋体" w:cs="宋体"/>
          <w:bCs/>
          <w:szCs w:val="21"/>
        </w:rPr>
        <w:t>保，</w:t>
      </w:r>
      <w:r>
        <w:rPr>
          <w:rFonts w:hint="eastAsia"/>
        </w:rPr>
        <w:t>质保期内对于用户提出的改善体验、可靠性、安全性的需求，提供免费开发升级服务。</w:t>
      </w:r>
    </w:p>
    <w:p w14:paraId="2F7456A6">
      <w:pPr>
        <w:numPr>
          <w:ilvl w:val="0"/>
          <w:numId w:val="9"/>
        </w:numPr>
        <w:spacing w:line="360" w:lineRule="auto"/>
        <w:rPr>
          <w:rFonts w:hint="eastAsia" w:ascii="宋体" w:hAnsi="宋体" w:cs="宋体"/>
          <w:bCs/>
          <w:szCs w:val="21"/>
        </w:rPr>
      </w:pPr>
      <w:r>
        <w:rPr>
          <w:rFonts w:hint="eastAsia" w:ascii="宋体" w:hAnsi="宋体" w:cs="宋体"/>
          <w:bCs/>
          <w:szCs w:val="21"/>
        </w:rPr>
        <w:t>项目软件系统维保服务期间，提供1人专职负责信息系统运行保障，含所有投标内容软硬件的维护。</w:t>
      </w:r>
    </w:p>
    <w:p w14:paraId="41C2293B">
      <w:pPr>
        <w:numPr>
          <w:ilvl w:val="0"/>
          <w:numId w:val="9"/>
        </w:numPr>
        <w:spacing w:line="360" w:lineRule="auto"/>
      </w:pPr>
      <w:r>
        <w:rPr>
          <w:rFonts w:hint="eastAsia"/>
        </w:rPr>
        <w:t>因系统本身缺陷造成各种故障应由卖方</w:t>
      </w:r>
      <w:r>
        <w:rPr>
          <w:rFonts w:hint="eastAsia"/>
          <w:lang w:val="en-US" w:eastAsia="zh-CN"/>
        </w:rPr>
        <w:t>提供</w:t>
      </w:r>
      <w:r>
        <w:rPr>
          <w:rFonts w:hint="eastAsia"/>
        </w:rPr>
        <w:t>免费技术服务和维修，包括质保期外发生的情况。</w:t>
      </w:r>
    </w:p>
    <w:p w14:paraId="0A4F01CC">
      <w:pPr>
        <w:numPr>
          <w:ilvl w:val="0"/>
          <w:numId w:val="9"/>
        </w:numPr>
        <w:spacing w:line="360" w:lineRule="auto"/>
      </w:pPr>
      <w:r>
        <w:rPr>
          <w:rFonts w:hint="eastAsia"/>
        </w:rPr>
        <w:t>无力承担售后服务或响应不及时的情况下，医院可向投标方索取软件源代码，投标方应无偿提供。</w:t>
      </w:r>
    </w:p>
    <w:p w14:paraId="5AB0A29B">
      <w:pPr>
        <w:numPr>
          <w:ilvl w:val="0"/>
          <w:numId w:val="9"/>
        </w:numPr>
        <w:spacing w:line="360" w:lineRule="auto"/>
      </w:pPr>
      <w:r>
        <w:rPr>
          <w:rFonts w:hint="eastAsia"/>
        </w:rPr>
        <w:t>投标人须保证所提供产品符合国家有关规定。投标人须保证所提供产品具有合法的版权或使用权，本项目采购的产品，如在本项目范围内使用过程中出现版权或使用权纠纷，应由中标人负责，采购人不承担责任。</w:t>
      </w:r>
    </w:p>
    <w:p w14:paraId="36EB9CDC">
      <w:pPr>
        <w:numPr>
          <w:ilvl w:val="0"/>
          <w:numId w:val="9"/>
        </w:numPr>
        <w:spacing w:line="360" w:lineRule="auto"/>
      </w:pPr>
      <w:r>
        <w:rPr>
          <w:rFonts w:hint="eastAsia"/>
        </w:rPr>
        <w:t>投标人必须保证解决项目所涉及的技术问题，如因技术原因无法满足采购人需求，由此产生的风险由投标人承担。</w:t>
      </w:r>
    </w:p>
    <w:p w14:paraId="2224E8FE">
      <w:pPr>
        <w:numPr>
          <w:ilvl w:val="0"/>
          <w:numId w:val="9"/>
        </w:numPr>
        <w:spacing w:line="360" w:lineRule="auto"/>
      </w:pPr>
      <w:r>
        <w:rPr>
          <w:rFonts w:hint="eastAsia"/>
        </w:rPr>
        <w:t>在</w:t>
      </w:r>
      <w:r>
        <w:rPr>
          <w:rFonts w:hint="eastAsia"/>
          <w:lang w:eastAsia="zh-CN"/>
        </w:rPr>
        <w:t>项目</w:t>
      </w:r>
      <w:r>
        <w:rPr>
          <w:rFonts w:hint="eastAsia"/>
        </w:rPr>
        <w:t>维保期间内，若承接方在服务过程中发生以下行为，经院方确认后，每次根据标准进行扣罚：</w:t>
      </w:r>
    </w:p>
    <w:p w14:paraId="76D5BBBE">
      <w:pPr>
        <w:numPr>
          <w:ilvl w:val="0"/>
          <w:numId w:val="10"/>
        </w:numPr>
        <w:spacing w:line="360" w:lineRule="auto"/>
      </w:pPr>
      <w:r>
        <w:rPr>
          <w:rFonts w:hint="eastAsia"/>
        </w:rPr>
        <w:t>遇到重大或紧急事件要求承接方派驻应急人员现场解决，但承接方无正当理由不履行的，每发生一次从项目合同金额中扣除3000元，视作一次不良行为。</w:t>
      </w:r>
    </w:p>
    <w:p w14:paraId="3947ABD6">
      <w:pPr>
        <w:numPr>
          <w:ilvl w:val="0"/>
          <w:numId w:val="10"/>
        </w:numPr>
        <w:spacing w:line="360" w:lineRule="auto"/>
      </w:pPr>
      <w:r>
        <w:rPr>
          <w:rFonts w:hint="eastAsia"/>
        </w:rPr>
        <w:t>未经我院信息中心审核同意，自行运维实施或调整数据库、网络、服务器等操作，导致引发严重信息系统故障或不良事件，每发生一次从本项目合同金额中扣除3000元，视作一次不良行为。</w:t>
      </w:r>
    </w:p>
    <w:p w14:paraId="48489F87">
      <w:pPr>
        <w:numPr>
          <w:ilvl w:val="0"/>
          <w:numId w:val="10"/>
        </w:numPr>
        <w:spacing w:line="360" w:lineRule="auto"/>
      </w:pPr>
      <w:r>
        <w:rPr>
          <w:rFonts w:hint="eastAsia"/>
        </w:rPr>
        <w:t>因承接方自身软件或系统架构缺陷原因，导致引发医院核心信息系统宕机事件，每发生一次即视作一次不良行为，并从本合同项目金额中扣罚:接到通知后宕机修复时间如在60分钟（含）以内扣罚1000元，如在60分钟以上则每增加 60分钟（含）以内追加扣罚2000元。</w:t>
      </w:r>
    </w:p>
    <w:p w14:paraId="56F66E0B">
      <w:pPr>
        <w:numPr>
          <w:ilvl w:val="0"/>
          <w:numId w:val="10"/>
        </w:numPr>
        <w:spacing w:line="360" w:lineRule="auto"/>
        <w:rPr>
          <w:rFonts w:hint="eastAsia" w:hAnsi="宋体"/>
          <w:sz w:val="21"/>
          <w:szCs w:val="21"/>
        </w:rPr>
      </w:pPr>
      <w:r>
        <w:rPr>
          <w:rFonts w:hint="eastAsia"/>
        </w:rPr>
        <w:t>要求保质保量</w:t>
      </w:r>
      <w:r>
        <w:rPr>
          <w:rFonts w:hint="eastAsia"/>
          <w:lang w:val="en-US" w:eastAsia="zh-CN"/>
        </w:rPr>
        <w:t>地</w:t>
      </w:r>
      <w:r>
        <w:rPr>
          <w:rFonts w:hint="eastAsia"/>
        </w:rPr>
        <w:t>完成相关维保需求，其中要求系统错误类需求14天完成率达到90%以上，影响业务类需求30天完成率达到90%以上，系统优化类需求90天完成率达到90%以上。按每月度考核一次完成率，如需求完成不符合要求，每发生一次，视作一次不良行为。</w:t>
      </w:r>
    </w:p>
    <w:p w14:paraId="27A1AB8B">
      <w:pPr>
        <w:pStyle w:val="7"/>
        <w:rPr>
          <w:color w:val="auto"/>
        </w:rPr>
      </w:pPr>
    </w:p>
    <w:p w14:paraId="181F6451">
      <w:pPr>
        <w:pStyle w:val="2"/>
        <w:numPr>
          <w:ilvl w:val="0"/>
          <w:numId w:val="3"/>
        </w:numPr>
        <w:tabs>
          <w:tab w:val="left" w:pos="720"/>
          <w:tab w:val="left" w:pos="1980"/>
        </w:tabs>
        <w:spacing w:line="440" w:lineRule="exact"/>
        <w:rPr>
          <w:rFonts w:hint="eastAsia" w:hAnsi="宋体" w:cs="宋体"/>
          <w:sz w:val="21"/>
          <w:szCs w:val="21"/>
          <w:lang w:eastAsia="ja-JP"/>
        </w:rPr>
      </w:pPr>
      <w:r>
        <w:rPr>
          <w:rFonts w:hint="eastAsia" w:hAnsi="宋体" w:cs="宋体"/>
          <w:sz w:val="21"/>
          <w:szCs w:val="21"/>
          <w:lang w:eastAsia="ja-JP"/>
        </w:rPr>
        <w:t>付款方式</w:t>
      </w:r>
    </w:p>
    <w:p w14:paraId="1BD05C6F">
      <w:pPr>
        <w:keepNext w:val="0"/>
        <w:keepLines w:val="0"/>
        <w:widowControl/>
        <w:suppressLineNumbers w:val="0"/>
        <w:spacing w:line="15" w:lineRule="atLeast"/>
        <w:ind w:firstLine="420" w:firstLineChars="0"/>
        <w:jc w:val="left"/>
        <w:rPr>
          <w:sz w:val="21"/>
          <w:szCs w:val="21"/>
        </w:rPr>
      </w:pPr>
      <w:r>
        <w:rPr>
          <w:rFonts w:ascii="宋体" w:hAnsi="宋体" w:eastAsia="宋体" w:cs="宋体"/>
          <w:kern w:val="0"/>
          <w:sz w:val="21"/>
          <w:szCs w:val="21"/>
          <w:lang w:val="en-US" w:eastAsia="zh-CN" w:bidi="ar"/>
        </w:rPr>
        <w:t>甲方在合同生效且项目具备实施条件后，支付合同金额的20%，终验合格且经甲方书面认可后，支付合同金额的80%。</w:t>
      </w:r>
    </w:p>
    <w:p w14:paraId="30E120D5">
      <w:pPr>
        <w:pStyle w:val="7"/>
        <w:rPr>
          <w:color w:val="auto"/>
          <w:lang w:eastAsia="ja-JP"/>
        </w:rPr>
      </w:pPr>
    </w:p>
    <w:p w14:paraId="51451507">
      <w:pPr>
        <w:widowControl/>
        <w:jc w:val="left"/>
        <w:rPr>
          <w:rFonts w:asciiTheme="minorHAnsi" w:hAnsiTheme="minorHAnsi" w:eastAsiaTheme="minorEastAsia" w:cstheme="minorBidi"/>
          <w:b/>
          <w:bCs/>
          <w:color w:val="auto"/>
          <w:kern w:val="44"/>
          <w:sz w:val="44"/>
          <w:szCs w:val="44"/>
        </w:rPr>
      </w:pPr>
      <w:r>
        <w:rPr>
          <w:color w:val="auto"/>
        </w:rPr>
        <w:br w:type="page"/>
      </w:r>
    </w:p>
    <w:p w14:paraId="422E8432">
      <w:pPr>
        <w:pStyle w:val="19"/>
        <w:numPr>
          <w:ilvl w:val="0"/>
          <w:numId w:val="11"/>
        </w:numPr>
        <w:rPr>
          <w:rFonts w:hint="eastAsia" w:eastAsia="宋体"/>
          <w:color w:val="auto"/>
        </w:rPr>
      </w:pPr>
      <w:bookmarkStart w:id="13" w:name="_Toc30692"/>
      <w:r>
        <w:rPr>
          <w:rFonts w:hint="eastAsia" w:eastAsia="宋体"/>
          <w:color w:val="auto"/>
        </w:rPr>
        <w:t>评审办法</w:t>
      </w:r>
      <w:bookmarkEnd w:id="13"/>
    </w:p>
    <w:tbl>
      <w:tblPr>
        <w:tblStyle w:val="21"/>
        <w:tblW w:w="4998"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6121"/>
        <w:gridCol w:w="861"/>
        <w:gridCol w:w="861"/>
      </w:tblGrid>
      <w:tr w14:paraId="35315D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7" w:type="dxa"/>
            <w:noWrap w:val="0"/>
            <w:vAlign w:val="center"/>
          </w:tcPr>
          <w:p w14:paraId="7C97EBC6">
            <w:pPr>
              <w:spacing w:line="276" w:lineRule="auto"/>
              <w:jc w:val="center"/>
              <w:rPr>
                <w:b/>
                <w:bCs/>
                <w:color w:val="auto"/>
              </w:rPr>
            </w:pPr>
            <w:r>
              <w:rPr>
                <w:b/>
                <w:bCs/>
                <w:color w:val="auto"/>
                <w:sz w:val="24"/>
              </w:rPr>
              <w:t>序号</w:t>
            </w:r>
          </w:p>
        </w:tc>
        <w:tc>
          <w:tcPr>
            <w:tcW w:w="6120" w:type="dxa"/>
            <w:shd w:val="clear" w:color="auto" w:fill="auto"/>
            <w:noWrap w:val="0"/>
            <w:vAlign w:val="center"/>
          </w:tcPr>
          <w:p w14:paraId="771D9478">
            <w:pPr>
              <w:spacing w:line="276" w:lineRule="auto"/>
              <w:ind w:right="-313" w:rightChars="-149"/>
              <w:jc w:val="center"/>
              <w:rPr>
                <w:rFonts w:ascii="Times New Roman" w:hAnsi="Times New Roman" w:eastAsia="宋体" w:cs="Times New Roman"/>
                <w:b/>
                <w:bCs/>
                <w:color w:val="auto"/>
                <w:kern w:val="2"/>
                <w:sz w:val="21"/>
                <w:szCs w:val="24"/>
                <w:lang w:val="en-US" w:eastAsia="zh-CN" w:bidi="ar-SA"/>
              </w:rPr>
            </w:pPr>
            <w:r>
              <w:rPr>
                <w:b/>
                <w:bCs/>
                <w:color w:val="auto"/>
                <w:sz w:val="24"/>
              </w:rPr>
              <w:t>评审细则</w:t>
            </w:r>
          </w:p>
        </w:tc>
        <w:tc>
          <w:tcPr>
            <w:tcW w:w="861" w:type="dxa"/>
            <w:noWrap w:val="0"/>
            <w:vAlign w:val="center"/>
          </w:tcPr>
          <w:p w14:paraId="6F60D8E6">
            <w:pPr>
              <w:spacing w:line="276" w:lineRule="auto"/>
              <w:jc w:val="center"/>
              <w:rPr>
                <w:b/>
                <w:bCs/>
                <w:color w:val="auto"/>
              </w:rPr>
            </w:pPr>
            <w:r>
              <w:rPr>
                <w:b/>
                <w:bCs/>
                <w:color w:val="auto"/>
                <w:sz w:val="24"/>
              </w:rPr>
              <w:t>说明</w:t>
            </w:r>
          </w:p>
        </w:tc>
        <w:tc>
          <w:tcPr>
            <w:tcW w:w="861" w:type="dxa"/>
            <w:noWrap w:val="0"/>
            <w:vAlign w:val="center"/>
          </w:tcPr>
          <w:p w14:paraId="5AC5590F">
            <w:pPr>
              <w:spacing w:line="276" w:lineRule="auto"/>
              <w:jc w:val="center"/>
              <w:rPr>
                <w:b/>
                <w:bCs/>
                <w:color w:val="auto"/>
              </w:rPr>
            </w:pPr>
            <w:r>
              <w:rPr>
                <w:b/>
                <w:bCs/>
                <w:color w:val="auto"/>
                <w:sz w:val="24"/>
              </w:rPr>
              <w:t>分值</w:t>
            </w:r>
          </w:p>
        </w:tc>
      </w:tr>
      <w:tr w14:paraId="5FA562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46B6C909">
            <w:pPr>
              <w:spacing w:line="276" w:lineRule="auto"/>
              <w:jc w:val="center"/>
              <w:rPr>
                <w:color w:val="auto"/>
              </w:rPr>
            </w:pPr>
            <w:r>
              <w:rPr>
                <w:color w:val="auto"/>
                <w:sz w:val="24"/>
              </w:rPr>
              <w:t>1</w:t>
            </w:r>
          </w:p>
        </w:tc>
        <w:tc>
          <w:tcPr>
            <w:tcW w:w="3591" w:type="pct"/>
            <w:noWrap w:val="0"/>
            <w:vAlign w:val="center"/>
          </w:tcPr>
          <w:p w14:paraId="5360AEBA">
            <w:pPr>
              <w:widowControl/>
              <w:jc w:val="left"/>
              <w:rPr>
                <w:color w:val="auto"/>
              </w:rPr>
            </w:pPr>
            <w:r>
              <w:rPr>
                <w:rFonts w:hint="eastAsia" w:cs="Times New Roman"/>
                <w:color w:val="auto"/>
                <w:sz w:val="24"/>
                <w:lang w:val="en-US" w:eastAsia="zh-CN"/>
              </w:rPr>
              <w:t>产品功能、性能响应情况</w:t>
            </w:r>
            <w:r>
              <w:rPr>
                <w:rFonts w:hint="eastAsia" w:ascii="Times New Roman" w:hAnsi="Times New Roman" w:eastAsia="宋体" w:cs="Times New Roman"/>
                <w:color w:val="auto"/>
                <w:sz w:val="24"/>
                <w:lang w:val="en-US" w:eastAsia="zh-CN"/>
              </w:rPr>
              <w:t>：</w:t>
            </w:r>
            <w:r>
              <w:rPr>
                <w:rFonts w:hint="eastAsia" w:ascii="宋体" w:hAnsi="宋体" w:cs="宋体"/>
                <w:b/>
                <w:color w:val="auto"/>
                <w:kern w:val="44"/>
                <w:sz w:val="24"/>
              </w:rPr>
              <w:t>“</w:t>
            </w:r>
            <w:r>
              <w:rPr>
                <w:rFonts w:hint="eastAsia" w:ascii="宋体" w:hAnsi="宋体" w:cs="宋体"/>
                <w:b/>
                <w:color w:val="auto"/>
                <w:kern w:val="44"/>
                <w:sz w:val="24"/>
                <w:lang w:val="en-US" w:eastAsia="zh-CN"/>
              </w:rPr>
              <w:t>技术规格</w:t>
            </w:r>
            <w:r>
              <w:rPr>
                <w:rFonts w:hint="eastAsia" w:ascii="宋体" w:hAnsi="宋体" w:cs="宋体"/>
                <w:b/>
                <w:color w:val="auto"/>
                <w:kern w:val="44"/>
                <w:sz w:val="24"/>
              </w:rPr>
              <w:t>”中的</w:t>
            </w:r>
            <w:r>
              <w:rPr>
                <w:rFonts w:hint="eastAsia" w:ascii="宋体" w:hAnsi="宋体" w:cs="仿宋"/>
                <w:color w:val="auto"/>
                <w:sz w:val="24"/>
              </w:rPr>
              <w:t>产品技术参数全部满足招标文件要求的得3</w:t>
            </w:r>
            <w:r>
              <w:rPr>
                <w:rFonts w:hint="eastAsia" w:ascii="宋体" w:hAnsi="宋体" w:cs="仿宋"/>
                <w:color w:val="auto"/>
                <w:sz w:val="24"/>
                <w:lang w:val="en-US" w:eastAsia="zh-CN"/>
              </w:rPr>
              <w:t>2</w:t>
            </w:r>
            <w:r>
              <w:rPr>
                <w:rFonts w:hint="eastAsia" w:ascii="宋体" w:hAnsi="宋体" w:cs="仿宋"/>
                <w:color w:val="auto"/>
                <w:sz w:val="24"/>
              </w:rPr>
              <w:t>分；打</w:t>
            </w:r>
            <w:r>
              <w:rPr>
                <w:rFonts w:hint="eastAsia" w:ascii="宋体" w:hAnsi="宋体"/>
                <w:color w:val="auto"/>
                <w:spacing w:val="-4"/>
                <w:kern w:val="0"/>
                <w:sz w:val="24"/>
                <w:szCs w:val="20"/>
              </w:rPr>
              <w:t>★</w:t>
            </w:r>
            <w:r>
              <w:rPr>
                <w:rFonts w:hint="eastAsia" w:ascii="宋体" w:hAnsi="宋体" w:cs="仿宋"/>
                <w:color w:val="auto"/>
                <w:sz w:val="24"/>
              </w:rPr>
              <w:t>号指标为重要指标，有一项负偏离扣</w:t>
            </w:r>
            <w:r>
              <w:rPr>
                <w:rFonts w:hint="eastAsia" w:ascii="宋体" w:hAnsi="宋体" w:cs="仿宋"/>
                <w:color w:val="auto"/>
                <w:sz w:val="24"/>
                <w:lang w:val="en-US" w:eastAsia="zh-CN"/>
              </w:rPr>
              <w:t>3</w:t>
            </w:r>
            <w:r>
              <w:rPr>
                <w:rFonts w:hint="eastAsia" w:ascii="宋体" w:hAnsi="宋体" w:cs="仿宋"/>
                <w:color w:val="auto"/>
                <w:sz w:val="24"/>
              </w:rPr>
              <w:t>分；其他参数，有一项负偏离扣1分，扣完为止。</w:t>
            </w:r>
          </w:p>
        </w:tc>
        <w:tc>
          <w:tcPr>
            <w:tcW w:w="505" w:type="pct"/>
            <w:noWrap w:val="0"/>
            <w:vAlign w:val="center"/>
          </w:tcPr>
          <w:p w14:paraId="6CB1D959">
            <w:pPr>
              <w:spacing w:line="276" w:lineRule="auto"/>
              <w:jc w:val="center"/>
              <w:rPr>
                <w:color w:val="auto"/>
              </w:rPr>
            </w:pPr>
            <w:r>
              <w:rPr>
                <w:color w:val="auto"/>
                <w:sz w:val="24"/>
              </w:rPr>
              <w:t>客观分</w:t>
            </w:r>
          </w:p>
        </w:tc>
        <w:tc>
          <w:tcPr>
            <w:tcW w:w="505" w:type="pct"/>
            <w:noWrap w:val="0"/>
            <w:vAlign w:val="center"/>
          </w:tcPr>
          <w:p w14:paraId="1933F11D">
            <w:pPr>
              <w:spacing w:line="276" w:lineRule="auto"/>
              <w:jc w:val="center"/>
              <w:rPr>
                <w:rFonts w:hint="eastAsia"/>
                <w:color w:val="auto"/>
                <w:lang w:val="en-US" w:eastAsia="zh-CN"/>
              </w:rPr>
            </w:pPr>
            <w:r>
              <w:rPr>
                <w:rFonts w:hint="eastAsia"/>
                <w:color w:val="auto"/>
                <w:sz w:val="24"/>
                <w:lang w:val="en-US" w:eastAsia="zh-CN"/>
              </w:rPr>
              <w:t>32</w:t>
            </w:r>
            <w:r>
              <w:rPr>
                <w:color w:val="auto"/>
                <w:sz w:val="24"/>
              </w:rPr>
              <w:t>分</w:t>
            </w:r>
          </w:p>
        </w:tc>
      </w:tr>
      <w:tr w14:paraId="51CA36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78C24636">
            <w:pPr>
              <w:spacing w:line="276" w:lineRule="auto"/>
              <w:jc w:val="center"/>
              <w:rPr>
                <w:color w:val="auto"/>
              </w:rPr>
            </w:pPr>
            <w:r>
              <w:rPr>
                <w:color w:val="auto"/>
                <w:sz w:val="24"/>
              </w:rPr>
              <w:t>2</w:t>
            </w:r>
          </w:p>
        </w:tc>
        <w:tc>
          <w:tcPr>
            <w:tcW w:w="3591" w:type="pct"/>
            <w:noWrap w:val="0"/>
            <w:vAlign w:val="center"/>
          </w:tcPr>
          <w:p w14:paraId="734E6EF8">
            <w:pPr>
              <w:widowControl/>
              <w:jc w:val="left"/>
              <w:rPr>
                <w:color w:val="auto"/>
              </w:rPr>
            </w:pPr>
            <w:r>
              <w:rPr>
                <w:rFonts w:hint="eastAsia"/>
                <w:color w:val="auto"/>
                <w:sz w:val="24"/>
                <w:lang w:val="en-US" w:eastAsia="zh-CN"/>
              </w:rPr>
              <w:t>实施与运维方案</w:t>
            </w:r>
            <w:r>
              <w:rPr>
                <w:rFonts w:hint="eastAsia" w:ascii="Times New Roman" w:hAnsi="Times New Roman" w:eastAsia="宋体" w:cs="Times New Roman"/>
                <w:color w:val="auto"/>
                <w:sz w:val="24"/>
                <w:lang w:val="en-US" w:eastAsia="zh-CN"/>
              </w:rPr>
              <w:t>科学性：方案需包含：系统架构设计合理性；运维支持流程（如故障响应机制、数据备份策略）；方案完整性及可操作性。按0-</w:t>
            </w:r>
            <w:r>
              <w:rPr>
                <w:rFonts w:hint="eastAsia" w:cs="Times New Roman"/>
                <w:color w:val="auto"/>
                <w:sz w:val="24"/>
                <w:lang w:val="en-US" w:eastAsia="zh-CN"/>
              </w:rPr>
              <w:t>10</w:t>
            </w:r>
            <w:r>
              <w:rPr>
                <w:rFonts w:hint="eastAsia" w:ascii="Times New Roman" w:hAnsi="Times New Roman" w:eastAsia="宋体" w:cs="Times New Roman"/>
                <w:color w:val="auto"/>
                <w:sz w:val="24"/>
                <w:lang w:val="en-US" w:eastAsia="zh-CN"/>
              </w:rPr>
              <w:t>分综合评分。</w:t>
            </w:r>
          </w:p>
        </w:tc>
        <w:tc>
          <w:tcPr>
            <w:tcW w:w="505" w:type="pct"/>
            <w:noWrap w:val="0"/>
            <w:vAlign w:val="center"/>
          </w:tcPr>
          <w:p w14:paraId="798D36E3">
            <w:pPr>
              <w:spacing w:line="276" w:lineRule="auto"/>
              <w:jc w:val="center"/>
              <w:rPr>
                <w:color w:val="auto"/>
              </w:rPr>
            </w:pPr>
            <w:r>
              <w:rPr>
                <w:color w:val="auto"/>
                <w:sz w:val="24"/>
              </w:rPr>
              <w:t>主观分</w:t>
            </w:r>
          </w:p>
        </w:tc>
        <w:tc>
          <w:tcPr>
            <w:tcW w:w="505" w:type="pct"/>
            <w:noWrap w:val="0"/>
            <w:vAlign w:val="center"/>
          </w:tcPr>
          <w:p w14:paraId="7FDA49AF">
            <w:pPr>
              <w:spacing w:line="276" w:lineRule="auto"/>
              <w:jc w:val="center"/>
              <w:rPr>
                <w:rFonts w:hint="eastAsia"/>
                <w:color w:val="auto"/>
                <w:lang w:val="en-US" w:eastAsia="zh-CN"/>
              </w:rPr>
            </w:pPr>
            <w:r>
              <w:rPr>
                <w:rFonts w:hint="eastAsia"/>
                <w:color w:val="auto"/>
                <w:sz w:val="24"/>
                <w:lang w:val="en-US" w:eastAsia="zh-CN"/>
              </w:rPr>
              <w:t>10</w:t>
            </w:r>
            <w:r>
              <w:rPr>
                <w:color w:val="auto"/>
                <w:sz w:val="24"/>
              </w:rPr>
              <w:t>分</w:t>
            </w:r>
          </w:p>
        </w:tc>
      </w:tr>
      <w:tr w14:paraId="57C2FA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474B8A2A">
            <w:pPr>
              <w:spacing w:line="276" w:lineRule="auto"/>
              <w:jc w:val="center"/>
              <w:rPr>
                <w:color w:val="auto"/>
              </w:rPr>
            </w:pPr>
            <w:r>
              <w:rPr>
                <w:color w:val="auto"/>
                <w:sz w:val="24"/>
              </w:rPr>
              <w:t>3</w:t>
            </w:r>
          </w:p>
        </w:tc>
        <w:tc>
          <w:tcPr>
            <w:tcW w:w="3591" w:type="pct"/>
            <w:noWrap w:val="0"/>
            <w:vAlign w:val="center"/>
          </w:tcPr>
          <w:p w14:paraId="6F74B45F">
            <w:pPr>
              <w:widowControl/>
              <w:jc w:val="left"/>
              <w:rPr>
                <w:color w:val="auto"/>
              </w:rPr>
            </w:pPr>
            <w:r>
              <w:rPr>
                <w:rFonts w:hint="eastAsia" w:ascii="Times New Roman" w:hAnsi="Times New Roman" w:eastAsia="宋体" w:cs="Times New Roman"/>
                <w:color w:val="auto"/>
                <w:sz w:val="24"/>
                <w:lang w:val="en-US" w:eastAsia="zh-CN"/>
              </w:rPr>
              <w:t>实施保障能力：</w:t>
            </w:r>
            <w:r>
              <w:rPr>
                <w:rFonts w:hint="eastAsia" w:ascii="宋体" w:hAnsi="宋体" w:cs="宋体"/>
                <w:color w:val="auto"/>
                <w:kern w:val="0"/>
                <w:sz w:val="24"/>
              </w:rPr>
              <w:t>根据投标人提供的项目实施方案，包括①供货方案、②安装、调试、验收方案、③</w:t>
            </w:r>
            <w:r>
              <w:rPr>
                <w:rFonts w:hint="eastAsia" w:ascii="宋体" w:hAnsi="宋体" w:cs="宋体"/>
                <w:iCs/>
                <w:color w:val="auto"/>
                <w:sz w:val="24"/>
              </w:rPr>
              <w:t>投标产品操作系统支持的版本升级方案</w:t>
            </w: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④</w:t>
            </w:r>
            <w:r>
              <w:rPr>
                <w:rFonts w:hint="eastAsia" w:ascii="宋体" w:hAnsi="宋体" w:cs="宋体"/>
                <w:color w:val="auto"/>
                <w:kern w:val="0"/>
                <w:sz w:val="24"/>
              </w:rPr>
              <w:t>质量保证措施、</w:t>
            </w:r>
            <w:r>
              <w:rPr>
                <w:rFonts w:hint="eastAsia" w:ascii="宋体" w:hAnsi="宋体" w:cs="宋体"/>
                <w:color w:val="auto"/>
                <w:kern w:val="0"/>
                <w:sz w:val="24"/>
                <w:lang w:val="en-US" w:eastAsia="zh-CN"/>
              </w:rPr>
              <w:t>⑤</w:t>
            </w:r>
            <w:r>
              <w:rPr>
                <w:rFonts w:hint="eastAsia" w:ascii="宋体" w:hAnsi="宋体" w:cs="宋体"/>
                <w:color w:val="auto"/>
                <w:kern w:val="0"/>
                <w:sz w:val="24"/>
              </w:rPr>
              <w:t>技术服务措施等</w:t>
            </w:r>
            <w:r>
              <w:rPr>
                <w:rFonts w:hint="eastAsia" w:ascii="宋体" w:hAnsi="宋体" w:cs="宋体"/>
                <w:color w:val="auto"/>
                <w:kern w:val="0"/>
                <w:sz w:val="24"/>
                <w:lang w:eastAsia="zh-CN"/>
              </w:rPr>
              <w:t>，</w:t>
            </w:r>
            <w:r>
              <w:rPr>
                <w:rFonts w:hint="eastAsia" w:ascii="宋体" w:hAnsi="宋体" w:cs="宋体"/>
                <w:color w:val="auto"/>
                <w:kern w:val="0"/>
                <w:sz w:val="24"/>
              </w:rPr>
              <w:t>由专家进行综合评价。每小项2分</w:t>
            </w:r>
            <w:r>
              <w:rPr>
                <w:rFonts w:hint="eastAsia" w:ascii="宋体" w:hAnsi="宋体" w:cs="宋体"/>
                <w:color w:val="auto"/>
                <w:kern w:val="0"/>
                <w:sz w:val="24"/>
                <w:lang w:eastAsia="zh-CN"/>
              </w:rPr>
              <w:t>。</w:t>
            </w:r>
          </w:p>
        </w:tc>
        <w:tc>
          <w:tcPr>
            <w:tcW w:w="505" w:type="pct"/>
            <w:noWrap w:val="0"/>
            <w:vAlign w:val="center"/>
          </w:tcPr>
          <w:p w14:paraId="2A6F7484">
            <w:pPr>
              <w:spacing w:line="276" w:lineRule="auto"/>
              <w:jc w:val="center"/>
              <w:rPr>
                <w:color w:val="auto"/>
              </w:rPr>
            </w:pPr>
            <w:r>
              <w:rPr>
                <w:color w:val="auto"/>
                <w:sz w:val="24"/>
              </w:rPr>
              <w:t>主观分</w:t>
            </w:r>
          </w:p>
        </w:tc>
        <w:tc>
          <w:tcPr>
            <w:tcW w:w="505" w:type="pct"/>
            <w:noWrap w:val="0"/>
            <w:vAlign w:val="center"/>
          </w:tcPr>
          <w:p w14:paraId="31804476">
            <w:pPr>
              <w:spacing w:line="276" w:lineRule="auto"/>
              <w:jc w:val="center"/>
              <w:rPr>
                <w:rFonts w:hint="eastAsia"/>
                <w:color w:val="auto"/>
                <w:lang w:val="en-US" w:eastAsia="zh-CN"/>
              </w:rPr>
            </w:pPr>
            <w:r>
              <w:rPr>
                <w:rFonts w:hint="eastAsia"/>
                <w:color w:val="auto"/>
                <w:sz w:val="24"/>
                <w:lang w:val="en-US" w:eastAsia="zh-CN"/>
              </w:rPr>
              <w:t>10</w:t>
            </w:r>
            <w:r>
              <w:rPr>
                <w:color w:val="auto"/>
                <w:sz w:val="24"/>
              </w:rPr>
              <w:t>分</w:t>
            </w:r>
          </w:p>
        </w:tc>
      </w:tr>
      <w:tr w14:paraId="4E441E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1DA54356">
            <w:pPr>
              <w:spacing w:line="276" w:lineRule="auto"/>
              <w:jc w:val="center"/>
              <w:rPr>
                <w:color w:val="auto"/>
              </w:rPr>
            </w:pPr>
            <w:r>
              <w:rPr>
                <w:color w:val="auto"/>
                <w:sz w:val="24"/>
              </w:rPr>
              <w:t>4</w:t>
            </w:r>
          </w:p>
        </w:tc>
        <w:tc>
          <w:tcPr>
            <w:tcW w:w="3591" w:type="pct"/>
            <w:noWrap w:val="0"/>
            <w:vAlign w:val="center"/>
          </w:tcPr>
          <w:p w14:paraId="630E71A9">
            <w:pPr>
              <w:widowControl/>
              <w:jc w:val="left"/>
              <w:rPr>
                <w:rFonts w:hint="eastAsia"/>
                <w:color w:val="auto"/>
                <w:lang w:val="en-US" w:eastAsia="zh-CN"/>
              </w:rPr>
            </w:pPr>
            <w:r>
              <w:rPr>
                <w:rFonts w:hint="eastAsia" w:ascii="Times New Roman" w:hAnsi="Times New Roman" w:eastAsia="宋体" w:cs="Times New Roman"/>
                <w:color w:val="auto"/>
                <w:sz w:val="24"/>
                <w:lang w:val="en-US" w:eastAsia="zh-CN"/>
              </w:rPr>
              <w:t>售后服务方案：包括安装验收、技术培训、服务响应时间、故障解决方案</w:t>
            </w:r>
            <w:r>
              <w:rPr>
                <w:rFonts w:hint="eastAsia" w:cs="Times New Roman"/>
                <w:color w:val="auto"/>
                <w:sz w:val="24"/>
                <w:lang w:val="en-US" w:eastAsia="zh-CN"/>
              </w:rPr>
              <w:t>的</w:t>
            </w:r>
            <w:r>
              <w:rPr>
                <w:rFonts w:hint="eastAsia" w:ascii="Times New Roman" w:hAnsi="Times New Roman" w:eastAsia="宋体" w:cs="Times New Roman"/>
                <w:color w:val="auto"/>
                <w:sz w:val="24"/>
                <w:lang w:val="en-US" w:eastAsia="zh-CN"/>
              </w:rPr>
              <w:t>完善性及时性</w:t>
            </w:r>
            <w:r>
              <w:rPr>
                <w:rFonts w:hint="eastAsia" w:cs="Times New Roman"/>
                <w:color w:val="auto"/>
                <w:sz w:val="24"/>
                <w:lang w:val="en-US" w:eastAsia="zh-CN"/>
              </w:rPr>
              <w:t>，</w:t>
            </w:r>
            <w:r>
              <w:rPr>
                <w:rFonts w:hint="eastAsia" w:ascii="宋体" w:hAnsi="宋体" w:cs="仿宋"/>
                <w:snapToGrid w:val="0"/>
                <w:color w:val="auto"/>
                <w:kern w:val="28"/>
                <w:sz w:val="24"/>
              </w:rPr>
              <w:t>质保期满后配件、附件、备品备件的准备和保障措施，根据措施方案综合评审</w:t>
            </w:r>
            <w:r>
              <w:rPr>
                <w:rFonts w:hint="eastAsia" w:ascii="宋体" w:hAnsi="宋体" w:cs="仿宋"/>
                <w:snapToGrid w:val="0"/>
                <w:color w:val="auto"/>
                <w:kern w:val="28"/>
                <w:sz w:val="24"/>
                <w:lang w:eastAsia="zh-CN"/>
              </w:rPr>
              <w:t>，</w:t>
            </w:r>
            <w:r>
              <w:rPr>
                <w:rFonts w:hint="eastAsia" w:ascii="Times New Roman" w:hAnsi="Times New Roman" w:eastAsia="宋体" w:cs="Times New Roman"/>
                <w:color w:val="auto"/>
                <w:sz w:val="24"/>
                <w:lang w:val="en-US" w:eastAsia="zh-CN"/>
              </w:rPr>
              <w:t>0-</w:t>
            </w:r>
            <w:r>
              <w:rPr>
                <w:rFonts w:hint="eastAsia" w:cs="Times New Roman"/>
                <w:color w:val="auto"/>
                <w:sz w:val="24"/>
                <w:lang w:val="en-US" w:eastAsia="zh-CN"/>
              </w:rPr>
              <w:t>8</w:t>
            </w:r>
            <w:r>
              <w:rPr>
                <w:rFonts w:hint="eastAsia" w:ascii="Times New Roman" w:hAnsi="Times New Roman" w:eastAsia="宋体" w:cs="Times New Roman"/>
                <w:color w:val="auto"/>
                <w:sz w:val="24"/>
                <w:lang w:val="en-US" w:eastAsia="zh-CN"/>
              </w:rPr>
              <w:t>分。</w:t>
            </w:r>
          </w:p>
        </w:tc>
        <w:tc>
          <w:tcPr>
            <w:tcW w:w="505" w:type="pct"/>
            <w:noWrap w:val="0"/>
            <w:vAlign w:val="center"/>
          </w:tcPr>
          <w:p w14:paraId="15EE0B6A">
            <w:pPr>
              <w:spacing w:line="276" w:lineRule="auto"/>
              <w:jc w:val="center"/>
              <w:rPr>
                <w:color w:val="auto"/>
              </w:rPr>
            </w:pPr>
            <w:r>
              <w:rPr>
                <w:rFonts w:hint="eastAsia"/>
                <w:color w:val="auto"/>
                <w:sz w:val="24"/>
                <w:lang w:val="en-US" w:eastAsia="zh-CN"/>
              </w:rPr>
              <w:t>主</w:t>
            </w:r>
            <w:r>
              <w:rPr>
                <w:color w:val="auto"/>
                <w:sz w:val="24"/>
              </w:rPr>
              <w:t>观分</w:t>
            </w:r>
          </w:p>
        </w:tc>
        <w:tc>
          <w:tcPr>
            <w:tcW w:w="505" w:type="pct"/>
            <w:noWrap w:val="0"/>
            <w:vAlign w:val="center"/>
          </w:tcPr>
          <w:p w14:paraId="5A46B3E6">
            <w:pPr>
              <w:spacing w:line="276" w:lineRule="auto"/>
              <w:jc w:val="center"/>
              <w:rPr>
                <w:rFonts w:hint="eastAsia"/>
                <w:color w:val="auto"/>
                <w:lang w:val="en-US" w:eastAsia="zh-CN"/>
              </w:rPr>
            </w:pPr>
            <w:r>
              <w:rPr>
                <w:rFonts w:hint="eastAsia"/>
                <w:color w:val="auto"/>
                <w:sz w:val="24"/>
                <w:lang w:val="en-US" w:eastAsia="zh-CN"/>
              </w:rPr>
              <w:t>8</w:t>
            </w:r>
            <w:r>
              <w:rPr>
                <w:color w:val="auto"/>
                <w:sz w:val="24"/>
              </w:rPr>
              <w:t>分</w:t>
            </w:r>
          </w:p>
        </w:tc>
      </w:tr>
      <w:tr w14:paraId="4A4583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2A6DC548">
            <w:pPr>
              <w:spacing w:line="276" w:lineRule="auto"/>
              <w:jc w:val="center"/>
              <w:rPr>
                <w:color w:val="auto"/>
              </w:rPr>
            </w:pPr>
            <w:r>
              <w:rPr>
                <w:color w:val="auto"/>
                <w:sz w:val="24"/>
              </w:rPr>
              <w:t>5</w:t>
            </w:r>
          </w:p>
        </w:tc>
        <w:tc>
          <w:tcPr>
            <w:tcW w:w="3591" w:type="pct"/>
            <w:noWrap w:val="0"/>
            <w:vAlign w:val="center"/>
          </w:tcPr>
          <w:p w14:paraId="07083651">
            <w:pPr>
              <w:widowControl/>
              <w:jc w:val="left"/>
              <w:rPr>
                <w:rFonts w:hint="default"/>
                <w:color w:val="auto"/>
                <w:lang w:val="en-US" w:eastAsia="zh-CN"/>
              </w:rPr>
            </w:pPr>
            <w:r>
              <w:rPr>
                <w:rFonts w:hint="eastAsia" w:cs="Times New Roman"/>
                <w:color w:val="auto"/>
                <w:sz w:val="24"/>
                <w:lang w:val="en-US" w:eastAsia="zh-CN"/>
              </w:rPr>
              <w:t>证</w:t>
            </w:r>
            <w:r>
              <w:rPr>
                <w:rFonts w:hint="eastAsia" w:ascii="宋体" w:hAnsi="宋体" w:cs="仿宋"/>
                <w:snapToGrid w:val="0"/>
                <w:color w:val="auto"/>
                <w:kern w:val="28"/>
                <w:sz w:val="24"/>
                <w:lang w:val="en-US" w:eastAsia="zh-CN"/>
              </w:rPr>
              <w:t>书：</w:t>
            </w:r>
            <w:r>
              <w:rPr>
                <w:rFonts w:hint="eastAsia" w:ascii="宋体" w:hAnsi="宋体" w:cs="仿宋"/>
                <w:snapToGrid w:val="0"/>
                <w:color w:val="auto"/>
                <w:kern w:val="28"/>
                <w:sz w:val="24"/>
              </w:rPr>
              <w:t>投标人或投标产品制造商具有有效的ISO9001质量管理体系认证、</w:t>
            </w:r>
            <w:r>
              <w:rPr>
                <w:rFonts w:hint="eastAsia" w:ascii="宋体" w:hAnsi="宋体" w:cs="仿宋"/>
                <w:snapToGrid w:val="0"/>
                <w:color w:val="auto"/>
                <w:kern w:val="28"/>
                <w:sz w:val="24"/>
                <w:lang w:val="en-US" w:eastAsia="zh-CN"/>
              </w:rPr>
              <w:t>ISO27001信息安全管理体系认证、ISO/IEC 20000信息技术服务管理体系</w:t>
            </w:r>
            <w:r>
              <w:rPr>
                <w:rFonts w:hint="eastAsia" w:ascii="宋体" w:hAnsi="宋体" w:cs="仿宋"/>
                <w:snapToGrid w:val="0"/>
                <w:color w:val="auto"/>
                <w:kern w:val="28"/>
                <w:sz w:val="24"/>
              </w:rPr>
              <w:t>，ISO 22301业务连续性管理体系</w:t>
            </w:r>
            <w:r>
              <w:rPr>
                <w:rFonts w:hint="eastAsia" w:ascii="宋体" w:hAnsi="宋体" w:cs="仿宋"/>
                <w:snapToGrid w:val="0"/>
                <w:color w:val="auto"/>
                <w:kern w:val="28"/>
                <w:sz w:val="24"/>
                <w:lang w:val="en-US" w:eastAsia="zh-CN"/>
              </w:rPr>
              <w:t>，或提供项目相关软件著作权登记证书，每提供一份证书复印件得1分，最</w:t>
            </w:r>
            <w:r>
              <w:rPr>
                <w:rFonts w:hint="eastAsia" w:ascii="宋体" w:hAnsi="宋体" w:cs="仿宋"/>
                <w:snapToGrid w:val="0"/>
                <w:color w:val="auto"/>
                <w:kern w:val="28"/>
                <w:sz w:val="24"/>
              </w:rPr>
              <w:t>多</w:t>
            </w:r>
            <w:r>
              <w:rPr>
                <w:rFonts w:hint="eastAsia" w:ascii="宋体" w:hAnsi="宋体" w:cs="仿宋"/>
                <w:snapToGrid w:val="0"/>
                <w:color w:val="auto"/>
                <w:kern w:val="28"/>
                <w:sz w:val="24"/>
                <w:lang w:val="en-US" w:eastAsia="zh-CN"/>
              </w:rPr>
              <w:t>4</w:t>
            </w:r>
            <w:r>
              <w:rPr>
                <w:rFonts w:hint="eastAsia" w:ascii="宋体" w:hAnsi="宋体" w:cs="仿宋"/>
                <w:snapToGrid w:val="0"/>
                <w:color w:val="auto"/>
                <w:kern w:val="28"/>
                <w:sz w:val="24"/>
              </w:rPr>
              <w:t>分</w:t>
            </w:r>
            <w:r>
              <w:rPr>
                <w:rFonts w:hint="eastAsia" w:ascii="宋体" w:hAnsi="宋体" w:cs="仿宋"/>
                <w:snapToGrid w:val="0"/>
                <w:color w:val="auto"/>
                <w:kern w:val="28"/>
                <w:sz w:val="24"/>
                <w:lang w:eastAsia="zh-CN"/>
              </w:rPr>
              <w:t>。</w:t>
            </w:r>
          </w:p>
        </w:tc>
        <w:tc>
          <w:tcPr>
            <w:tcW w:w="505" w:type="pct"/>
            <w:noWrap w:val="0"/>
            <w:vAlign w:val="center"/>
          </w:tcPr>
          <w:p w14:paraId="1765F71C">
            <w:pPr>
              <w:spacing w:line="276" w:lineRule="auto"/>
              <w:jc w:val="center"/>
              <w:rPr>
                <w:color w:val="auto"/>
              </w:rPr>
            </w:pPr>
            <w:r>
              <w:rPr>
                <w:rFonts w:hint="eastAsia"/>
                <w:color w:val="auto"/>
                <w:sz w:val="24"/>
                <w:lang w:val="en-US" w:eastAsia="zh-CN"/>
              </w:rPr>
              <w:t>客</w:t>
            </w:r>
            <w:r>
              <w:rPr>
                <w:color w:val="auto"/>
                <w:sz w:val="24"/>
              </w:rPr>
              <w:t>观分</w:t>
            </w:r>
          </w:p>
        </w:tc>
        <w:tc>
          <w:tcPr>
            <w:tcW w:w="505" w:type="pct"/>
            <w:noWrap w:val="0"/>
            <w:vAlign w:val="center"/>
          </w:tcPr>
          <w:p w14:paraId="60AED5C9">
            <w:pPr>
              <w:spacing w:line="276" w:lineRule="auto"/>
              <w:jc w:val="center"/>
              <w:rPr>
                <w:rFonts w:hint="eastAsia"/>
                <w:color w:val="auto"/>
                <w:lang w:val="en-US" w:eastAsia="zh-CN"/>
              </w:rPr>
            </w:pPr>
            <w:r>
              <w:rPr>
                <w:rFonts w:hint="eastAsia"/>
                <w:color w:val="auto"/>
                <w:sz w:val="24"/>
                <w:lang w:val="en-US" w:eastAsia="zh-CN"/>
              </w:rPr>
              <w:t>4</w:t>
            </w:r>
            <w:r>
              <w:rPr>
                <w:color w:val="auto"/>
                <w:sz w:val="24"/>
              </w:rPr>
              <w:t>分</w:t>
            </w:r>
          </w:p>
        </w:tc>
      </w:tr>
      <w:tr w14:paraId="2D26A1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15D7E2E0">
            <w:pPr>
              <w:spacing w:line="276" w:lineRule="auto"/>
              <w:jc w:val="center"/>
              <w:rPr>
                <w:color w:val="auto"/>
              </w:rPr>
            </w:pPr>
            <w:r>
              <w:rPr>
                <w:color w:val="auto"/>
                <w:sz w:val="24"/>
              </w:rPr>
              <w:t>6</w:t>
            </w:r>
          </w:p>
        </w:tc>
        <w:tc>
          <w:tcPr>
            <w:tcW w:w="3591" w:type="pct"/>
            <w:noWrap w:val="0"/>
            <w:vAlign w:val="center"/>
          </w:tcPr>
          <w:p w14:paraId="67698FC3">
            <w:pPr>
              <w:spacing w:line="276" w:lineRule="auto"/>
              <w:rPr>
                <w:color w:val="auto"/>
              </w:rPr>
            </w:pPr>
            <w:r>
              <w:rPr>
                <w:rFonts w:hint="eastAsia" w:ascii="Times New Roman" w:hAnsi="Times New Roman" w:eastAsia="宋体" w:cs="Times New Roman"/>
                <w:color w:val="auto"/>
                <w:sz w:val="24"/>
                <w:lang w:val="en-US" w:eastAsia="zh-CN"/>
              </w:rPr>
              <w:t>业绩：</w:t>
            </w:r>
            <w:r>
              <w:rPr>
                <w:rFonts w:hint="eastAsia" w:cs="Times New Roman"/>
                <w:color w:val="auto"/>
                <w:sz w:val="24"/>
                <w:lang w:val="en-US" w:eastAsia="zh-CN"/>
              </w:rPr>
              <w:t>2023年1月1日至今</w:t>
            </w:r>
            <w:r>
              <w:rPr>
                <w:rFonts w:hint="eastAsia" w:ascii="Times New Roman" w:hAnsi="Times New Roman" w:eastAsia="宋体" w:cs="Times New Roman"/>
                <w:color w:val="auto"/>
                <w:sz w:val="24"/>
                <w:lang w:val="en-US" w:eastAsia="zh-CN"/>
              </w:rPr>
              <w:t>（以合同签订时间为准）同类项目业绩：</w:t>
            </w:r>
            <w:r>
              <w:rPr>
                <w:rFonts w:hint="default" w:ascii="Times New Roman" w:hAnsi="Times New Roman" w:eastAsia="宋体" w:cs="Times New Roman"/>
                <w:color w:val="auto"/>
                <w:sz w:val="24"/>
                <w:lang w:val="en-US" w:eastAsia="zh-CN"/>
              </w:rPr>
              <w:t>每提供1份有效合同（</w:t>
            </w:r>
            <w:r>
              <w:rPr>
                <w:rFonts w:hint="eastAsia" w:ascii="Times New Roman" w:hAnsi="Times New Roman" w:eastAsia="宋体" w:cs="Times New Roman"/>
                <w:color w:val="auto"/>
                <w:sz w:val="24"/>
                <w:lang w:val="en-US" w:eastAsia="zh-CN"/>
              </w:rPr>
              <w:t>盖公章</w:t>
            </w:r>
            <w:r>
              <w:rPr>
                <w:rFonts w:hint="default" w:ascii="Times New Roman" w:hAnsi="Times New Roman" w:eastAsia="宋体" w:cs="Times New Roman"/>
                <w:color w:val="auto"/>
                <w:sz w:val="24"/>
                <w:lang w:val="en-US" w:eastAsia="zh-CN"/>
              </w:rPr>
              <w:t>）得</w:t>
            </w:r>
            <w:r>
              <w:rPr>
                <w:rFonts w:hint="eastAsia" w:cs="Times New Roman"/>
                <w:color w:val="auto"/>
                <w:sz w:val="24"/>
                <w:lang w:val="en-US" w:eastAsia="zh-CN"/>
              </w:rPr>
              <w:t>1</w:t>
            </w:r>
            <w:r>
              <w:rPr>
                <w:rFonts w:hint="default" w:ascii="Times New Roman" w:hAnsi="Times New Roman" w:eastAsia="宋体" w:cs="Times New Roman"/>
                <w:color w:val="auto"/>
                <w:sz w:val="24"/>
                <w:lang w:val="en-US" w:eastAsia="zh-CN"/>
              </w:rPr>
              <w:t>分，最高</w:t>
            </w:r>
            <w:r>
              <w:rPr>
                <w:rFonts w:hint="eastAsia" w:cs="Times New Roman"/>
                <w:color w:val="auto"/>
                <w:sz w:val="24"/>
                <w:lang w:val="en-US" w:eastAsia="zh-CN"/>
              </w:rPr>
              <w:t>3</w:t>
            </w:r>
            <w:r>
              <w:rPr>
                <w:rFonts w:hint="default" w:ascii="Times New Roman" w:hAnsi="Times New Roman" w:eastAsia="宋体" w:cs="Times New Roman"/>
                <w:color w:val="auto"/>
                <w:sz w:val="24"/>
                <w:lang w:val="en-US" w:eastAsia="zh-CN"/>
              </w:rPr>
              <w:t>分。</w:t>
            </w:r>
          </w:p>
        </w:tc>
        <w:tc>
          <w:tcPr>
            <w:tcW w:w="505" w:type="pct"/>
            <w:noWrap w:val="0"/>
            <w:vAlign w:val="center"/>
          </w:tcPr>
          <w:p w14:paraId="675F8DA4">
            <w:pPr>
              <w:spacing w:line="276" w:lineRule="auto"/>
              <w:jc w:val="center"/>
              <w:rPr>
                <w:color w:val="auto"/>
              </w:rPr>
            </w:pPr>
            <w:r>
              <w:rPr>
                <w:color w:val="auto"/>
                <w:sz w:val="24"/>
              </w:rPr>
              <w:t>客观分</w:t>
            </w:r>
          </w:p>
        </w:tc>
        <w:tc>
          <w:tcPr>
            <w:tcW w:w="505" w:type="pct"/>
            <w:noWrap w:val="0"/>
            <w:vAlign w:val="center"/>
          </w:tcPr>
          <w:p w14:paraId="2049AC09">
            <w:pPr>
              <w:spacing w:line="276" w:lineRule="auto"/>
              <w:jc w:val="center"/>
              <w:rPr>
                <w:rFonts w:hint="eastAsia"/>
                <w:color w:val="auto"/>
                <w:lang w:val="en-US" w:eastAsia="zh-CN"/>
              </w:rPr>
            </w:pPr>
            <w:r>
              <w:rPr>
                <w:rFonts w:hint="eastAsia"/>
                <w:color w:val="auto"/>
                <w:sz w:val="24"/>
                <w:lang w:val="en-US" w:eastAsia="zh-CN"/>
              </w:rPr>
              <w:t>3</w:t>
            </w:r>
            <w:r>
              <w:rPr>
                <w:color w:val="auto"/>
                <w:sz w:val="24"/>
              </w:rPr>
              <w:t>分</w:t>
            </w:r>
          </w:p>
        </w:tc>
      </w:tr>
      <w:tr w14:paraId="33519D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48138181">
            <w:pPr>
              <w:spacing w:line="276" w:lineRule="auto"/>
              <w:jc w:val="center"/>
              <w:rPr>
                <w:color w:val="auto"/>
              </w:rPr>
            </w:pPr>
            <w:r>
              <w:rPr>
                <w:color w:val="auto"/>
                <w:sz w:val="24"/>
              </w:rPr>
              <w:t>7</w:t>
            </w:r>
          </w:p>
        </w:tc>
        <w:tc>
          <w:tcPr>
            <w:tcW w:w="3591" w:type="pct"/>
            <w:noWrap w:val="0"/>
            <w:vAlign w:val="center"/>
          </w:tcPr>
          <w:p w14:paraId="55EAA1FC">
            <w:pPr>
              <w:spacing w:line="276" w:lineRule="auto"/>
              <w:rPr>
                <w:color w:val="auto"/>
              </w:rPr>
            </w:pPr>
            <w:r>
              <w:rPr>
                <w:rFonts w:hint="eastAsia"/>
                <w:color w:val="auto"/>
                <w:sz w:val="24"/>
                <w:lang w:val="en-US" w:eastAsia="zh-CN"/>
              </w:rPr>
              <w:t>质保期：</w:t>
            </w:r>
            <w:r>
              <w:rPr>
                <w:rFonts w:hint="eastAsia" w:ascii="宋体" w:hAnsi="宋体" w:cs="仿宋_GB2312"/>
                <w:color w:val="auto"/>
                <w:kern w:val="0"/>
                <w:sz w:val="24"/>
                <w:lang w:bidi="ar"/>
              </w:rPr>
              <w:t>质保期在满足招标文件要求的基础上每延长一年得1分，最多得</w:t>
            </w:r>
            <w:r>
              <w:rPr>
                <w:rFonts w:hint="eastAsia" w:ascii="宋体" w:hAnsi="宋体" w:cs="仿宋_GB2312"/>
                <w:color w:val="auto"/>
                <w:kern w:val="0"/>
                <w:sz w:val="24"/>
                <w:lang w:val="en-US" w:eastAsia="zh-CN" w:bidi="ar"/>
              </w:rPr>
              <w:t>3</w:t>
            </w:r>
            <w:r>
              <w:rPr>
                <w:rFonts w:hint="eastAsia" w:ascii="宋体" w:hAnsi="宋体" w:cs="仿宋_GB2312"/>
                <w:color w:val="auto"/>
                <w:kern w:val="0"/>
                <w:sz w:val="24"/>
                <w:lang w:bidi="ar"/>
              </w:rPr>
              <w:t>分，延长时间不足一年的不计入得分。</w:t>
            </w:r>
          </w:p>
        </w:tc>
        <w:tc>
          <w:tcPr>
            <w:tcW w:w="505" w:type="pct"/>
            <w:noWrap w:val="0"/>
            <w:vAlign w:val="center"/>
          </w:tcPr>
          <w:p w14:paraId="1D6BB0AD">
            <w:pPr>
              <w:spacing w:line="276" w:lineRule="auto"/>
              <w:jc w:val="center"/>
              <w:rPr>
                <w:color w:val="auto"/>
              </w:rPr>
            </w:pPr>
            <w:r>
              <w:rPr>
                <w:rFonts w:hint="eastAsia"/>
                <w:color w:val="auto"/>
                <w:sz w:val="24"/>
                <w:lang w:val="en-US" w:eastAsia="zh-CN"/>
              </w:rPr>
              <w:t>客</w:t>
            </w:r>
            <w:r>
              <w:rPr>
                <w:color w:val="auto"/>
                <w:sz w:val="24"/>
              </w:rPr>
              <w:t>观分</w:t>
            </w:r>
          </w:p>
        </w:tc>
        <w:tc>
          <w:tcPr>
            <w:tcW w:w="505" w:type="pct"/>
            <w:noWrap w:val="0"/>
            <w:vAlign w:val="center"/>
          </w:tcPr>
          <w:p w14:paraId="09643813">
            <w:pPr>
              <w:spacing w:line="276" w:lineRule="auto"/>
              <w:jc w:val="center"/>
              <w:rPr>
                <w:rFonts w:hint="eastAsia"/>
                <w:color w:val="auto"/>
                <w:lang w:val="en-US" w:eastAsia="zh-CN"/>
              </w:rPr>
            </w:pPr>
            <w:r>
              <w:rPr>
                <w:rFonts w:hint="eastAsia"/>
                <w:color w:val="auto"/>
                <w:sz w:val="24"/>
                <w:lang w:val="en-US" w:eastAsia="zh-CN"/>
              </w:rPr>
              <w:t>3</w:t>
            </w:r>
            <w:r>
              <w:rPr>
                <w:color w:val="auto"/>
                <w:sz w:val="24"/>
              </w:rPr>
              <w:t>分</w:t>
            </w:r>
          </w:p>
        </w:tc>
      </w:tr>
      <w:tr w14:paraId="1B594B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397" w:type="pct"/>
            <w:noWrap w:val="0"/>
            <w:vAlign w:val="center"/>
          </w:tcPr>
          <w:p w14:paraId="2D1602EB">
            <w:pPr>
              <w:spacing w:line="276" w:lineRule="auto"/>
              <w:jc w:val="center"/>
              <w:rPr>
                <w:color w:val="auto"/>
              </w:rPr>
            </w:pPr>
            <w:r>
              <w:rPr>
                <w:color w:val="auto"/>
                <w:sz w:val="24"/>
              </w:rPr>
              <w:t>8</w:t>
            </w:r>
          </w:p>
        </w:tc>
        <w:tc>
          <w:tcPr>
            <w:tcW w:w="3591" w:type="pct"/>
            <w:noWrap w:val="0"/>
            <w:vAlign w:val="center"/>
          </w:tcPr>
          <w:p w14:paraId="740F12D3">
            <w:pPr>
              <w:spacing w:line="276" w:lineRule="auto"/>
              <w:rPr>
                <w:color w:val="auto"/>
              </w:rPr>
            </w:pPr>
            <w:r>
              <w:rPr>
                <w:rFonts w:hint="eastAsia"/>
                <w:color w:val="auto"/>
                <w:sz w:val="24"/>
                <w:lang w:val="en-US" w:eastAsia="zh-CN"/>
              </w:rPr>
              <w:t>价格分：</w:t>
            </w:r>
            <w:r>
              <w:rPr>
                <w:color w:val="auto"/>
                <w:sz w:val="24"/>
              </w:rPr>
              <w:t>以满足采购要求的最低有效报价为评标基准价，价格分满分30分。其他报价得分按公式计算：</w:t>
            </w:r>
            <w:r>
              <w:rPr>
                <w:rFonts w:hint="default"/>
                <w:color w:val="auto"/>
                <w:sz w:val="24"/>
              </w:rPr>
              <w:t>报价得分＝（评标基准价／有效报价）×30（结果保留两位小数，第三位四舍五入）。</w:t>
            </w:r>
            <w:r>
              <w:rPr>
                <w:color w:val="auto"/>
                <w:sz w:val="24"/>
              </w:rPr>
              <w:t>得分由评审委员会计算，采购人复核</w:t>
            </w:r>
            <w:r>
              <w:rPr>
                <w:rFonts w:hint="default"/>
                <w:color w:val="auto"/>
                <w:sz w:val="24"/>
              </w:rPr>
              <w:t>。</w:t>
            </w:r>
          </w:p>
        </w:tc>
        <w:tc>
          <w:tcPr>
            <w:tcW w:w="505" w:type="pct"/>
            <w:noWrap w:val="0"/>
            <w:vAlign w:val="center"/>
          </w:tcPr>
          <w:p w14:paraId="469024F2">
            <w:pPr>
              <w:spacing w:line="276" w:lineRule="auto"/>
              <w:jc w:val="center"/>
              <w:rPr>
                <w:color w:val="auto"/>
              </w:rPr>
            </w:pPr>
            <w:r>
              <w:rPr>
                <w:color w:val="auto"/>
                <w:sz w:val="24"/>
              </w:rPr>
              <w:t>价格分</w:t>
            </w:r>
          </w:p>
        </w:tc>
        <w:tc>
          <w:tcPr>
            <w:tcW w:w="505" w:type="pct"/>
            <w:noWrap w:val="0"/>
            <w:vAlign w:val="center"/>
          </w:tcPr>
          <w:p w14:paraId="60BCEF0E">
            <w:pPr>
              <w:spacing w:line="276" w:lineRule="auto"/>
              <w:jc w:val="center"/>
              <w:rPr>
                <w:rFonts w:hint="eastAsia"/>
                <w:color w:val="auto"/>
                <w:lang w:val="en-US" w:eastAsia="zh-CN"/>
              </w:rPr>
            </w:pPr>
            <w:r>
              <w:rPr>
                <w:rFonts w:hint="eastAsia"/>
                <w:color w:val="auto"/>
                <w:sz w:val="24"/>
                <w:lang w:val="en-US" w:eastAsia="zh-CN"/>
              </w:rPr>
              <w:t>3</w:t>
            </w:r>
            <w:r>
              <w:rPr>
                <w:color w:val="auto"/>
                <w:sz w:val="24"/>
              </w:rPr>
              <w:t>0分</w:t>
            </w:r>
          </w:p>
        </w:tc>
      </w:tr>
      <w:tr w14:paraId="2A4B1B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97" w:type="pct"/>
            <w:noWrap w:val="0"/>
            <w:vAlign w:val="center"/>
          </w:tcPr>
          <w:p w14:paraId="5C450365">
            <w:pPr>
              <w:spacing w:line="276" w:lineRule="auto"/>
              <w:jc w:val="center"/>
              <w:rPr>
                <w:rFonts w:hint="eastAsia"/>
                <w:color w:val="auto"/>
                <w:lang w:eastAsia="zh-CN"/>
              </w:rPr>
            </w:pPr>
            <w:r>
              <w:rPr>
                <w:rFonts w:hint="eastAsia"/>
                <w:color w:val="auto"/>
                <w:sz w:val="24"/>
                <w:lang w:val="en-US" w:eastAsia="zh-CN"/>
              </w:rPr>
              <w:t>9</w:t>
            </w:r>
          </w:p>
        </w:tc>
        <w:tc>
          <w:tcPr>
            <w:tcW w:w="3591" w:type="pct"/>
            <w:noWrap w:val="0"/>
            <w:vAlign w:val="center"/>
          </w:tcPr>
          <w:p w14:paraId="23F825CC">
            <w:pPr>
              <w:spacing w:line="276" w:lineRule="auto"/>
              <w:rPr>
                <w:color w:val="auto"/>
              </w:rPr>
            </w:pPr>
            <w:r>
              <w:rPr>
                <w:rFonts w:hint="eastAsia"/>
                <w:color w:val="auto"/>
                <w:sz w:val="24"/>
              </w:rPr>
              <w:t>总分</w:t>
            </w:r>
          </w:p>
        </w:tc>
        <w:tc>
          <w:tcPr>
            <w:tcW w:w="505" w:type="pct"/>
            <w:noWrap w:val="0"/>
            <w:vAlign w:val="center"/>
          </w:tcPr>
          <w:p w14:paraId="7793333D">
            <w:pPr>
              <w:spacing w:line="276" w:lineRule="auto"/>
              <w:jc w:val="center"/>
              <w:rPr>
                <w:color w:val="auto"/>
              </w:rPr>
            </w:pPr>
          </w:p>
        </w:tc>
        <w:tc>
          <w:tcPr>
            <w:tcW w:w="505" w:type="pct"/>
            <w:noWrap w:val="0"/>
            <w:vAlign w:val="center"/>
          </w:tcPr>
          <w:p w14:paraId="4EC302A4">
            <w:pPr>
              <w:spacing w:line="276" w:lineRule="auto"/>
              <w:jc w:val="center"/>
              <w:rPr>
                <w:rFonts w:hint="eastAsia"/>
                <w:color w:val="auto"/>
              </w:rPr>
            </w:pPr>
            <w:r>
              <w:rPr>
                <w:rFonts w:hint="eastAsia"/>
                <w:color w:val="auto"/>
                <w:sz w:val="24"/>
              </w:rPr>
              <w:t>100分</w:t>
            </w:r>
          </w:p>
        </w:tc>
      </w:tr>
    </w:tbl>
    <w:p w14:paraId="21BEB04B">
      <w:pPr>
        <w:numPr>
          <w:ilvl w:val="0"/>
          <w:numId w:val="0"/>
        </w:numPr>
        <w:rPr>
          <w:rFonts w:hint="eastAsia"/>
          <w:color w:val="auto"/>
        </w:rPr>
      </w:pPr>
    </w:p>
    <w:p w14:paraId="6BD74E6C">
      <w:pPr>
        <w:rPr>
          <w:rFonts w:hint="eastAsia"/>
          <w:color w:val="auto"/>
        </w:rPr>
      </w:pPr>
      <w:r>
        <w:rPr>
          <w:rFonts w:hint="eastAsia"/>
          <w:color w:val="auto"/>
        </w:rPr>
        <w:br w:type="page"/>
      </w:r>
    </w:p>
    <w:p w14:paraId="581493B9">
      <w:pPr>
        <w:pStyle w:val="19"/>
        <w:numPr>
          <w:ilvl w:val="0"/>
          <w:numId w:val="11"/>
        </w:numPr>
        <w:rPr>
          <w:rFonts w:hint="eastAsia" w:eastAsia="宋体"/>
          <w:color w:val="auto"/>
        </w:rPr>
      </w:pPr>
      <w:bookmarkStart w:id="14" w:name="_Toc31724"/>
      <w:r>
        <w:rPr>
          <w:rFonts w:hint="eastAsia" w:eastAsia="宋体"/>
          <w:color w:val="auto"/>
        </w:rPr>
        <w:t>响应文件格式</w:t>
      </w:r>
      <w:bookmarkEnd w:id="14"/>
    </w:p>
    <w:p w14:paraId="737168A1">
      <w:pPr>
        <w:rPr>
          <w:b/>
          <w:bCs/>
          <w:color w:val="auto"/>
          <w:sz w:val="30"/>
          <w:szCs w:val="30"/>
        </w:rPr>
      </w:pPr>
      <w:r>
        <w:rPr>
          <w:rFonts w:hint="eastAsia"/>
          <w:b/>
          <w:bCs/>
          <w:color w:val="auto"/>
          <w:sz w:val="30"/>
          <w:szCs w:val="30"/>
        </w:rPr>
        <w:t>一、响应</w:t>
      </w:r>
      <w:r>
        <w:rPr>
          <w:b/>
          <w:bCs/>
          <w:color w:val="auto"/>
          <w:sz w:val="30"/>
          <w:szCs w:val="30"/>
        </w:rPr>
        <w:t>文件的组成</w:t>
      </w:r>
    </w:p>
    <w:p w14:paraId="7A8ED8F8">
      <w:pPr>
        <w:rPr>
          <w:rFonts w:eastAsiaTheme="minorEastAsia"/>
          <w:color w:val="auto"/>
          <w:sz w:val="24"/>
          <w:szCs w:val="22"/>
        </w:rPr>
      </w:pPr>
      <w:r>
        <w:rPr>
          <w:rFonts w:hint="eastAsia" w:eastAsiaTheme="minorEastAsia"/>
          <w:color w:val="auto"/>
          <w:sz w:val="24"/>
          <w:szCs w:val="22"/>
        </w:rPr>
        <w:t>响应文件由资格证明文件、商务技术文件、报价文件三部份组成。</w:t>
      </w:r>
    </w:p>
    <w:p w14:paraId="25FE4BD3">
      <w:pPr>
        <w:rPr>
          <w:rFonts w:eastAsiaTheme="minorEastAsia"/>
          <w:color w:val="auto"/>
          <w:sz w:val="24"/>
          <w:szCs w:val="22"/>
        </w:rPr>
      </w:pPr>
    </w:p>
    <w:p w14:paraId="104E61C3">
      <w:pPr>
        <w:rPr>
          <w:b/>
          <w:bCs/>
          <w:color w:val="auto"/>
          <w:sz w:val="30"/>
          <w:szCs w:val="30"/>
        </w:rPr>
      </w:pPr>
      <w:r>
        <w:rPr>
          <w:rFonts w:hint="eastAsia"/>
          <w:b/>
          <w:bCs/>
          <w:color w:val="auto"/>
          <w:sz w:val="30"/>
          <w:szCs w:val="30"/>
        </w:rPr>
        <w:t>二</w:t>
      </w:r>
      <w:r>
        <w:rPr>
          <w:b/>
          <w:bCs/>
          <w:color w:val="auto"/>
          <w:sz w:val="30"/>
          <w:szCs w:val="30"/>
        </w:rPr>
        <w:t>、</w:t>
      </w:r>
      <w:r>
        <w:rPr>
          <w:rFonts w:hint="eastAsia"/>
          <w:b/>
          <w:bCs/>
          <w:color w:val="auto"/>
          <w:sz w:val="30"/>
          <w:szCs w:val="30"/>
        </w:rPr>
        <w:t>响应</w:t>
      </w:r>
      <w:r>
        <w:rPr>
          <w:b/>
          <w:bCs/>
          <w:color w:val="auto"/>
          <w:sz w:val="30"/>
          <w:szCs w:val="30"/>
        </w:rPr>
        <w:t>文件内容按如下顺序制作：</w:t>
      </w:r>
    </w:p>
    <w:tbl>
      <w:tblPr>
        <w:tblStyle w:val="2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789"/>
        <w:gridCol w:w="4152"/>
        <w:gridCol w:w="1884"/>
      </w:tblGrid>
      <w:tr w14:paraId="414A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97" w:type="dxa"/>
            <w:vAlign w:val="center"/>
          </w:tcPr>
          <w:p w14:paraId="625075F0">
            <w:pPr>
              <w:rPr>
                <w:color w:val="auto"/>
              </w:rPr>
            </w:pPr>
            <w:r>
              <w:rPr>
                <w:color w:val="auto"/>
              </w:rPr>
              <w:t>序号</w:t>
            </w:r>
          </w:p>
        </w:tc>
        <w:tc>
          <w:tcPr>
            <w:tcW w:w="1789" w:type="dxa"/>
            <w:vAlign w:val="center"/>
          </w:tcPr>
          <w:p w14:paraId="5E305A15">
            <w:pPr>
              <w:rPr>
                <w:color w:val="auto"/>
              </w:rPr>
            </w:pPr>
            <w:r>
              <w:rPr>
                <w:rFonts w:hint="eastAsia"/>
                <w:color w:val="auto"/>
              </w:rPr>
              <w:t>组成</w:t>
            </w:r>
          </w:p>
        </w:tc>
        <w:tc>
          <w:tcPr>
            <w:tcW w:w="4152" w:type="dxa"/>
            <w:vAlign w:val="center"/>
          </w:tcPr>
          <w:p w14:paraId="424282A3">
            <w:pPr>
              <w:rPr>
                <w:color w:val="auto"/>
              </w:rPr>
            </w:pPr>
            <w:r>
              <w:rPr>
                <w:color w:val="auto"/>
              </w:rPr>
              <w:t>材料名称</w:t>
            </w:r>
          </w:p>
        </w:tc>
        <w:tc>
          <w:tcPr>
            <w:tcW w:w="1884" w:type="dxa"/>
            <w:vAlign w:val="center"/>
          </w:tcPr>
          <w:p w14:paraId="3E29DC5E">
            <w:pPr>
              <w:rPr>
                <w:color w:val="auto"/>
              </w:rPr>
            </w:pPr>
            <w:r>
              <w:rPr>
                <w:color w:val="auto"/>
              </w:rPr>
              <w:t>说明</w:t>
            </w:r>
          </w:p>
        </w:tc>
      </w:tr>
      <w:tr w14:paraId="1B3C1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5CAD74A1">
            <w:pPr>
              <w:rPr>
                <w:color w:val="auto"/>
              </w:rPr>
            </w:pPr>
            <w:r>
              <w:rPr>
                <w:color w:val="auto"/>
              </w:rPr>
              <w:t>1</w:t>
            </w:r>
          </w:p>
        </w:tc>
        <w:tc>
          <w:tcPr>
            <w:tcW w:w="1789" w:type="dxa"/>
            <w:vAlign w:val="center"/>
          </w:tcPr>
          <w:p w14:paraId="7C1C7B16">
            <w:pPr>
              <w:rPr>
                <w:color w:val="auto"/>
              </w:rPr>
            </w:pPr>
            <w:r>
              <w:rPr>
                <w:rFonts w:hint="eastAsia"/>
                <w:color w:val="auto"/>
              </w:rPr>
              <w:t>封面</w:t>
            </w:r>
          </w:p>
        </w:tc>
        <w:tc>
          <w:tcPr>
            <w:tcW w:w="4152" w:type="dxa"/>
            <w:vAlign w:val="center"/>
          </w:tcPr>
          <w:p w14:paraId="69FC38E0">
            <w:pPr>
              <w:rPr>
                <w:color w:val="auto"/>
              </w:rPr>
            </w:pPr>
            <w:r>
              <w:rPr>
                <w:color w:val="auto"/>
              </w:rPr>
              <w:t>封面（附件1）</w:t>
            </w:r>
          </w:p>
        </w:tc>
        <w:tc>
          <w:tcPr>
            <w:tcW w:w="1884" w:type="dxa"/>
          </w:tcPr>
          <w:p w14:paraId="10846701">
            <w:pPr>
              <w:rPr>
                <w:color w:val="auto"/>
              </w:rPr>
            </w:pPr>
          </w:p>
        </w:tc>
      </w:tr>
      <w:tr w14:paraId="40B2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69DB4024">
            <w:pPr>
              <w:rPr>
                <w:color w:val="auto"/>
              </w:rPr>
            </w:pPr>
            <w:r>
              <w:rPr>
                <w:color w:val="auto"/>
              </w:rPr>
              <w:t>2</w:t>
            </w:r>
          </w:p>
        </w:tc>
        <w:tc>
          <w:tcPr>
            <w:tcW w:w="1789" w:type="dxa"/>
            <w:vMerge w:val="restart"/>
            <w:vAlign w:val="center"/>
          </w:tcPr>
          <w:p w14:paraId="6242252F">
            <w:pPr>
              <w:rPr>
                <w:color w:val="auto"/>
              </w:rPr>
            </w:pPr>
            <w:r>
              <w:rPr>
                <w:rFonts w:hint="eastAsia"/>
                <w:color w:val="auto"/>
              </w:rPr>
              <w:t>资格</w:t>
            </w:r>
            <w:r>
              <w:rPr>
                <w:color w:val="auto"/>
              </w:rPr>
              <w:t>证明文件</w:t>
            </w:r>
          </w:p>
        </w:tc>
        <w:tc>
          <w:tcPr>
            <w:tcW w:w="4152" w:type="dxa"/>
            <w:vAlign w:val="center"/>
          </w:tcPr>
          <w:p w14:paraId="3E90A478">
            <w:pPr>
              <w:rPr>
                <w:color w:val="auto"/>
              </w:rPr>
            </w:pPr>
            <w:r>
              <w:rPr>
                <w:color w:val="auto"/>
              </w:rPr>
              <w:t>采购公告发布之日起至公告截止日内任意时间的“信用中国”网站（www.creditchina.gov.cn）的响应供应商信用查询网页截图</w:t>
            </w:r>
          </w:p>
        </w:tc>
        <w:tc>
          <w:tcPr>
            <w:tcW w:w="1884" w:type="dxa"/>
          </w:tcPr>
          <w:p w14:paraId="55529393">
            <w:pPr>
              <w:rPr>
                <w:color w:val="auto"/>
              </w:rPr>
            </w:pPr>
          </w:p>
        </w:tc>
      </w:tr>
      <w:tr w14:paraId="64CD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08874EBC">
            <w:pPr>
              <w:rPr>
                <w:color w:val="auto"/>
              </w:rPr>
            </w:pPr>
            <w:r>
              <w:rPr>
                <w:color w:val="auto"/>
              </w:rPr>
              <w:t>3</w:t>
            </w:r>
          </w:p>
        </w:tc>
        <w:tc>
          <w:tcPr>
            <w:tcW w:w="1789" w:type="dxa"/>
            <w:vMerge w:val="continue"/>
            <w:vAlign w:val="center"/>
          </w:tcPr>
          <w:p w14:paraId="249DA663">
            <w:pPr>
              <w:rPr>
                <w:color w:val="auto"/>
              </w:rPr>
            </w:pPr>
          </w:p>
        </w:tc>
        <w:tc>
          <w:tcPr>
            <w:tcW w:w="4152" w:type="dxa"/>
            <w:vAlign w:val="center"/>
          </w:tcPr>
          <w:p w14:paraId="4E9172FF">
            <w:pPr>
              <w:rPr>
                <w:color w:val="auto"/>
              </w:rPr>
            </w:pPr>
            <w:r>
              <w:rPr>
                <w:color w:val="auto"/>
              </w:rPr>
              <w:t>企业营业执照</w:t>
            </w:r>
          </w:p>
        </w:tc>
        <w:tc>
          <w:tcPr>
            <w:tcW w:w="1884" w:type="dxa"/>
          </w:tcPr>
          <w:p w14:paraId="3B89463F">
            <w:pPr>
              <w:rPr>
                <w:color w:val="auto"/>
              </w:rPr>
            </w:pPr>
          </w:p>
        </w:tc>
      </w:tr>
      <w:tr w14:paraId="2CE78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481FB769">
            <w:pPr>
              <w:rPr>
                <w:color w:val="auto"/>
              </w:rPr>
            </w:pPr>
            <w:r>
              <w:rPr>
                <w:color w:val="auto"/>
              </w:rPr>
              <w:t>4</w:t>
            </w:r>
          </w:p>
        </w:tc>
        <w:tc>
          <w:tcPr>
            <w:tcW w:w="1789" w:type="dxa"/>
            <w:vMerge w:val="continue"/>
            <w:vAlign w:val="center"/>
          </w:tcPr>
          <w:p w14:paraId="162F5821">
            <w:pPr>
              <w:rPr>
                <w:color w:val="auto"/>
              </w:rPr>
            </w:pPr>
          </w:p>
        </w:tc>
        <w:tc>
          <w:tcPr>
            <w:tcW w:w="4152" w:type="dxa"/>
            <w:vAlign w:val="center"/>
          </w:tcPr>
          <w:p w14:paraId="4AFA00B2">
            <w:pPr>
              <w:rPr>
                <w:color w:val="auto"/>
              </w:rPr>
            </w:pPr>
            <w:r>
              <w:rPr>
                <w:color w:val="auto"/>
              </w:rPr>
              <w:t>法人代表身份证复印件</w:t>
            </w:r>
          </w:p>
        </w:tc>
        <w:tc>
          <w:tcPr>
            <w:tcW w:w="1884" w:type="dxa"/>
          </w:tcPr>
          <w:p w14:paraId="2181857A">
            <w:pPr>
              <w:rPr>
                <w:color w:val="auto"/>
              </w:rPr>
            </w:pPr>
          </w:p>
        </w:tc>
      </w:tr>
      <w:tr w14:paraId="14B6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4F18BE43">
            <w:pPr>
              <w:rPr>
                <w:color w:val="auto"/>
              </w:rPr>
            </w:pPr>
            <w:r>
              <w:rPr>
                <w:rFonts w:hint="eastAsia"/>
                <w:color w:val="auto"/>
              </w:rPr>
              <w:t>5</w:t>
            </w:r>
          </w:p>
        </w:tc>
        <w:tc>
          <w:tcPr>
            <w:tcW w:w="1789" w:type="dxa"/>
            <w:vMerge w:val="continue"/>
            <w:vAlign w:val="center"/>
          </w:tcPr>
          <w:p w14:paraId="75152107">
            <w:pPr>
              <w:rPr>
                <w:color w:val="auto"/>
              </w:rPr>
            </w:pPr>
          </w:p>
        </w:tc>
        <w:tc>
          <w:tcPr>
            <w:tcW w:w="4152" w:type="dxa"/>
            <w:vAlign w:val="center"/>
          </w:tcPr>
          <w:p w14:paraId="10A1936D">
            <w:pPr>
              <w:rPr>
                <w:color w:val="auto"/>
              </w:rPr>
            </w:pPr>
            <w:r>
              <w:rPr>
                <w:color w:val="auto"/>
              </w:rPr>
              <w:t>销售人员身份证复印件</w:t>
            </w:r>
          </w:p>
        </w:tc>
        <w:tc>
          <w:tcPr>
            <w:tcW w:w="1884" w:type="dxa"/>
          </w:tcPr>
          <w:p w14:paraId="69AC0D95">
            <w:pPr>
              <w:rPr>
                <w:color w:val="auto"/>
              </w:rPr>
            </w:pPr>
          </w:p>
        </w:tc>
      </w:tr>
      <w:tr w14:paraId="0BE3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548EAC21">
            <w:pPr>
              <w:rPr>
                <w:color w:val="auto"/>
              </w:rPr>
            </w:pPr>
            <w:r>
              <w:rPr>
                <w:rFonts w:hint="eastAsia"/>
                <w:color w:val="auto"/>
              </w:rPr>
              <w:t>6</w:t>
            </w:r>
          </w:p>
        </w:tc>
        <w:tc>
          <w:tcPr>
            <w:tcW w:w="1789" w:type="dxa"/>
            <w:vMerge w:val="restart"/>
            <w:vAlign w:val="center"/>
          </w:tcPr>
          <w:p w14:paraId="39466D97">
            <w:pPr>
              <w:rPr>
                <w:color w:val="auto"/>
              </w:rPr>
            </w:pPr>
            <w:r>
              <w:rPr>
                <w:rFonts w:hint="eastAsia" w:eastAsiaTheme="minorEastAsia"/>
                <w:color w:val="auto"/>
                <w:sz w:val="24"/>
                <w:szCs w:val="22"/>
              </w:rPr>
              <w:t>商务技术文件</w:t>
            </w:r>
          </w:p>
        </w:tc>
        <w:tc>
          <w:tcPr>
            <w:tcW w:w="4152" w:type="dxa"/>
            <w:vAlign w:val="center"/>
          </w:tcPr>
          <w:p w14:paraId="3908029A">
            <w:pPr>
              <w:rPr>
                <w:color w:val="auto"/>
              </w:rPr>
            </w:pPr>
            <w:r>
              <w:rPr>
                <w:color w:val="auto"/>
              </w:rPr>
              <w:t>声明书（附件2）</w:t>
            </w:r>
          </w:p>
        </w:tc>
        <w:tc>
          <w:tcPr>
            <w:tcW w:w="1884" w:type="dxa"/>
          </w:tcPr>
          <w:p w14:paraId="001FD3C8">
            <w:pPr>
              <w:rPr>
                <w:color w:val="auto"/>
              </w:rPr>
            </w:pPr>
          </w:p>
        </w:tc>
      </w:tr>
      <w:tr w14:paraId="5279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04073F54">
            <w:pPr>
              <w:rPr>
                <w:color w:val="auto"/>
              </w:rPr>
            </w:pPr>
            <w:r>
              <w:rPr>
                <w:rFonts w:hint="eastAsia"/>
                <w:color w:val="auto"/>
              </w:rPr>
              <w:t>7</w:t>
            </w:r>
          </w:p>
        </w:tc>
        <w:tc>
          <w:tcPr>
            <w:tcW w:w="1789" w:type="dxa"/>
            <w:vMerge w:val="continue"/>
          </w:tcPr>
          <w:p w14:paraId="18AAF8CC">
            <w:pPr>
              <w:rPr>
                <w:color w:val="auto"/>
              </w:rPr>
            </w:pPr>
          </w:p>
        </w:tc>
        <w:tc>
          <w:tcPr>
            <w:tcW w:w="4152" w:type="dxa"/>
            <w:vAlign w:val="center"/>
          </w:tcPr>
          <w:p w14:paraId="3945BD51">
            <w:pPr>
              <w:rPr>
                <w:color w:val="auto"/>
              </w:rPr>
            </w:pPr>
            <w:r>
              <w:rPr>
                <w:color w:val="auto"/>
              </w:rPr>
              <w:t>法定代表人授权委托书（附件3）</w:t>
            </w:r>
          </w:p>
        </w:tc>
        <w:tc>
          <w:tcPr>
            <w:tcW w:w="1884" w:type="dxa"/>
          </w:tcPr>
          <w:p w14:paraId="452631A1">
            <w:pPr>
              <w:rPr>
                <w:color w:val="auto"/>
              </w:rPr>
            </w:pPr>
          </w:p>
        </w:tc>
      </w:tr>
      <w:tr w14:paraId="6BB2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97" w:type="dxa"/>
          </w:tcPr>
          <w:p w14:paraId="750515F1">
            <w:pPr>
              <w:rPr>
                <w:color w:val="auto"/>
              </w:rPr>
            </w:pPr>
            <w:r>
              <w:rPr>
                <w:rFonts w:hint="eastAsia"/>
                <w:color w:val="auto"/>
              </w:rPr>
              <w:t>8</w:t>
            </w:r>
          </w:p>
        </w:tc>
        <w:tc>
          <w:tcPr>
            <w:tcW w:w="1789" w:type="dxa"/>
            <w:vMerge w:val="continue"/>
          </w:tcPr>
          <w:p w14:paraId="2E826EAA">
            <w:pPr>
              <w:rPr>
                <w:color w:val="auto"/>
              </w:rPr>
            </w:pPr>
          </w:p>
        </w:tc>
        <w:tc>
          <w:tcPr>
            <w:tcW w:w="4152" w:type="dxa"/>
            <w:vAlign w:val="center"/>
          </w:tcPr>
          <w:p w14:paraId="23D96FBB">
            <w:pPr>
              <w:rPr>
                <w:color w:val="auto"/>
              </w:rPr>
            </w:pPr>
            <w:r>
              <w:rPr>
                <w:color w:val="auto"/>
              </w:rPr>
              <w:t>经营许可证或生产许可证（</w:t>
            </w:r>
            <w:r>
              <w:rPr>
                <w:rFonts w:hint="eastAsia"/>
                <w:color w:val="auto"/>
              </w:rPr>
              <w:t>若</w:t>
            </w:r>
            <w:r>
              <w:rPr>
                <w:color w:val="auto"/>
              </w:rPr>
              <w:t>需要）</w:t>
            </w:r>
          </w:p>
        </w:tc>
        <w:tc>
          <w:tcPr>
            <w:tcW w:w="1884" w:type="dxa"/>
          </w:tcPr>
          <w:p w14:paraId="12A6DA5E">
            <w:pPr>
              <w:rPr>
                <w:color w:val="auto"/>
              </w:rPr>
            </w:pPr>
          </w:p>
        </w:tc>
      </w:tr>
      <w:tr w14:paraId="32C3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28A50541">
            <w:pPr>
              <w:rPr>
                <w:color w:val="auto"/>
              </w:rPr>
            </w:pPr>
            <w:r>
              <w:rPr>
                <w:color w:val="auto"/>
              </w:rPr>
              <w:t>9</w:t>
            </w:r>
          </w:p>
        </w:tc>
        <w:tc>
          <w:tcPr>
            <w:tcW w:w="1789" w:type="dxa"/>
            <w:vMerge w:val="continue"/>
          </w:tcPr>
          <w:p w14:paraId="0C4272BC">
            <w:pPr>
              <w:rPr>
                <w:color w:val="auto"/>
              </w:rPr>
            </w:pPr>
          </w:p>
        </w:tc>
        <w:tc>
          <w:tcPr>
            <w:tcW w:w="4152" w:type="dxa"/>
            <w:vAlign w:val="center"/>
          </w:tcPr>
          <w:p w14:paraId="7A0CC092">
            <w:pPr>
              <w:rPr>
                <w:color w:val="auto"/>
              </w:rPr>
            </w:pPr>
            <w:r>
              <w:rPr>
                <w:color w:val="auto"/>
              </w:rPr>
              <w:t>厂家给经销商</w:t>
            </w:r>
            <w:r>
              <w:rPr>
                <w:rFonts w:hint="eastAsia"/>
                <w:color w:val="auto"/>
              </w:rPr>
              <w:t>的逐级</w:t>
            </w:r>
            <w:r>
              <w:rPr>
                <w:color w:val="auto"/>
              </w:rPr>
              <w:t>授权</w:t>
            </w:r>
            <w:r>
              <w:rPr>
                <w:rFonts w:hint="eastAsia"/>
                <w:color w:val="auto"/>
              </w:rPr>
              <w:t>书</w:t>
            </w:r>
            <w:r>
              <w:rPr>
                <w:color w:val="auto"/>
              </w:rPr>
              <w:t>（</w:t>
            </w:r>
            <w:r>
              <w:rPr>
                <w:rFonts w:hint="eastAsia"/>
                <w:color w:val="auto"/>
              </w:rPr>
              <w:t>若</w:t>
            </w:r>
            <w:r>
              <w:rPr>
                <w:color w:val="auto"/>
              </w:rPr>
              <w:t>需要）</w:t>
            </w:r>
          </w:p>
        </w:tc>
        <w:tc>
          <w:tcPr>
            <w:tcW w:w="1884" w:type="dxa"/>
          </w:tcPr>
          <w:p w14:paraId="306D54BB">
            <w:pPr>
              <w:rPr>
                <w:color w:val="auto"/>
              </w:rPr>
            </w:pPr>
          </w:p>
        </w:tc>
      </w:tr>
      <w:tr w14:paraId="50D5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4EE50CF9">
            <w:pPr>
              <w:rPr>
                <w:color w:val="auto"/>
              </w:rPr>
            </w:pPr>
            <w:r>
              <w:rPr>
                <w:color w:val="auto"/>
              </w:rPr>
              <w:t>10</w:t>
            </w:r>
          </w:p>
        </w:tc>
        <w:tc>
          <w:tcPr>
            <w:tcW w:w="1789" w:type="dxa"/>
            <w:vMerge w:val="continue"/>
          </w:tcPr>
          <w:p w14:paraId="2BFACB00">
            <w:pPr>
              <w:rPr>
                <w:color w:val="auto"/>
              </w:rPr>
            </w:pPr>
          </w:p>
        </w:tc>
        <w:tc>
          <w:tcPr>
            <w:tcW w:w="4152" w:type="dxa"/>
            <w:vAlign w:val="center"/>
          </w:tcPr>
          <w:p w14:paraId="0848F427">
            <w:pPr>
              <w:rPr>
                <w:color w:val="auto"/>
              </w:rPr>
            </w:pPr>
            <w:r>
              <w:rPr>
                <w:rFonts w:hint="eastAsia"/>
                <w:color w:val="auto"/>
                <w:lang w:val="en-US" w:eastAsia="zh-CN"/>
              </w:rPr>
              <w:t>资质</w:t>
            </w:r>
            <w:r>
              <w:rPr>
                <w:rFonts w:hint="eastAsia"/>
                <w:color w:val="auto"/>
              </w:rPr>
              <w:t>证书</w:t>
            </w:r>
          </w:p>
        </w:tc>
        <w:tc>
          <w:tcPr>
            <w:tcW w:w="1884" w:type="dxa"/>
          </w:tcPr>
          <w:p w14:paraId="2935A505">
            <w:pPr>
              <w:rPr>
                <w:color w:val="auto"/>
              </w:rPr>
            </w:pPr>
            <w:r>
              <w:rPr>
                <w:rFonts w:hint="eastAsia"/>
                <w:b/>
                <w:bCs/>
                <w:color w:val="auto"/>
              </w:rPr>
              <w:t>须提供资质证书复印件加盖公章</w:t>
            </w:r>
          </w:p>
        </w:tc>
      </w:tr>
      <w:tr w14:paraId="7486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285DBC97">
            <w:pPr>
              <w:rPr>
                <w:color w:val="auto"/>
              </w:rPr>
            </w:pPr>
            <w:r>
              <w:rPr>
                <w:color w:val="auto"/>
              </w:rPr>
              <w:t>11</w:t>
            </w:r>
          </w:p>
        </w:tc>
        <w:tc>
          <w:tcPr>
            <w:tcW w:w="1789" w:type="dxa"/>
            <w:vMerge w:val="continue"/>
          </w:tcPr>
          <w:p w14:paraId="6E7E01AB">
            <w:pPr>
              <w:rPr>
                <w:color w:val="auto"/>
              </w:rPr>
            </w:pPr>
          </w:p>
        </w:tc>
        <w:tc>
          <w:tcPr>
            <w:tcW w:w="4152" w:type="dxa"/>
            <w:vAlign w:val="center"/>
          </w:tcPr>
          <w:p w14:paraId="2E4EDE7F">
            <w:pPr>
              <w:rPr>
                <w:color w:val="auto"/>
              </w:rPr>
            </w:pPr>
            <w:r>
              <w:rPr>
                <w:color w:val="auto"/>
              </w:rPr>
              <w:t>技术响应表（附件4）</w:t>
            </w:r>
          </w:p>
        </w:tc>
        <w:tc>
          <w:tcPr>
            <w:tcW w:w="1884" w:type="dxa"/>
          </w:tcPr>
          <w:p w14:paraId="3D528195">
            <w:pPr>
              <w:rPr>
                <w:color w:val="auto"/>
              </w:rPr>
            </w:pPr>
            <w:r>
              <w:rPr>
                <w:rFonts w:hint="eastAsia"/>
                <w:b/>
                <w:color w:val="auto"/>
              </w:rPr>
              <w:t>项目内容和技术要求、商务要求均需逐项响应</w:t>
            </w:r>
          </w:p>
        </w:tc>
      </w:tr>
      <w:tr w14:paraId="57AD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55F0CF84">
            <w:pPr>
              <w:rPr>
                <w:rFonts w:hint="eastAsia" w:eastAsia="宋体"/>
                <w:color w:val="auto"/>
                <w:lang w:eastAsia="zh-CN"/>
              </w:rPr>
            </w:pPr>
            <w:r>
              <w:rPr>
                <w:color w:val="auto"/>
              </w:rPr>
              <w:t>1</w:t>
            </w:r>
            <w:r>
              <w:rPr>
                <w:rFonts w:hint="eastAsia"/>
                <w:color w:val="auto"/>
                <w:lang w:val="en-US" w:eastAsia="zh-CN"/>
              </w:rPr>
              <w:t>2</w:t>
            </w:r>
          </w:p>
        </w:tc>
        <w:tc>
          <w:tcPr>
            <w:tcW w:w="1789" w:type="dxa"/>
            <w:vMerge w:val="continue"/>
          </w:tcPr>
          <w:p w14:paraId="744E1A71">
            <w:pPr>
              <w:rPr>
                <w:color w:val="auto"/>
              </w:rPr>
            </w:pPr>
          </w:p>
        </w:tc>
        <w:tc>
          <w:tcPr>
            <w:tcW w:w="4152" w:type="dxa"/>
            <w:vAlign w:val="center"/>
          </w:tcPr>
          <w:p w14:paraId="0BDA633F">
            <w:pPr>
              <w:rPr>
                <w:color w:val="auto"/>
              </w:rPr>
            </w:pPr>
            <w:r>
              <w:rPr>
                <w:rFonts w:hint="eastAsia"/>
                <w:color w:val="auto"/>
              </w:rPr>
              <w:t>所投</w:t>
            </w:r>
            <w:r>
              <w:rPr>
                <w:color w:val="auto"/>
              </w:rPr>
              <w:t>产品彩页</w:t>
            </w:r>
            <w:r>
              <w:rPr>
                <w:rFonts w:hint="eastAsia"/>
                <w:color w:val="auto"/>
              </w:rPr>
              <w:t>、</w:t>
            </w:r>
            <w:r>
              <w:rPr>
                <w:color w:val="auto"/>
              </w:rPr>
              <w:t>技术参数文件</w:t>
            </w:r>
          </w:p>
        </w:tc>
        <w:tc>
          <w:tcPr>
            <w:tcW w:w="1884" w:type="dxa"/>
          </w:tcPr>
          <w:p w14:paraId="52025E09">
            <w:pPr>
              <w:rPr>
                <w:color w:val="auto"/>
              </w:rPr>
            </w:pPr>
          </w:p>
        </w:tc>
      </w:tr>
      <w:tr w14:paraId="102B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vAlign w:val="top"/>
          </w:tcPr>
          <w:p w14:paraId="7082F9FB">
            <w:pPr>
              <w:rPr>
                <w:color w:val="auto"/>
              </w:rPr>
            </w:pPr>
            <w:r>
              <w:rPr>
                <w:color w:val="auto"/>
              </w:rPr>
              <w:t>13</w:t>
            </w:r>
          </w:p>
        </w:tc>
        <w:tc>
          <w:tcPr>
            <w:tcW w:w="1789" w:type="dxa"/>
            <w:vMerge w:val="continue"/>
          </w:tcPr>
          <w:p w14:paraId="052BFFF4">
            <w:pPr>
              <w:rPr>
                <w:color w:val="auto"/>
              </w:rPr>
            </w:pPr>
          </w:p>
        </w:tc>
        <w:tc>
          <w:tcPr>
            <w:tcW w:w="4152" w:type="dxa"/>
            <w:vAlign w:val="center"/>
          </w:tcPr>
          <w:p w14:paraId="5D94AC65">
            <w:pPr>
              <w:rPr>
                <w:color w:val="auto"/>
              </w:rPr>
            </w:pPr>
            <w:r>
              <w:rPr>
                <w:rFonts w:hint="eastAsia"/>
                <w:color w:val="auto"/>
              </w:rPr>
              <w:t>维保</w:t>
            </w:r>
            <w:r>
              <w:rPr>
                <w:color w:val="auto"/>
              </w:rPr>
              <w:t>方案</w:t>
            </w:r>
          </w:p>
        </w:tc>
        <w:tc>
          <w:tcPr>
            <w:tcW w:w="1884" w:type="dxa"/>
          </w:tcPr>
          <w:p w14:paraId="2B03B25D">
            <w:pPr>
              <w:rPr>
                <w:color w:val="auto"/>
              </w:rPr>
            </w:pPr>
          </w:p>
        </w:tc>
      </w:tr>
      <w:tr w14:paraId="02E2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vAlign w:val="top"/>
          </w:tcPr>
          <w:p w14:paraId="64B3ECED">
            <w:pPr>
              <w:rPr>
                <w:color w:val="auto"/>
              </w:rPr>
            </w:pPr>
            <w:r>
              <w:rPr>
                <w:rFonts w:hint="eastAsia"/>
                <w:color w:val="auto"/>
              </w:rPr>
              <w:t>14</w:t>
            </w:r>
          </w:p>
        </w:tc>
        <w:tc>
          <w:tcPr>
            <w:tcW w:w="1789" w:type="dxa"/>
            <w:vMerge w:val="continue"/>
          </w:tcPr>
          <w:p w14:paraId="21724648">
            <w:pPr>
              <w:rPr>
                <w:color w:val="auto"/>
              </w:rPr>
            </w:pPr>
          </w:p>
        </w:tc>
        <w:tc>
          <w:tcPr>
            <w:tcW w:w="4152" w:type="dxa"/>
            <w:vAlign w:val="center"/>
          </w:tcPr>
          <w:p w14:paraId="28956B9A">
            <w:pPr>
              <w:rPr>
                <w:color w:val="auto"/>
              </w:rPr>
            </w:pPr>
            <w:r>
              <w:rPr>
                <w:rFonts w:hint="eastAsia"/>
                <w:color w:val="auto"/>
              </w:rPr>
              <w:t>售后</w:t>
            </w:r>
            <w:r>
              <w:rPr>
                <w:color w:val="auto"/>
              </w:rPr>
              <w:t>服务方案</w:t>
            </w:r>
          </w:p>
        </w:tc>
        <w:tc>
          <w:tcPr>
            <w:tcW w:w="1884" w:type="dxa"/>
          </w:tcPr>
          <w:p w14:paraId="5EBDAAB9">
            <w:pPr>
              <w:rPr>
                <w:color w:val="auto"/>
              </w:rPr>
            </w:pPr>
          </w:p>
        </w:tc>
      </w:tr>
      <w:tr w14:paraId="1084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vAlign w:val="top"/>
          </w:tcPr>
          <w:p w14:paraId="0123876B">
            <w:pPr>
              <w:rPr>
                <w:color w:val="auto"/>
              </w:rPr>
            </w:pPr>
            <w:r>
              <w:rPr>
                <w:rFonts w:hint="eastAsia"/>
                <w:color w:val="auto"/>
              </w:rPr>
              <w:t>15</w:t>
            </w:r>
          </w:p>
        </w:tc>
        <w:tc>
          <w:tcPr>
            <w:tcW w:w="1789" w:type="dxa"/>
            <w:vMerge w:val="continue"/>
          </w:tcPr>
          <w:p w14:paraId="2CE6C3A7">
            <w:pPr>
              <w:rPr>
                <w:color w:val="auto"/>
              </w:rPr>
            </w:pPr>
          </w:p>
        </w:tc>
        <w:tc>
          <w:tcPr>
            <w:tcW w:w="4152" w:type="dxa"/>
            <w:vAlign w:val="center"/>
          </w:tcPr>
          <w:p w14:paraId="10E31746">
            <w:pPr>
              <w:rPr>
                <w:color w:val="auto"/>
              </w:rPr>
            </w:pPr>
            <w:r>
              <w:rPr>
                <w:rFonts w:hAnsi="宋体"/>
                <w:color w:val="auto"/>
                <w:kern w:val="0"/>
                <w:szCs w:val="21"/>
              </w:rPr>
              <w:t>提供</w:t>
            </w:r>
            <w:r>
              <w:rPr>
                <w:rFonts w:hint="eastAsia" w:hAnsi="宋体"/>
                <w:color w:val="auto"/>
                <w:kern w:val="0"/>
                <w:szCs w:val="21"/>
              </w:rPr>
              <w:t>案例</w:t>
            </w:r>
            <w:r>
              <w:rPr>
                <w:rFonts w:hAnsi="宋体"/>
                <w:color w:val="auto"/>
                <w:kern w:val="0"/>
                <w:szCs w:val="21"/>
              </w:rPr>
              <w:t>用户名单及合同复印件</w:t>
            </w:r>
            <w:r>
              <w:rPr>
                <w:rFonts w:hint="eastAsia" w:hAnsi="宋体"/>
                <w:color w:val="auto"/>
                <w:kern w:val="0"/>
                <w:szCs w:val="21"/>
              </w:rPr>
              <w:t>（202</w:t>
            </w:r>
            <w:r>
              <w:rPr>
                <w:rFonts w:hint="eastAsia" w:hAnsi="宋体"/>
                <w:color w:val="auto"/>
                <w:kern w:val="0"/>
                <w:szCs w:val="21"/>
                <w:lang w:val="en-US" w:eastAsia="zh-CN"/>
              </w:rPr>
              <w:t>3</w:t>
            </w:r>
            <w:r>
              <w:rPr>
                <w:rFonts w:hint="eastAsia" w:hAnsi="宋体"/>
                <w:color w:val="auto"/>
                <w:kern w:val="0"/>
                <w:szCs w:val="21"/>
              </w:rPr>
              <w:t>年至今）</w:t>
            </w:r>
          </w:p>
        </w:tc>
        <w:tc>
          <w:tcPr>
            <w:tcW w:w="1884" w:type="dxa"/>
          </w:tcPr>
          <w:p w14:paraId="2A3FD2C7">
            <w:pPr>
              <w:rPr>
                <w:b/>
                <w:color w:val="auto"/>
              </w:rPr>
            </w:pPr>
            <w:r>
              <w:rPr>
                <w:rFonts w:hint="eastAsia"/>
                <w:b/>
                <w:color w:val="auto"/>
              </w:rPr>
              <w:t>合同配置及价格清晰可见，且加盖公章，否则案例无效</w:t>
            </w:r>
          </w:p>
        </w:tc>
      </w:tr>
      <w:tr w14:paraId="2F77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13872264">
            <w:pPr>
              <w:rPr>
                <w:rFonts w:hint="eastAsia" w:eastAsia="宋体"/>
                <w:color w:val="auto"/>
                <w:lang w:eastAsia="zh-CN"/>
              </w:rPr>
            </w:pPr>
            <w:r>
              <w:rPr>
                <w:rFonts w:hint="eastAsia"/>
                <w:color w:val="auto"/>
              </w:rPr>
              <w:t>1</w:t>
            </w:r>
            <w:r>
              <w:rPr>
                <w:rFonts w:hint="eastAsia"/>
                <w:color w:val="auto"/>
                <w:lang w:val="en-US" w:eastAsia="zh-CN"/>
              </w:rPr>
              <w:t>6</w:t>
            </w:r>
          </w:p>
        </w:tc>
        <w:tc>
          <w:tcPr>
            <w:tcW w:w="1789" w:type="dxa"/>
            <w:vMerge w:val="continue"/>
          </w:tcPr>
          <w:p w14:paraId="7A34F892">
            <w:pPr>
              <w:rPr>
                <w:color w:val="auto"/>
              </w:rPr>
            </w:pPr>
          </w:p>
        </w:tc>
        <w:tc>
          <w:tcPr>
            <w:tcW w:w="4152" w:type="dxa"/>
            <w:vAlign w:val="center"/>
          </w:tcPr>
          <w:p w14:paraId="021000E4">
            <w:pPr>
              <w:rPr>
                <w:color w:val="auto"/>
              </w:rPr>
            </w:pPr>
            <w:r>
              <w:rPr>
                <w:color w:val="auto"/>
              </w:rPr>
              <w:t>其他优惠条件</w:t>
            </w:r>
          </w:p>
        </w:tc>
        <w:tc>
          <w:tcPr>
            <w:tcW w:w="1884" w:type="dxa"/>
          </w:tcPr>
          <w:p w14:paraId="13403B80">
            <w:pPr>
              <w:rPr>
                <w:color w:val="auto"/>
              </w:rPr>
            </w:pPr>
          </w:p>
        </w:tc>
      </w:tr>
      <w:tr w14:paraId="2944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57BCC8F0">
            <w:pPr>
              <w:rPr>
                <w:rFonts w:hint="eastAsia" w:eastAsia="宋体"/>
                <w:color w:val="auto"/>
                <w:lang w:eastAsia="zh-CN"/>
              </w:rPr>
            </w:pPr>
            <w:r>
              <w:rPr>
                <w:rFonts w:hint="eastAsia"/>
                <w:color w:val="auto"/>
              </w:rPr>
              <w:t>1</w:t>
            </w:r>
            <w:r>
              <w:rPr>
                <w:rFonts w:hint="eastAsia"/>
                <w:color w:val="auto"/>
                <w:lang w:val="en-US" w:eastAsia="zh-CN"/>
              </w:rPr>
              <w:t>7</w:t>
            </w:r>
          </w:p>
        </w:tc>
        <w:tc>
          <w:tcPr>
            <w:tcW w:w="1789" w:type="dxa"/>
            <w:vAlign w:val="center"/>
          </w:tcPr>
          <w:p w14:paraId="79B23662">
            <w:pPr>
              <w:rPr>
                <w:color w:val="auto"/>
              </w:rPr>
            </w:pPr>
            <w:r>
              <w:rPr>
                <w:rFonts w:hint="eastAsia" w:eastAsiaTheme="minorEastAsia"/>
                <w:color w:val="auto"/>
                <w:sz w:val="24"/>
                <w:szCs w:val="22"/>
              </w:rPr>
              <w:t>报价文件</w:t>
            </w:r>
          </w:p>
        </w:tc>
        <w:tc>
          <w:tcPr>
            <w:tcW w:w="4152" w:type="dxa"/>
            <w:vAlign w:val="center"/>
          </w:tcPr>
          <w:p w14:paraId="0F297331">
            <w:pPr>
              <w:rPr>
                <w:color w:val="auto"/>
              </w:rPr>
            </w:pPr>
            <w:r>
              <w:rPr>
                <w:color w:val="auto"/>
              </w:rPr>
              <w:t>项目报价单（附件</w:t>
            </w:r>
            <w:r>
              <w:rPr>
                <w:rFonts w:hint="eastAsia"/>
                <w:color w:val="auto"/>
              </w:rPr>
              <w:t>5</w:t>
            </w:r>
            <w:r>
              <w:rPr>
                <w:color w:val="auto"/>
              </w:rPr>
              <w:t>）</w:t>
            </w:r>
          </w:p>
        </w:tc>
        <w:tc>
          <w:tcPr>
            <w:tcW w:w="1884" w:type="dxa"/>
          </w:tcPr>
          <w:p w14:paraId="6A90D58C">
            <w:pPr>
              <w:rPr>
                <w:color w:val="auto"/>
              </w:rPr>
            </w:pPr>
          </w:p>
        </w:tc>
      </w:tr>
    </w:tbl>
    <w:p w14:paraId="22BB4559">
      <w:pPr>
        <w:rPr>
          <w:b/>
          <w:bCs/>
          <w:color w:val="auto"/>
          <w:sz w:val="24"/>
        </w:rPr>
      </w:pPr>
      <w:r>
        <w:rPr>
          <w:b/>
          <w:color w:val="auto"/>
        </w:rPr>
        <w:t>注：正本所有文件需加盖公司红章，副本为正本的复印件。</w:t>
      </w:r>
    </w:p>
    <w:p w14:paraId="43AF23EF">
      <w:pPr>
        <w:rPr>
          <w:b/>
          <w:bCs/>
          <w:color w:val="auto"/>
          <w:sz w:val="32"/>
        </w:rPr>
      </w:pPr>
    </w:p>
    <w:p w14:paraId="200C4707">
      <w:pPr>
        <w:rPr>
          <w:color w:val="auto"/>
        </w:rPr>
      </w:pPr>
    </w:p>
    <w:p w14:paraId="07AF66D8">
      <w:pPr>
        <w:rPr>
          <w:b/>
          <w:bCs/>
          <w:color w:val="auto"/>
          <w:sz w:val="32"/>
        </w:rPr>
      </w:pPr>
    </w:p>
    <w:p w14:paraId="10E119B5">
      <w:pPr>
        <w:rPr>
          <w:b/>
          <w:bCs/>
          <w:color w:val="auto"/>
          <w:sz w:val="32"/>
        </w:rPr>
      </w:pPr>
    </w:p>
    <w:p w14:paraId="5F1F2D16">
      <w:pPr>
        <w:snapToGrid w:val="0"/>
        <w:spacing w:beforeLines="50" w:after="50" w:line="460" w:lineRule="exact"/>
        <w:rPr>
          <w:rFonts w:eastAsia="仿宋"/>
          <w:color w:val="auto"/>
          <w:sz w:val="30"/>
          <w:szCs w:val="30"/>
        </w:rPr>
      </w:pPr>
      <w:r>
        <w:rPr>
          <w:rFonts w:hAnsi="仿宋" w:eastAsia="仿宋"/>
          <w:color w:val="auto"/>
          <w:sz w:val="30"/>
          <w:szCs w:val="30"/>
        </w:rPr>
        <w:t>附件</w:t>
      </w:r>
      <w:r>
        <w:rPr>
          <w:rFonts w:eastAsia="仿宋"/>
          <w:color w:val="auto"/>
          <w:sz w:val="30"/>
          <w:szCs w:val="30"/>
        </w:rPr>
        <w:t>1</w:t>
      </w:r>
      <w:r>
        <w:rPr>
          <w:rFonts w:hAnsi="仿宋" w:eastAsia="仿宋"/>
          <w:color w:val="auto"/>
          <w:sz w:val="30"/>
          <w:szCs w:val="30"/>
        </w:rPr>
        <w:t>：响应文件封面</w:t>
      </w:r>
      <w:r>
        <w:rPr>
          <w:rFonts w:hAnsi="仿宋" w:eastAsia="仿宋"/>
          <w:bCs/>
          <w:color w:val="auto"/>
          <w:sz w:val="30"/>
          <w:szCs w:val="30"/>
        </w:rPr>
        <w:t>正本或副本</w:t>
      </w:r>
    </w:p>
    <w:p w14:paraId="04D4A157">
      <w:pPr>
        <w:ind w:firstLine="1320" w:firstLineChars="300"/>
        <w:rPr>
          <w:color w:val="auto"/>
          <w:sz w:val="44"/>
          <w:szCs w:val="44"/>
        </w:rPr>
      </w:pPr>
      <w:r>
        <w:rPr>
          <w:rFonts w:hAnsi="Calibri"/>
          <w:color w:val="auto"/>
          <w:sz w:val="44"/>
          <w:szCs w:val="44"/>
        </w:rPr>
        <w:t>浙江大学医学院附属妇产科医院</w:t>
      </w:r>
    </w:p>
    <w:p w14:paraId="76DCDB68">
      <w:pPr>
        <w:ind w:firstLine="3080" w:firstLineChars="700"/>
        <w:rPr>
          <w:color w:val="auto"/>
          <w:sz w:val="44"/>
          <w:szCs w:val="44"/>
        </w:rPr>
      </w:pPr>
      <w:r>
        <w:rPr>
          <w:rFonts w:hAnsi="Calibri"/>
          <w:color w:val="auto"/>
          <w:sz w:val="44"/>
          <w:szCs w:val="44"/>
        </w:rPr>
        <w:t>（</w:t>
      </w:r>
      <w:r>
        <w:rPr>
          <w:rFonts w:hint="eastAsia" w:hAnsi="Calibri"/>
          <w:color w:val="auto"/>
          <w:sz w:val="44"/>
          <w:szCs w:val="44"/>
        </w:rPr>
        <w:t>信息项目</w:t>
      </w:r>
      <w:r>
        <w:rPr>
          <w:rFonts w:hAnsi="Calibri"/>
          <w:color w:val="auto"/>
          <w:sz w:val="44"/>
          <w:szCs w:val="44"/>
        </w:rPr>
        <w:t>）</w:t>
      </w:r>
    </w:p>
    <w:tbl>
      <w:tblPr>
        <w:tblStyle w:val="46"/>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4"/>
        <w:gridCol w:w="1704"/>
        <w:gridCol w:w="1704"/>
        <w:gridCol w:w="3501"/>
      </w:tblGrid>
      <w:tr w14:paraId="7E989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4D93D083">
            <w:pPr>
              <w:rPr>
                <w:rFonts w:ascii="Calibri" w:hAnsi="Calibri"/>
                <w:color w:val="auto"/>
                <w:sz w:val="36"/>
                <w:szCs w:val="36"/>
              </w:rPr>
            </w:pPr>
            <w:r>
              <w:rPr>
                <w:rFonts w:ascii="Calibri" w:hAnsi="Calibri"/>
                <w:color w:val="auto"/>
                <w:sz w:val="36"/>
                <w:szCs w:val="36"/>
              </w:rPr>
              <w:t>项目名称：</w:t>
            </w:r>
          </w:p>
        </w:tc>
      </w:tr>
      <w:tr w14:paraId="4A393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2DF65016">
            <w:pPr>
              <w:rPr>
                <w:rFonts w:ascii="Calibri" w:hAnsi="Calibri"/>
                <w:color w:val="auto"/>
                <w:sz w:val="36"/>
                <w:szCs w:val="36"/>
              </w:rPr>
            </w:pPr>
            <w:r>
              <w:rPr>
                <w:rFonts w:ascii="Calibri" w:hAnsi="Calibri"/>
                <w:color w:val="auto"/>
                <w:sz w:val="36"/>
                <w:szCs w:val="36"/>
              </w:rPr>
              <w:t>项目编号：</w:t>
            </w:r>
          </w:p>
        </w:tc>
      </w:tr>
      <w:tr w14:paraId="0BA07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14:paraId="4C5909EE">
            <w:pPr>
              <w:rPr>
                <w:rFonts w:ascii="Calibri" w:hAnsi="Calibri"/>
                <w:color w:val="auto"/>
                <w:sz w:val="28"/>
                <w:szCs w:val="28"/>
              </w:rPr>
            </w:pPr>
          </w:p>
        </w:tc>
        <w:tc>
          <w:tcPr>
            <w:tcW w:w="1704" w:type="dxa"/>
          </w:tcPr>
          <w:p w14:paraId="614AEC19">
            <w:pPr>
              <w:rPr>
                <w:rFonts w:ascii="Calibri" w:hAnsi="Calibri"/>
                <w:color w:val="auto"/>
                <w:sz w:val="28"/>
                <w:szCs w:val="28"/>
              </w:rPr>
            </w:pPr>
          </w:p>
        </w:tc>
        <w:tc>
          <w:tcPr>
            <w:tcW w:w="1704" w:type="dxa"/>
            <w:vMerge w:val="restart"/>
          </w:tcPr>
          <w:p w14:paraId="72B5F601">
            <w:pPr>
              <w:spacing w:line="720" w:lineRule="auto"/>
              <w:rPr>
                <w:rFonts w:ascii="Calibri" w:hAnsi="Calibri"/>
                <w:color w:val="auto"/>
                <w:sz w:val="84"/>
                <w:szCs w:val="84"/>
              </w:rPr>
            </w:pPr>
          </w:p>
          <w:p w14:paraId="7C11CDAF">
            <w:pPr>
              <w:spacing w:line="720" w:lineRule="auto"/>
              <w:rPr>
                <w:rFonts w:ascii="Calibri" w:hAnsi="Calibri"/>
                <w:color w:val="auto"/>
                <w:sz w:val="36"/>
                <w:szCs w:val="36"/>
              </w:rPr>
            </w:pPr>
          </w:p>
          <w:p w14:paraId="18B43213">
            <w:pPr>
              <w:spacing w:line="720" w:lineRule="auto"/>
              <w:rPr>
                <w:rFonts w:ascii="Calibri" w:hAnsi="Calibri"/>
                <w:color w:val="auto"/>
                <w:sz w:val="84"/>
                <w:szCs w:val="84"/>
              </w:rPr>
            </w:pPr>
            <w:r>
              <w:rPr>
                <w:rFonts w:ascii="Calibri" w:hAnsi="Calibri"/>
                <w:color w:val="auto"/>
                <w:sz w:val="84"/>
                <w:szCs w:val="84"/>
              </w:rPr>
              <w:t>响应文件</w:t>
            </w:r>
          </w:p>
        </w:tc>
        <w:tc>
          <w:tcPr>
            <w:tcW w:w="3501" w:type="dxa"/>
            <w:vMerge w:val="restart"/>
          </w:tcPr>
          <w:p w14:paraId="119DFB37">
            <w:pPr>
              <w:rPr>
                <w:rFonts w:ascii="Calibri" w:hAnsi="Calibri"/>
                <w:color w:val="auto"/>
                <w:sz w:val="28"/>
                <w:szCs w:val="28"/>
              </w:rPr>
            </w:pPr>
          </w:p>
        </w:tc>
      </w:tr>
      <w:tr w14:paraId="4E78A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2660C21">
            <w:pPr>
              <w:rPr>
                <w:rFonts w:ascii="Calibri" w:hAnsi="Calibri"/>
                <w:color w:val="auto"/>
                <w:sz w:val="28"/>
                <w:szCs w:val="28"/>
              </w:rPr>
            </w:pPr>
          </w:p>
        </w:tc>
        <w:tc>
          <w:tcPr>
            <w:tcW w:w="1704" w:type="dxa"/>
          </w:tcPr>
          <w:p w14:paraId="3739065E">
            <w:pPr>
              <w:rPr>
                <w:rFonts w:ascii="Calibri" w:hAnsi="Calibri"/>
                <w:color w:val="auto"/>
                <w:sz w:val="28"/>
                <w:szCs w:val="28"/>
              </w:rPr>
            </w:pPr>
          </w:p>
        </w:tc>
        <w:tc>
          <w:tcPr>
            <w:tcW w:w="1704" w:type="dxa"/>
            <w:vMerge w:val="continue"/>
          </w:tcPr>
          <w:p w14:paraId="6685C81C">
            <w:pPr>
              <w:rPr>
                <w:rFonts w:ascii="Calibri" w:hAnsi="Calibri"/>
                <w:color w:val="auto"/>
                <w:sz w:val="28"/>
                <w:szCs w:val="28"/>
              </w:rPr>
            </w:pPr>
          </w:p>
        </w:tc>
        <w:tc>
          <w:tcPr>
            <w:tcW w:w="3501" w:type="dxa"/>
            <w:vMerge w:val="continue"/>
          </w:tcPr>
          <w:p w14:paraId="0C807D2C">
            <w:pPr>
              <w:rPr>
                <w:rFonts w:ascii="Calibri" w:hAnsi="Calibri"/>
                <w:color w:val="auto"/>
                <w:sz w:val="28"/>
                <w:szCs w:val="28"/>
              </w:rPr>
            </w:pPr>
          </w:p>
        </w:tc>
      </w:tr>
      <w:tr w14:paraId="11CA0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52AB958">
            <w:pPr>
              <w:rPr>
                <w:rFonts w:ascii="Calibri" w:hAnsi="Calibri"/>
                <w:color w:val="auto"/>
                <w:sz w:val="28"/>
                <w:szCs w:val="28"/>
              </w:rPr>
            </w:pPr>
          </w:p>
        </w:tc>
        <w:tc>
          <w:tcPr>
            <w:tcW w:w="1704" w:type="dxa"/>
          </w:tcPr>
          <w:p w14:paraId="44E8D192">
            <w:pPr>
              <w:rPr>
                <w:rFonts w:ascii="Calibri" w:hAnsi="Calibri"/>
                <w:color w:val="auto"/>
                <w:sz w:val="28"/>
                <w:szCs w:val="28"/>
              </w:rPr>
            </w:pPr>
          </w:p>
        </w:tc>
        <w:tc>
          <w:tcPr>
            <w:tcW w:w="1704" w:type="dxa"/>
            <w:vMerge w:val="continue"/>
          </w:tcPr>
          <w:p w14:paraId="024020CE">
            <w:pPr>
              <w:rPr>
                <w:rFonts w:ascii="Calibri" w:hAnsi="Calibri"/>
                <w:color w:val="auto"/>
                <w:sz w:val="28"/>
                <w:szCs w:val="28"/>
              </w:rPr>
            </w:pPr>
          </w:p>
        </w:tc>
        <w:tc>
          <w:tcPr>
            <w:tcW w:w="3501" w:type="dxa"/>
            <w:vMerge w:val="continue"/>
          </w:tcPr>
          <w:p w14:paraId="5994BE5A">
            <w:pPr>
              <w:rPr>
                <w:rFonts w:ascii="Calibri" w:hAnsi="Calibri"/>
                <w:color w:val="auto"/>
                <w:sz w:val="28"/>
                <w:szCs w:val="28"/>
              </w:rPr>
            </w:pPr>
          </w:p>
        </w:tc>
      </w:tr>
      <w:tr w14:paraId="18BB9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6485003">
            <w:pPr>
              <w:rPr>
                <w:rFonts w:ascii="Calibri" w:hAnsi="Calibri"/>
                <w:color w:val="auto"/>
                <w:sz w:val="28"/>
                <w:szCs w:val="28"/>
              </w:rPr>
            </w:pPr>
          </w:p>
        </w:tc>
        <w:tc>
          <w:tcPr>
            <w:tcW w:w="1704" w:type="dxa"/>
          </w:tcPr>
          <w:p w14:paraId="75B299D5">
            <w:pPr>
              <w:rPr>
                <w:rFonts w:ascii="Calibri" w:hAnsi="Calibri"/>
                <w:color w:val="auto"/>
                <w:sz w:val="28"/>
                <w:szCs w:val="28"/>
              </w:rPr>
            </w:pPr>
          </w:p>
        </w:tc>
        <w:tc>
          <w:tcPr>
            <w:tcW w:w="1704" w:type="dxa"/>
            <w:vMerge w:val="continue"/>
          </w:tcPr>
          <w:p w14:paraId="3CC64A5D">
            <w:pPr>
              <w:rPr>
                <w:rFonts w:ascii="Calibri" w:hAnsi="Calibri"/>
                <w:color w:val="auto"/>
                <w:sz w:val="28"/>
                <w:szCs w:val="28"/>
              </w:rPr>
            </w:pPr>
          </w:p>
        </w:tc>
        <w:tc>
          <w:tcPr>
            <w:tcW w:w="3501" w:type="dxa"/>
            <w:vMerge w:val="continue"/>
          </w:tcPr>
          <w:p w14:paraId="621062EC">
            <w:pPr>
              <w:rPr>
                <w:rFonts w:ascii="Calibri" w:hAnsi="Calibri"/>
                <w:color w:val="auto"/>
                <w:sz w:val="28"/>
                <w:szCs w:val="28"/>
              </w:rPr>
            </w:pPr>
          </w:p>
        </w:tc>
      </w:tr>
      <w:tr w14:paraId="1EEE3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606E8E6">
            <w:pPr>
              <w:rPr>
                <w:rFonts w:ascii="Calibri" w:hAnsi="Calibri"/>
                <w:color w:val="auto"/>
                <w:sz w:val="28"/>
                <w:szCs w:val="28"/>
              </w:rPr>
            </w:pPr>
          </w:p>
        </w:tc>
        <w:tc>
          <w:tcPr>
            <w:tcW w:w="1704" w:type="dxa"/>
          </w:tcPr>
          <w:p w14:paraId="066AC2C0">
            <w:pPr>
              <w:rPr>
                <w:rFonts w:ascii="Calibri" w:hAnsi="Calibri"/>
                <w:color w:val="auto"/>
                <w:sz w:val="28"/>
                <w:szCs w:val="28"/>
              </w:rPr>
            </w:pPr>
          </w:p>
        </w:tc>
        <w:tc>
          <w:tcPr>
            <w:tcW w:w="1704" w:type="dxa"/>
            <w:vMerge w:val="continue"/>
          </w:tcPr>
          <w:p w14:paraId="56195F12">
            <w:pPr>
              <w:rPr>
                <w:rFonts w:ascii="Calibri" w:hAnsi="Calibri"/>
                <w:color w:val="auto"/>
                <w:sz w:val="28"/>
                <w:szCs w:val="28"/>
              </w:rPr>
            </w:pPr>
          </w:p>
        </w:tc>
        <w:tc>
          <w:tcPr>
            <w:tcW w:w="3501" w:type="dxa"/>
            <w:vMerge w:val="continue"/>
          </w:tcPr>
          <w:p w14:paraId="2E67F166">
            <w:pPr>
              <w:rPr>
                <w:rFonts w:ascii="Calibri" w:hAnsi="Calibri"/>
                <w:color w:val="auto"/>
                <w:sz w:val="28"/>
                <w:szCs w:val="28"/>
              </w:rPr>
            </w:pPr>
          </w:p>
        </w:tc>
      </w:tr>
      <w:tr w14:paraId="342FB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52361D2C">
            <w:pPr>
              <w:rPr>
                <w:rFonts w:ascii="Calibri" w:hAnsi="Calibri"/>
                <w:color w:val="auto"/>
                <w:sz w:val="28"/>
                <w:szCs w:val="28"/>
              </w:rPr>
            </w:pPr>
          </w:p>
        </w:tc>
        <w:tc>
          <w:tcPr>
            <w:tcW w:w="1704" w:type="dxa"/>
          </w:tcPr>
          <w:p w14:paraId="035CDBAF">
            <w:pPr>
              <w:rPr>
                <w:rFonts w:ascii="Calibri" w:hAnsi="Calibri"/>
                <w:color w:val="auto"/>
                <w:sz w:val="28"/>
                <w:szCs w:val="28"/>
              </w:rPr>
            </w:pPr>
          </w:p>
        </w:tc>
        <w:tc>
          <w:tcPr>
            <w:tcW w:w="1704" w:type="dxa"/>
            <w:vMerge w:val="continue"/>
          </w:tcPr>
          <w:p w14:paraId="7535828F">
            <w:pPr>
              <w:rPr>
                <w:rFonts w:ascii="Calibri" w:hAnsi="Calibri"/>
                <w:color w:val="auto"/>
                <w:sz w:val="28"/>
                <w:szCs w:val="28"/>
              </w:rPr>
            </w:pPr>
          </w:p>
        </w:tc>
        <w:tc>
          <w:tcPr>
            <w:tcW w:w="3501" w:type="dxa"/>
            <w:vMerge w:val="continue"/>
          </w:tcPr>
          <w:p w14:paraId="18C1165C">
            <w:pPr>
              <w:rPr>
                <w:rFonts w:ascii="Calibri" w:hAnsi="Calibri"/>
                <w:color w:val="auto"/>
                <w:sz w:val="28"/>
                <w:szCs w:val="28"/>
              </w:rPr>
            </w:pPr>
          </w:p>
        </w:tc>
      </w:tr>
      <w:tr w14:paraId="54086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43312BC">
            <w:pPr>
              <w:rPr>
                <w:rFonts w:ascii="Calibri" w:hAnsi="Calibri"/>
                <w:color w:val="auto"/>
                <w:sz w:val="28"/>
                <w:szCs w:val="28"/>
              </w:rPr>
            </w:pPr>
          </w:p>
        </w:tc>
        <w:tc>
          <w:tcPr>
            <w:tcW w:w="1704" w:type="dxa"/>
          </w:tcPr>
          <w:p w14:paraId="74D56907">
            <w:pPr>
              <w:rPr>
                <w:rFonts w:ascii="Calibri" w:hAnsi="Calibri"/>
                <w:color w:val="auto"/>
                <w:sz w:val="28"/>
                <w:szCs w:val="28"/>
              </w:rPr>
            </w:pPr>
          </w:p>
        </w:tc>
        <w:tc>
          <w:tcPr>
            <w:tcW w:w="1704" w:type="dxa"/>
            <w:vMerge w:val="continue"/>
          </w:tcPr>
          <w:p w14:paraId="28709398">
            <w:pPr>
              <w:rPr>
                <w:rFonts w:ascii="Calibri" w:hAnsi="Calibri"/>
                <w:color w:val="auto"/>
                <w:sz w:val="28"/>
                <w:szCs w:val="28"/>
              </w:rPr>
            </w:pPr>
          </w:p>
        </w:tc>
        <w:tc>
          <w:tcPr>
            <w:tcW w:w="3501" w:type="dxa"/>
            <w:vMerge w:val="continue"/>
          </w:tcPr>
          <w:p w14:paraId="2C9E76B7">
            <w:pPr>
              <w:rPr>
                <w:rFonts w:ascii="Calibri" w:hAnsi="Calibri"/>
                <w:color w:val="auto"/>
                <w:sz w:val="28"/>
                <w:szCs w:val="28"/>
              </w:rPr>
            </w:pPr>
          </w:p>
        </w:tc>
      </w:tr>
      <w:tr w14:paraId="570AE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5E3A6A0E">
            <w:pPr>
              <w:rPr>
                <w:rFonts w:ascii="Calibri" w:hAnsi="Calibri"/>
                <w:color w:val="auto"/>
                <w:sz w:val="28"/>
                <w:szCs w:val="28"/>
              </w:rPr>
            </w:pPr>
          </w:p>
        </w:tc>
        <w:tc>
          <w:tcPr>
            <w:tcW w:w="1704" w:type="dxa"/>
          </w:tcPr>
          <w:p w14:paraId="3C72DF88">
            <w:pPr>
              <w:rPr>
                <w:rFonts w:ascii="Calibri" w:hAnsi="Calibri"/>
                <w:color w:val="auto"/>
                <w:sz w:val="28"/>
                <w:szCs w:val="28"/>
              </w:rPr>
            </w:pPr>
          </w:p>
        </w:tc>
        <w:tc>
          <w:tcPr>
            <w:tcW w:w="1704" w:type="dxa"/>
            <w:vMerge w:val="continue"/>
          </w:tcPr>
          <w:p w14:paraId="37DB2CE9">
            <w:pPr>
              <w:rPr>
                <w:rFonts w:ascii="Calibri" w:hAnsi="Calibri"/>
                <w:color w:val="auto"/>
                <w:sz w:val="28"/>
                <w:szCs w:val="28"/>
              </w:rPr>
            </w:pPr>
          </w:p>
        </w:tc>
        <w:tc>
          <w:tcPr>
            <w:tcW w:w="3501" w:type="dxa"/>
            <w:vMerge w:val="continue"/>
          </w:tcPr>
          <w:p w14:paraId="3E54F742">
            <w:pPr>
              <w:rPr>
                <w:rFonts w:ascii="Calibri" w:hAnsi="Calibri"/>
                <w:color w:val="auto"/>
                <w:sz w:val="28"/>
                <w:szCs w:val="28"/>
              </w:rPr>
            </w:pPr>
          </w:p>
        </w:tc>
      </w:tr>
      <w:tr w14:paraId="4B87A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4AE5C7CB">
            <w:pPr>
              <w:rPr>
                <w:rFonts w:ascii="Calibri" w:hAnsi="Calibri"/>
                <w:color w:val="auto"/>
                <w:sz w:val="28"/>
                <w:szCs w:val="28"/>
              </w:rPr>
            </w:pPr>
          </w:p>
        </w:tc>
        <w:tc>
          <w:tcPr>
            <w:tcW w:w="1704" w:type="dxa"/>
          </w:tcPr>
          <w:p w14:paraId="63EFB230">
            <w:pPr>
              <w:rPr>
                <w:rFonts w:ascii="Calibri" w:hAnsi="Calibri"/>
                <w:color w:val="auto"/>
                <w:sz w:val="28"/>
                <w:szCs w:val="28"/>
              </w:rPr>
            </w:pPr>
          </w:p>
        </w:tc>
        <w:tc>
          <w:tcPr>
            <w:tcW w:w="1704" w:type="dxa"/>
            <w:vMerge w:val="continue"/>
          </w:tcPr>
          <w:p w14:paraId="60FE2524">
            <w:pPr>
              <w:rPr>
                <w:rFonts w:ascii="Calibri" w:hAnsi="Calibri"/>
                <w:color w:val="auto"/>
                <w:sz w:val="28"/>
                <w:szCs w:val="28"/>
              </w:rPr>
            </w:pPr>
          </w:p>
        </w:tc>
        <w:tc>
          <w:tcPr>
            <w:tcW w:w="3501" w:type="dxa"/>
            <w:vMerge w:val="continue"/>
          </w:tcPr>
          <w:p w14:paraId="54405C23">
            <w:pPr>
              <w:rPr>
                <w:rFonts w:ascii="Calibri" w:hAnsi="Calibri"/>
                <w:color w:val="auto"/>
                <w:sz w:val="28"/>
                <w:szCs w:val="28"/>
              </w:rPr>
            </w:pPr>
          </w:p>
        </w:tc>
      </w:tr>
      <w:tr w14:paraId="6ACE3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0DC7B01">
            <w:pPr>
              <w:rPr>
                <w:rFonts w:ascii="Calibri" w:hAnsi="Calibri"/>
                <w:color w:val="auto"/>
                <w:sz w:val="28"/>
                <w:szCs w:val="28"/>
              </w:rPr>
            </w:pPr>
          </w:p>
        </w:tc>
        <w:tc>
          <w:tcPr>
            <w:tcW w:w="1704" w:type="dxa"/>
          </w:tcPr>
          <w:p w14:paraId="149EB22F">
            <w:pPr>
              <w:rPr>
                <w:rFonts w:ascii="Calibri" w:hAnsi="Calibri"/>
                <w:color w:val="auto"/>
                <w:sz w:val="28"/>
                <w:szCs w:val="28"/>
              </w:rPr>
            </w:pPr>
          </w:p>
        </w:tc>
        <w:tc>
          <w:tcPr>
            <w:tcW w:w="1704" w:type="dxa"/>
            <w:vMerge w:val="continue"/>
          </w:tcPr>
          <w:p w14:paraId="771DD88C">
            <w:pPr>
              <w:rPr>
                <w:rFonts w:ascii="Calibri" w:hAnsi="Calibri"/>
                <w:color w:val="auto"/>
                <w:sz w:val="28"/>
                <w:szCs w:val="28"/>
              </w:rPr>
            </w:pPr>
          </w:p>
        </w:tc>
        <w:tc>
          <w:tcPr>
            <w:tcW w:w="3501" w:type="dxa"/>
            <w:vMerge w:val="continue"/>
          </w:tcPr>
          <w:p w14:paraId="6A56E454">
            <w:pPr>
              <w:rPr>
                <w:rFonts w:ascii="Calibri" w:hAnsi="Calibri"/>
                <w:color w:val="auto"/>
                <w:sz w:val="28"/>
                <w:szCs w:val="28"/>
              </w:rPr>
            </w:pPr>
          </w:p>
        </w:tc>
      </w:tr>
      <w:tr w14:paraId="3E03D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3E99277">
            <w:pPr>
              <w:rPr>
                <w:rFonts w:ascii="Calibri" w:hAnsi="Calibri"/>
                <w:color w:val="auto"/>
                <w:sz w:val="28"/>
                <w:szCs w:val="28"/>
              </w:rPr>
            </w:pPr>
          </w:p>
        </w:tc>
        <w:tc>
          <w:tcPr>
            <w:tcW w:w="1704" w:type="dxa"/>
          </w:tcPr>
          <w:p w14:paraId="2E1CAB4F">
            <w:pPr>
              <w:rPr>
                <w:rFonts w:ascii="Calibri" w:hAnsi="Calibri"/>
                <w:color w:val="auto"/>
                <w:sz w:val="28"/>
                <w:szCs w:val="28"/>
              </w:rPr>
            </w:pPr>
          </w:p>
        </w:tc>
        <w:tc>
          <w:tcPr>
            <w:tcW w:w="1704" w:type="dxa"/>
            <w:vMerge w:val="continue"/>
          </w:tcPr>
          <w:p w14:paraId="7F00F52C">
            <w:pPr>
              <w:rPr>
                <w:rFonts w:ascii="Calibri" w:hAnsi="Calibri"/>
                <w:color w:val="auto"/>
                <w:sz w:val="28"/>
                <w:szCs w:val="28"/>
              </w:rPr>
            </w:pPr>
          </w:p>
        </w:tc>
        <w:tc>
          <w:tcPr>
            <w:tcW w:w="3501" w:type="dxa"/>
            <w:vMerge w:val="continue"/>
          </w:tcPr>
          <w:p w14:paraId="011F3095">
            <w:pPr>
              <w:rPr>
                <w:rFonts w:ascii="Calibri" w:hAnsi="Calibri"/>
                <w:color w:val="auto"/>
                <w:sz w:val="28"/>
                <w:szCs w:val="28"/>
              </w:rPr>
            </w:pPr>
          </w:p>
        </w:tc>
      </w:tr>
      <w:tr w14:paraId="36A4F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84C7200">
            <w:pPr>
              <w:rPr>
                <w:rFonts w:ascii="Calibri" w:hAnsi="Calibri"/>
                <w:color w:val="auto"/>
                <w:sz w:val="28"/>
                <w:szCs w:val="28"/>
              </w:rPr>
            </w:pPr>
          </w:p>
        </w:tc>
        <w:tc>
          <w:tcPr>
            <w:tcW w:w="1704" w:type="dxa"/>
          </w:tcPr>
          <w:p w14:paraId="53C4CA4E">
            <w:pPr>
              <w:rPr>
                <w:rFonts w:ascii="Calibri" w:hAnsi="Calibri"/>
                <w:color w:val="auto"/>
                <w:sz w:val="28"/>
                <w:szCs w:val="28"/>
              </w:rPr>
            </w:pPr>
          </w:p>
        </w:tc>
        <w:tc>
          <w:tcPr>
            <w:tcW w:w="1704" w:type="dxa"/>
            <w:vMerge w:val="continue"/>
          </w:tcPr>
          <w:p w14:paraId="465C63F9">
            <w:pPr>
              <w:rPr>
                <w:rFonts w:ascii="Calibri" w:hAnsi="Calibri"/>
                <w:color w:val="auto"/>
                <w:sz w:val="28"/>
                <w:szCs w:val="28"/>
              </w:rPr>
            </w:pPr>
          </w:p>
        </w:tc>
        <w:tc>
          <w:tcPr>
            <w:tcW w:w="3501" w:type="dxa"/>
            <w:vMerge w:val="continue"/>
          </w:tcPr>
          <w:p w14:paraId="41D55401">
            <w:pPr>
              <w:rPr>
                <w:rFonts w:ascii="Calibri" w:hAnsi="Calibri"/>
                <w:color w:val="auto"/>
                <w:sz w:val="28"/>
                <w:szCs w:val="28"/>
              </w:rPr>
            </w:pPr>
          </w:p>
        </w:tc>
      </w:tr>
      <w:tr w14:paraId="11675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160253E">
            <w:pPr>
              <w:rPr>
                <w:rFonts w:ascii="Calibri" w:hAnsi="Calibri"/>
                <w:color w:val="auto"/>
                <w:sz w:val="28"/>
                <w:szCs w:val="28"/>
              </w:rPr>
            </w:pPr>
          </w:p>
        </w:tc>
        <w:tc>
          <w:tcPr>
            <w:tcW w:w="1704" w:type="dxa"/>
          </w:tcPr>
          <w:p w14:paraId="0560946D">
            <w:pPr>
              <w:rPr>
                <w:rFonts w:ascii="Calibri" w:hAnsi="Calibri"/>
                <w:color w:val="auto"/>
                <w:sz w:val="28"/>
                <w:szCs w:val="28"/>
              </w:rPr>
            </w:pPr>
          </w:p>
        </w:tc>
        <w:tc>
          <w:tcPr>
            <w:tcW w:w="1704" w:type="dxa"/>
            <w:vMerge w:val="continue"/>
          </w:tcPr>
          <w:p w14:paraId="27EDFF5B">
            <w:pPr>
              <w:rPr>
                <w:rFonts w:ascii="Calibri" w:hAnsi="Calibri"/>
                <w:color w:val="auto"/>
                <w:sz w:val="28"/>
                <w:szCs w:val="28"/>
              </w:rPr>
            </w:pPr>
          </w:p>
        </w:tc>
        <w:tc>
          <w:tcPr>
            <w:tcW w:w="3501" w:type="dxa"/>
            <w:vMerge w:val="continue"/>
          </w:tcPr>
          <w:p w14:paraId="48C0971E">
            <w:pPr>
              <w:rPr>
                <w:rFonts w:ascii="Calibri" w:hAnsi="Calibri"/>
                <w:color w:val="auto"/>
                <w:sz w:val="28"/>
                <w:szCs w:val="28"/>
              </w:rPr>
            </w:pPr>
          </w:p>
        </w:tc>
      </w:tr>
      <w:tr w14:paraId="273DA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2D0A3720">
            <w:pPr>
              <w:rPr>
                <w:rFonts w:ascii="Calibri" w:hAnsi="Calibri"/>
                <w:color w:val="auto"/>
                <w:sz w:val="36"/>
                <w:szCs w:val="36"/>
              </w:rPr>
            </w:pPr>
            <w:r>
              <w:rPr>
                <w:rFonts w:ascii="Calibri" w:hAnsi="Calibri"/>
                <w:color w:val="auto"/>
                <w:sz w:val="36"/>
                <w:szCs w:val="36"/>
              </w:rPr>
              <w:t>供应商全称：</w:t>
            </w:r>
          </w:p>
        </w:tc>
      </w:tr>
      <w:tr w14:paraId="16EAB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55D00E43">
            <w:pPr>
              <w:rPr>
                <w:rFonts w:ascii="Calibri" w:hAnsi="Calibri"/>
                <w:strike/>
                <w:color w:val="auto"/>
                <w:sz w:val="36"/>
                <w:szCs w:val="36"/>
              </w:rPr>
            </w:pPr>
          </w:p>
        </w:tc>
      </w:tr>
      <w:tr w14:paraId="1E963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05922456">
            <w:pPr>
              <w:rPr>
                <w:rFonts w:ascii="Calibri" w:hAnsi="Calibri"/>
                <w:color w:val="auto"/>
                <w:sz w:val="36"/>
                <w:szCs w:val="36"/>
              </w:rPr>
            </w:pPr>
            <w:r>
              <w:rPr>
                <w:rFonts w:ascii="Calibri" w:hAnsi="Calibri"/>
                <w:color w:val="auto"/>
                <w:sz w:val="36"/>
                <w:szCs w:val="36"/>
              </w:rPr>
              <w:t>时      间：</w:t>
            </w:r>
          </w:p>
        </w:tc>
      </w:tr>
    </w:tbl>
    <w:p w14:paraId="29480EEE">
      <w:pPr>
        <w:snapToGrid w:val="0"/>
        <w:spacing w:beforeLines="50" w:after="50" w:line="460" w:lineRule="exact"/>
        <w:rPr>
          <w:rFonts w:hAnsi="仿宋" w:eastAsia="仿宋"/>
          <w:color w:val="auto"/>
          <w:sz w:val="30"/>
          <w:szCs w:val="30"/>
        </w:rPr>
      </w:pPr>
    </w:p>
    <w:p w14:paraId="7D5A0841">
      <w:pPr>
        <w:snapToGrid w:val="0"/>
        <w:spacing w:beforeLines="50" w:after="50" w:line="460" w:lineRule="exact"/>
        <w:rPr>
          <w:rFonts w:eastAsia="仿宋"/>
          <w:color w:val="auto"/>
          <w:sz w:val="30"/>
          <w:szCs w:val="30"/>
        </w:rPr>
      </w:pPr>
      <w:r>
        <w:rPr>
          <w:rFonts w:hAnsi="仿宋" w:eastAsia="仿宋"/>
          <w:color w:val="auto"/>
          <w:sz w:val="30"/>
          <w:szCs w:val="30"/>
        </w:rPr>
        <w:t>附件</w:t>
      </w:r>
      <w:r>
        <w:rPr>
          <w:rFonts w:eastAsia="仿宋"/>
          <w:color w:val="auto"/>
          <w:sz w:val="30"/>
          <w:szCs w:val="30"/>
        </w:rPr>
        <w:t>2</w:t>
      </w:r>
      <w:r>
        <w:rPr>
          <w:rFonts w:hAnsi="仿宋" w:eastAsia="仿宋"/>
          <w:color w:val="auto"/>
          <w:sz w:val="30"/>
          <w:szCs w:val="30"/>
        </w:rPr>
        <w:t>：</w:t>
      </w:r>
    </w:p>
    <w:p w14:paraId="713267F3">
      <w:pPr>
        <w:snapToGrid w:val="0"/>
        <w:spacing w:before="50" w:after="50"/>
        <w:jc w:val="center"/>
        <w:rPr>
          <w:rFonts w:eastAsia="仿宋"/>
          <w:b/>
          <w:color w:val="auto"/>
          <w:sz w:val="36"/>
          <w:szCs w:val="36"/>
        </w:rPr>
      </w:pPr>
      <w:r>
        <w:rPr>
          <w:rFonts w:hAnsi="仿宋" w:eastAsia="仿宋"/>
          <w:b/>
          <w:color w:val="auto"/>
          <w:sz w:val="36"/>
          <w:szCs w:val="36"/>
        </w:rPr>
        <w:t>声明书</w:t>
      </w:r>
    </w:p>
    <w:p w14:paraId="0E5FB105">
      <w:pPr>
        <w:snapToGrid w:val="0"/>
        <w:spacing w:beforeLines="50" w:after="50" w:line="460" w:lineRule="exact"/>
        <w:rPr>
          <w:rFonts w:eastAsiaTheme="minorEastAsia"/>
          <w:color w:val="auto"/>
          <w:sz w:val="28"/>
          <w:szCs w:val="28"/>
        </w:rPr>
      </w:pPr>
      <w:r>
        <w:rPr>
          <w:rFonts w:hAnsiTheme="minorEastAsia" w:eastAsiaTheme="minorEastAsia"/>
          <w:color w:val="auto"/>
          <w:sz w:val="28"/>
          <w:szCs w:val="28"/>
        </w:rPr>
        <w:t>致浙江大学医学院附属妇产科医院：</w:t>
      </w:r>
    </w:p>
    <w:p w14:paraId="49F544F8">
      <w:pPr>
        <w:snapToGrid w:val="0"/>
        <w:spacing w:beforeLines="50" w:after="50" w:line="460" w:lineRule="exact"/>
        <w:ind w:firstLine="560" w:firstLineChars="200"/>
        <w:rPr>
          <w:rFonts w:eastAsiaTheme="minorEastAsia"/>
          <w:color w:val="auto"/>
          <w:sz w:val="28"/>
          <w:szCs w:val="28"/>
        </w:rPr>
      </w:pPr>
      <w:r>
        <w:rPr>
          <w:rFonts w:hAnsiTheme="minorEastAsia" w:eastAsiaTheme="minorEastAsia"/>
          <w:color w:val="auto"/>
          <w:sz w:val="28"/>
          <w:szCs w:val="28"/>
          <w:u w:val="single"/>
        </w:rPr>
        <w:t>（供应商名称）</w:t>
      </w:r>
      <w:r>
        <w:rPr>
          <w:rFonts w:hAnsiTheme="minorEastAsia" w:eastAsiaTheme="minorEastAsia"/>
          <w:color w:val="auto"/>
          <w:sz w:val="28"/>
          <w:szCs w:val="28"/>
        </w:rPr>
        <w:t>系中华人民共和国合法企业，经营地址。</w:t>
      </w:r>
    </w:p>
    <w:p w14:paraId="0FEB36C7">
      <w:pPr>
        <w:snapToGrid w:val="0"/>
        <w:spacing w:beforeLines="50" w:after="50" w:line="460" w:lineRule="exact"/>
        <w:ind w:firstLine="560" w:firstLineChars="200"/>
        <w:rPr>
          <w:rFonts w:eastAsiaTheme="minorEastAsia"/>
          <w:color w:val="auto"/>
          <w:sz w:val="28"/>
          <w:szCs w:val="28"/>
        </w:rPr>
      </w:pPr>
      <w:r>
        <w:rPr>
          <w:rFonts w:hAnsiTheme="minorEastAsia" w:eastAsiaTheme="minorEastAsia"/>
          <w:color w:val="auto"/>
          <w:sz w:val="28"/>
          <w:szCs w:val="28"/>
        </w:rPr>
        <w:t>我</w:t>
      </w:r>
      <w:r>
        <w:rPr>
          <w:rFonts w:hAnsiTheme="minorEastAsia" w:eastAsiaTheme="minorEastAsia"/>
          <w:color w:val="auto"/>
          <w:sz w:val="28"/>
          <w:szCs w:val="28"/>
          <w:u w:val="single"/>
        </w:rPr>
        <w:t>（姓名）</w:t>
      </w:r>
      <w:r>
        <w:rPr>
          <w:rFonts w:hAnsiTheme="minorEastAsia" w:eastAsiaTheme="minorEastAsia"/>
          <w:color w:val="auto"/>
          <w:sz w:val="28"/>
          <w:szCs w:val="28"/>
        </w:rPr>
        <w:t>系</w:t>
      </w:r>
      <w:r>
        <w:rPr>
          <w:rFonts w:hAnsiTheme="minorEastAsia" w:eastAsiaTheme="minorEastAsia"/>
          <w:color w:val="auto"/>
          <w:sz w:val="28"/>
          <w:szCs w:val="28"/>
          <w:u w:val="single"/>
        </w:rPr>
        <w:t>（供应商名称）</w:t>
      </w:r>
      <w:r>
        <w:rPr>
          <w:rFonts w:hAnsiTheme="minorEastAsia" w:eastAsiaTheme="minorEastAsia"/>
          <w:color w:val="auto"/>
          <w:sz w:val="28"/>
          <w:szCs w:val="28"/>
        </w:rPr>
        <w:t>的法定代表人，我方愿意参加贵方组织的</w:t>
      </w:r>
      <w:r>
        <w:rPr>
          <w:rFonts w:hAnsiTheme="minorEastAsia" w:eastAsiaTheme="minorEastAsia"/>
          <w:color w:val="auto"/>
          <w:sz w:val="28"/>
          <w:szCs w:val="28"/>
          <w:u w:val="single"/>
        </w:rPr>
        <w:t>（采购项目名称）（编号为）</w:t>
      </w:r>
      <w:r>
        <w:rPr>
          <w:rFonts w:hAnsiTheme="minorEastAsia" w:eastAsiaTheme="minorEastAsia"/>
          <w:color w:val="auto"/>
          <w:sz w:val="28"/>
          <w:szCs w:val="28"/>
        </w:rPr>
        <w:t>的采购项目，为此，我方就本次项目有关事项郑重声明如下：</w:t>
      </w:r>
    </w:p>
    <w:p w14:paraId="43762124">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1</w:t>
      </w:r>
      <w:r>
        <w:rPr>
          <w:rFonts w:hAnsiTheme="minorEastAsia" w:eastAsiaTheme="minorEastAsia"/>
          <w:color w:val="auto"/>
          <w:sz w:val="28"/>
          <w:szCs w:val="28"/>
        </w:rPr>
        <w:t>、我方已详细审查全部采购文件，同意采购文件的各项要求。</w:t>
      </w:r>
    </w:p>
    <w:p w14:paraId="19C6C2E3">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2</w:t>
      </w:r>
      <w:r>
        <w:rPr>
          <w:rFonts w:hAnsiTheme="minorEastAsia" w:eastAsiaTheme="minorEastAsia"/>
          <w:color w:val="auto"/>
          <w:sz w:val="28"/>
          <w:szCs w:val="28"/>
        </w:rPr>
        <w:t>、我方向贵方提交的所有响应文件、资料都是准确的和真实的。</w:t>
      </w:r>
    </w:p>
    <w:p w14:paraId="2356115A">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3</w:t>
      </w:r>
      <w:r>
        <w:rPr>
          <w:rFonts w:hAnsiTheme="minorEastAsia" w:eastAsiaTheme="minorEastAsia"/>
          <w:color w:val="auto"/>
          <w:sz w:val="28"/>
          <w:szCs w:val="28"/>
        </w:rPr>
        <w:t>、若成交，我方将按采购文件规定履行合同责任和义务。</w:t>
      </w:r>
    </w:p>
    <w:p w14:paraId="185AD74C">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4</w:t>
      </w:r>
      <w:r>
        <w:rPr>
          <w:rFonts w:hAnsiTheme="minorEastAsia" w:eastAsiaTheme="minorEastAsia"/>
          <w:color w:val="auto"/>
          <w:sz w:val="28"/>
          <w:szCs w:val="28"/>
        </w:rPr>
        <w:t>、我方不是采购人的附属机构；在获知本项目采购信息后，与采购人聘请的为此项目提供咨询服务的公司及其附属机构没有任何联系。</w:t>
      </w:r>
    </w:p>
    <w:p w14:paraId="57436794">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5</w:t>
      </w:r>
      <w:r>
        <w:rPr>
          <w:rFonts w:hAnsiTheme="minorEastAsia" w:eastAsiaTheme="minorEastAsia"/>
          <w:color w:val="auto"/>
          <w:sz w:val="28"/>
          <w:szCs w:val="28"/>
        </w:rPr>
        <w:t>、响应文件自提交之日起有效期为</w:t>
      </w:r>
      <w:r>
        <w:rPr>
          <w:rFonts w:eastAsiaTheme="minorEastAsia"/>
          <w:color w:val="auto"/>
          <w:sz w:val="28"/>
          <w:szCs w:val="28"/>
        </w:rPr>
        <w:t>90</w:t>
      </w:r>
      <w:r>
        <w:rPr>
          <w:rFonts w:hAnsiTheme="minorEastAsia" w:eastAsiaTheme="minorEastAsia"/>
          <w:color w:val="auto"/>
          <w:sz w:val="28"/>
          <w:szCs w:val="28"/>
        </w:rPr>
        <w:t>天。</w:t>
      </w:r>
    </w:p>
    <w:p w14:paraId="5DC36B25">
      <w:pPr>
        <w:snapToGrid w:val="0"/>
        <w:spacing w:line="460" w:lineRule="exact"/>
        <w:ind w:firstLine="548" w:firstLineChars="196"/>
        <w:rPr>
          <w:rFonts w:eastAsiaTheme="minorEastAsia"/>
          <w:color w:val="auto"/>
          <w:sz w:val="28"/>
          <w:szCs w:val="28"/>
        </w:rPr>
      </w:pPr>
      <w:r>
        <w:rPr>
          <w:rFonts w:eastAsiaTheme="minorEastAsia"/>
          <w:color w:val="auto"/>
          <w:sz w:val="28"/>
          <w:szCs w:val="28"/>
        </w:rPr>
        <w:t>6</w:t>
      </w:r>
      <w:r>
        <w:rPr>
          <w:rFonts w:hAnsiTheme="minorEastAsia" w:eastAsiaTheme="minorEastAsia"/>
          <w:color w:val="auto"/>
          <w:sz w:val="28"/>
          <w:szCs w:val="28"/>
        </w:rPr>
        <w:t>、我方参与本项目前</w:t>
      </w:r>
      <w:r>
        <w:rPr>
          <w:rFonts w:eastAsiaTheme="minorEastAsia"/>
          <w:color w:val="auto"/>
          <w:sz w:val="28"/>
          <w:szCs w:val="28"/>
        </w:rPr>
        <w:t>3</w:t>
      </w:r>
      <w:r>
        <w:rPr>
          <w:rFonts w:hAnsiTheme="minorEastAsia" w:eastAsiaTheme="minorEastAsia"/>
          <w:color w:val="auto"/>
          <w:sz w:val="28"/>
          <w:szCs w:val="28"/>
        </w:rPr>
        <w:t>年内的经营活动中没有重大违法记录。</w:t>
      </w:r>
    </w:p>
    <w:p w14:paraId="50ABF84C">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7</w:t>
      </w:r>
      <w:r>
        <w:rPr>
          <w:rFonts w:hAnsiTheme="minorEastAsia" w:eastAsiaTheme="minorEastAsia"/>
          <w:color w:val="auto"/>
          <w:sz w:val="28"/>
          <w:szCs w:val="28"/>
        </w:rPr>
        <w:t>、我方通过</w:t>
      </w:r>
      <w:r>
        <w:rPr>
          <w:rFonts w:eastAsiaTheme="minorEastAsia"/>
          <w:color w:val="auto"/>
          <w:sz w:val="28"/>
          <w:szCs w:val="28"/>
        </w:rPr>
        <w:t>“</w:t>
      </w:r>
      <w:r>
        <w:rPr>
          <w:rFonts w:hAnsiTheme="minorEastAsia" w:eastAsiaTheme="minorEastAsia"/>
          <w:color w:val="auto"/>
          <w:sz w:val="28"/>
          <w:szCs w:val="28"/>
        </w:rPr>
        <w:t>信用中国</w:t>
      </w:r>
      <w:r>
        <w:rPr>
          <w:rFonts w:eastAsiaTheme="minorEastAsia"/>
          <w:color w:val="auto"/>
          <w:sz w:val="28"/>
          <w:szCs w:val="28"/>
        </w:rPr>
        <w:t>”</w:t>
      </w:r>
      <w:r>
        <w:rPr>
          <w:rFonts w:hAnsiTheme="minorEastAsia" w:eastAsiaTheme="minorEastAsia"/>
          <w:color w:val="auto"/>
          <w:sz w:val="28"/>
          <w:szCs w:val="28"/>
        </w:rPr>
        <w:t>网站（</w:t>
      </w:r>
      <w:r>
        <w:rPr>
          <w:rFonts w:eastAsiaTheme="minorEastAsia"/>
          <w:color w:val="auto"/>
          <w:sz w:val="28"/>
          <w:szCs w:val="28"/>
        </w:rPr>
        <w:t>www.creditchina.gov.cn</w:t>
      </w:r>
      <w:r>
        <w:rPr>
          <w:rFonts w:hAnsiTheme="minorEastAsia" w:eastAsiaTheme="minorEastAsia"/>
          <w:color w:val="auto"/>
          <w:sz w:val="28"/>
          <w:szCs w:val="28"/>
        </w:rPr>
        <w:t>）查询，未被列入失信被执行人、重大税收违法案件当事人名单、政府采购严重违法失信行为记录名单。</w:t>
      </w:r>
    </w:p>
    <w:p w14:paraId="3C062C7B">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8</w:t>
      </w:r>
      <w:r>
        <w:rPr>
          <w:rFonts w:hAnsiTheme="minorEastAsia" w:eastAsiaTheme="minorEastAsia"/>
          <w:color w:val="auto"/>
          <w:sz w:val="28"/>
          <w:szCs w:val="28"/>
        </w:rPr>
        <w:t>、以上事项如有虚假或隐瞒，我方愿意承担一切后果，并不再寻求任何旨在减轻或免除法律责任的辩解。</w:t>
      </w:r>
    </w:p>
    <w:p w14:paraId="5A07CE53">
      <w:pPr>
        <w:snapToGrid w:val="0"/>
        <w:spacing w:beforeLines="50" w:after="50" w:line="460" w:lineRule="exact"/>
        <w:ind w:firstLine="560" w:firstLineChars="200"/>
        <w:rPr>
          <w:rFonts w:eastAsiaTheme="minorEastAsia"/>
          <w:color w:val="auto"/>
          <w:sz w:val="28"/>
          <w:szCs w:val="28"/>
        </w:rPr>
      </w:pPr>
    </w:p>
    <w:p w14:paraId="67B1DAAE">
      <w:pPr>
        <w:snapToGrid w:val="0"/>
        <w:spacing w:beforeLines="50" w:after="50" w:line="460" w:lineRule="exact"/>
        <w:ind w:right="600" w:firstLine="140" w:firstLineChars="50"/>
        <w:rPr>
          <w:rFonts w:eastAsiaTheme="minorEastAsia"/>
          <w:color w:val="auto"/>
          <w:sz w:val="28"/>
          <w:szCs w:val="28"/>
          <w:u w:val="single"/>
        </w:rPr>
      </w:pPr>
      <w:r>
        <w:rPr>
          <w:rFonts w:hAnsiTheme="minorEastAsia" w:eastAsiaTheme="minorEastAsia"/>
          <w:color w:val="auto"/>
          <w:sz w:val="28"/>
          <w:szCs w:val="28"/>
        </w:rPr>
        <w:t>法定代表人签名（或签名章）：日期：</w:t>
      </w:r>
    </w:p>
    <w:p w14:paraId="6BBAFEB5">
      <w:pPr>
        <w:snapToGrid w:val="0"/>
        <w:spacing w:beforeLines="50" w:line="460" w:lineRule="exact"/>
        <w:ind w:firstLine="200"/>
        <w:rPr>
          <w:rFonts w:eastAsiaTheme="minorEastAsia"/>
          <w:color w:val="auto"/>
          <w:sz w:val="28"/>
          <w:szCs w:val="28"/>
          <w:u w:val="single"/>
        </w:rPr>
      </w:pPr>
    </w:p>
    <w:p w14:paraId="03A70044">
      <w:pPr>
        <w:snapToGrid w:val="0"/>
        <w:spacing w:beforeLines="50" w:after="50" w:line="460" w:lineRule="exact"/>
        <w:ind w:firstLine="140" w:firstLineChars="50"/>
        <w:rPr>
          <w:rFonts w:eastAsiaTheme="minorEastAsia"/>
          <w:color w:val="auto"/>
          <w:sz w:val="28"/>
          <w:szCs w:val="28"/>
        </w:rPr>
      </w:pPr>
      <w:r>
        <w:rPr>
          <w:rFonts w:hint="eastAsia" w:hAnsiTheme="minorEastAsia" w:eastAsiaTheme="minorEastAsia"/>
          <w:color w:val="auto"/>
          <w:sz w:val="28"/>
          <w:szCs w:val="28"/>
        </w:rPr>
        <w:t>供应商</w:t>
      </w:r>
      <w:r>
        <w:rPr>
          <w:rFonts w:hAnsiTheme="minorEastAsia" w:eastAsiaTheme="minorEastAsia"/>
          <w:color w:val="auto"/>
          <w:sz w:val="28"/>
          <w:szCs w:val="28"/>
        </w:rPr>
        <w:t>全称（公章）：</w:t>
      </w:r>
    </w:p>
    <w:p w14:paraId="1373F0B6">
      <w:pPr>
        <w:snapToGrid w:val="0"/>
        <w:spacing w:beforeLines="50" w:after="50" w:line="460" w:lineRule="exact"/>
        <w:rPr>
          <w:rFonts w:hAnsi="仿宋" w:eastAsia="仿宋"/>
          <w:color w:val="auto"/>
          <w:sz w:val="30"/>
          <w:szCs w:val="30"/>
        </w:rPr>
      </w:pPr>
    </w:p>
    <w:p w14:paraId="6BD50AB0">
      <w:pPr>
        <w:snapToGrid w:val="0"/>
        <w:spacing w:beforeLines="50" w:after="50" w:line="460" w:lineRule="exact"/>
        <w:rPr>
          <w:rFonts w:eastAsia="仿宋"/>
          <w:color w:val="auto"/>
          <w:sz w:val="30"/>
          <w:szCs w:val="30"/>
        </w:rPr>
      </w:pPr>
      <w:r>
        <w:rPr>
          <w:rFonts w:hAnsi="仿宋" w:eastAsia="仿宋"/>
          <w:color w:val="auto"/>
          <w:sz w:val="30"/>
          <w:szCs w:val="30"/>
        </w:rPr>
        <w:t>附件</w:t>
      </w:r>
      <w:r>
        <w:rPr>
          <w:rFonts w:hint="eastAsia" w:hAnsi="仿宋" w:eastAsia="仿宋"/>
          <w:color w:val="auto"/>
          <w:sz w:val="30"/>
          <w:szCs w:val="30"/>
        </w:rPr>
        <w:t>3</w:t>
      </w:r>
      <w:r>
        <w:rPr>
          <w:rFonts w:hAnsi="仿宋" w:eastAsia="仿宋"/>
          <w:color w:val="auto"/>
          <w:sz w:val="30"/>
          <w:szCs w:val="30"/>
        </w:rPr>
        <w:t>：</w:t>
      </w:r>
    </w:p>
    <w:p w14:paraId="07EDEAA8">
      <w:pPr>
        <w:snapToGrid w:val="0"/>
        <w:spacing w:before="50" w:after="50"/>
        <w:jc w:val="center"/>
        <w:rPr>
          <w:rFonts w:eastAsia="仿宋"/>
          <w:b/>
          <w:color w:val="auto"/>
          <w:sz w:val="36"/>
          <w:szCs w:val="36"/>
        </w:rPr>
      </w:pPr>
      <w:r>
        <w:rPr>
          <w:rFonts w:hAnsi="仿宋" w:eastAsia="仿宋"/>
          <w:b/>
          <w:color w:val="auto"/>
          <w:sz w:val="36"/>
          <w:szCs w:val="36"/>
        </w:rPr>
        <w:t>法定代表人授权委托书</w:t>
      </w:r>
    </w:p>
    <w:p w14:paraId="5A4186B7">
      <w:pPr>
        <w:snapToGrid w:val="0"/>
        <w:spacing w:beforeLines="50" w:after="50"/>
        <w:rPr>
          <w:rFonts w:eastAsia="仿宋"/>
          <w:b/>
          <w:color w:val="auto"/>
          <w:sz w:val="30"/>
          <w:szCs w:val="30"/>
        </w:rPr>
      </w:pPr>
    </w:p>
    <w:p w14:paraId="4741633E">
      <w:pPr>
        <w:snapToGrid w:val="0"/>
        <w:spacing w:beforeLines="50" w:after="50" w:line="460" w:lineRule="exact"/>
        <w:rPr>
          <w:rFonts w:eastAsia="仿宋"/>
          <w:b/>
          <w:bCs/>
          <w:color w:val="auto"/>
          <w:sz w:val="30"/>
          <w:szCs w:val="30"/>
        </w:rPr>
      </w:pPr>
      <w:r>
        <w:rPr>
          <w:rFonts w:hAnsi="仿宋" w:eastAsia="仿宋"/>
          <w:bCs/>
          <w:color w:val="auto"/>
          <w:sz w:val="30"/>
          <w:szCs w:val="30"/>
        </w:rPr>
        <w:t>浙江大学医学院附属妇产科医院：</w:t>
      </w:r>
    </w:p>
    <w:p w14:paraId="22DB19CE">
      <w:pPr>
        <w:snapToGrid w:val="0"/>
        <w:spacing w:beforeLines="50" w:after="50" w:line="460" w:lineRule="exact"/>
        <w:ind w:firstLine="900" w:firstLineChars="300"/>
        <w:rPr>
          <w:rFonts w:eastAsia="仿宋"/>
          <w:color w:val="auto"/>
          <w:sz w:val="30"/>
          <w:szCs w:val="30"/>
        </w:rPr>
      </w:pPr>
      <w:r>
        <w:rPr>
          <w:rFonts w:hAnsi="仿宋" w:eastAsia="仿宋"/>
          <w:color w:val="auto"/>
          <w:sz w:val="30"/>
          <w:szCs w:val="30"/>
        </w:rPr>
        <w:t>我（姓名）系（供应商名称）的法定代表人，现授权委托本单位在职职工（姓名）为授权代表，以我方的名义参加项目编号：项目名称</w:t>
      </w:r>
      <w:r>
        <w:rPr>
          <w:rFonts w:hAnsi="仿宋" w:eastAsia="仿宋"/>
          <w:color w:val="auto"/>
          <w:sz w:val="30"/>
          <w:szCs w:val="30"/>
          <w:u w:val="single"/>
        </w:rPr>
        <w:t>：</w:t>
      </w:r>
      <w:r>
        <w:rPr>
          <w:rFonts w:hAnsi="仿宋" w:eastAsia="仿宋"/>
          <w:color w:val="auto"/>
          <w:sz w:val="30"/>
          <w:szCs w:val="30"/>
        </w:rPr>
        <w:t>项目的活动，并代表我方全权办理针对上述项目的具体事务签署相关文件。我方对授权代表的签名事项负全部责任。</w:t>
      </w:r>
    </w:p>
    <w:p w14:paraId="4147D4C6">
      <w:pPr>
        <w:snapToGrid w:val="0"/>
        <w:spacing w:beforeLines="50" w:after="50" w:line="460" w:lineRule="exact"/>
        <w:ind w:firstLine="480"/>
        <w:rPr>
          <w:rFonts w:eastAsia="仿宋"/>
          <w:color w:val="auto"/>
          <w:sz w:val="30"/>
          <w:szCs w:val="30"/>
        </w:rPr>
      </w:pPr>
      <w:r>
        <w:rPr>
          <w:rFonts w:hAnsi="仿宋" w:eastAsia="仿宋"/>
          <w:color w:val="auto"/>
          <w:sz w:val="30"/>
          <w:szCs w:val="30"/>
        </w:rPr>
        <w:t>在撤销授权的书面通知以前，本授权书一直有效。授权代表在授权书有效期内签署的所有文件不因授权的撤销而失效。</w:t>
      </w:r>
    </w:p>
    <w:p w14:paraId="11692341">
      <w:pPr>
        <w:snapToGrid w:val="0"/>
        <w:spacing w:beforeLines="50" w:after="50" w:line="460" w:lineRule="exact"/>
        <w:ind w:firstLine="480"/>
        <w:rPr>
          <w:rFonts w:eastAsia="仿宋"/>
          <w:color w:val="auto"/>
          <w:sz w:val="30"/>
          <w:szCs w:val="30"/>
        </w:rPr>
      </w:pPr>
      <w:r>
        <w:rPr>
          <w:rFonts w:hAnsi="仿宋" w:eastAsia="仿宋"/>
          <w:color w:val="auto"/>
          <w:sz w:val="30"/>
          <w:szCs w:val="30"/>
        </w:rPr>
        <w:t>授权代表无转委托权，特此委托。</w:t>
      </w:r>
    </w:p>
    <w:p w14:paraId="2B1BA8D9">
      <w:pPr>
        <w:snapToGrid w:val="0"/>
        <w:spacing w:beforeLines="50" w:after="50" w:line="460" w:lineRule="exact"/>
        <w:ind w:firstLine="480"/>
        <w:rPr>
          <w:rFonts w:eastAsia="仿宋"/>
          <w:color w:val="auto"/>
          <w:sz w:val="30"/>
          <w:szCs w:val="30"/>
        </w:rPr>
      </w:pPr>
    </w:p>
    <w:p w14:paraId="7098FC18">
      <w:pPr>
        <w:snapToGrid w:val="0"/>
        <w:spacing w:beforeLines="50" w:after="50" w:line="460" w:lineRule="exact"/>
        <w:ind w:firstLine="480"/>
        <w:rPr>
          <w:rFonts w:eastAsia="仿宋"/>
          <w:color w:val="auto"/>
          <w:sz w:val="30"/>
          <w:szCs w:val="30"/>
        </w:rPr>
      </w:pPr>
    </w:p>
    <w:p w14:paraId="3483D1C3">
      <w:pPr>
        <w:snapToGrid w:val="0"/>
        <w:spacing w:beforeLines="50" w:after="50" w:line="460" w:lineRule="exact"/>
        <w:rPr>
          <w:rFonts w:eastAsia="仿宋"/>
          <w:color w:val="auto"/>
          <w:sz w:val="30"/>
          <w:szCs w:val="30"/>
        </w:rPr>
      </w:pPr>
      <w:r>
        <w:rPr>
          <w:rFonts w:hAnsi="仿宋" w:eastAsia="仿宋"/>
          <w:color w:val="auto"/>
          <w:sz w:val="30"/>
          <w:szCs w:val="30"/>
        </w:rPr>
        <w:t>授权代表签名：职务：</w:t>
      </w:r>
    </w:p>
    <w:p w14:paraId="4E34D85A">
      <w:pPr>
        <w:snapToGrid w:val="0"/>
        <w:spacing w:beforeLines="50" w:after="50" w:line="460" w:lineRule="exact"/>
        <w:rPr>
          <w:rFonts w:eastAsia="仿宋"/>
          <w:color w:val="auto"/>
          <w:sz w:val="30"/>
          <w:szCs w:val="30"/>
        </w:rPr>
      </w:pPr>
      <w:r>
        <w:rPr>
          <w:rFonts w:hAnsi="仿宋" w:eastAsia="仿宋"/>
          <w:color w:val="auto"/>
          <w:sz w:val="30"/>
          <w:szCs w:val="30"/>
        </w:rPr>
        <w:t>授权代表身份证号码：</w:t>
      </w:r>
    </w:p>
    <w:p w14:paraId="0EA325A1">
      <w:pPr>
        <w:snapToGrid w:val="0"/>
        <w:spacing w:beforeLines="50" w:after="50" w:line="460" w:lineRule="exact"/>
        <w:rPr>
          <w:rFonts w:eastAsia="仿宋"/>
          <w:color w:val="auto"/>
          <w:sz w:val="30"/>
          <w:szCs w:val="30"/>
        </w:rPr>
      </w:pPr>
      <w:r>
        <w:rPr>
          <w:rFonts w:hAnsi="仿宋" w:eastAsia="仿宋"/>
          <w:color w:val="auto"/>
          <w:sz w:val="30"/>
          <w:szCs w:val="30"/>
        </w:rPr>
        <w:t>授权代表联系手机：</w:t>
      </w:r>
    </w:p>
    <w:p w14:paraId="4D45F749">
      <w:pPr>
        <w:snapToGrid w:val="0"/>
        <w:spacing w:beforeLines="50" w:after="50" w:line="460" w:lineRule="exact"/>
        <w:rPr>
          <w:rFonts w:eastAsia="仿宋"/>
          <w:color w:val="auto"/>
          <w:sz w:val="30"/>
          <w:szCs w:val="30"/>
        </w:rPr>
      </w:pPr>
      <w:r>
        <w:rPr>
          <w:rFonts w:hAnsi="仿宋" w:eastAsia="仿宋"/>
          <w:color w:val="auto"/>
          <w:sz w:val="30"/>
          <w:szCs w:val="30"/>
        </w:rPr>
        <w:t>法定代表人签名（或签名章）：职务：</w:t>
      </w:r>
    </w:p>
    <w:p w14:paraId="615E26E6">
      <w:pPr>
        <w:snapToGrid w:val="0"/>
        <w:spacing w:beforeLines="50" w:after="50" w:line="460" w:lineRule="exact"/>
        <w:rPr>
          <w:rFonts w:eastAsia="仿宋"/>
          <w:color w:val="auto"/>
          <w:sz w:val="30"/>
          <w:szCs w:val="30"/>
        </w:rPr>
      </w:pPr>
    </w:p>
    <w:p w14:paraId="0541BA5D">
      <w:pPr>
        <w:snapToGrid w:val="0"/>
        <w:spacing w:beforeLines="50" w:after="50" w:line="460" w:lineRule="exact"/>
        <w:rPr>
          <w:rFonts w:eastAsia="仿宋"/>
          <w:color w:val="auto"/>
          <w:sz w:val="30"/>
          <w:szCs w:val="30"/>
        </w:rPr>
      </w:pPr>
    </w:p>
    <w:p w14:paraId="08B22474">
      <w:pPr>
        <w:snapToGrid w:val="0"/>
        <w:spacing w:beforeLines="50" w:after="50" w:line="460" w:lineRule="exact"/>
        <w:ind w:firstLine="6150" w:firstLineChars="2050"/>
        <w:rPr>
          <w:rFonts w:eastAsia="仿宋"/>
          <w:color w:val="auto"/>
          <w:sz w:val="30"/>
          <w:szCs w:val="30"/>
        </w:rPr>
      </w:pPr>
    </w:p>
    <w:p w14:paraId="77717F39">
      <w:pPr>
        <w:snapToGrid w:val="0"/>
        <w:spacing w:beforeLines="50" w:after="50" w:line="460" w:lineRule="exact"/>
        <w:rPr>
          <w:rFonts w:eastAsia="仿宋"/>
          <w:color w:val="auto"/>
          <w:sz w:val="30"/>
          <w:szCs w:val="30"/>
          <w:u w:val="single"/>
        </w:rPr>
      </w:pPr>
      <w:r>
        <w:rPr>
          <w:rFonts w:hAnsi="仿宋" w:eastAsia="仿宋"/>
          <w:color w:val="auto"/>
          <w:sz w:val="30"/>
          <w:szCs w:val="30"/>
        </w:rPr>
        <w:t>供应商全称（公章）：日期：</w:t>
      </w:r>
    </w:p>
    <w:p w14:paraId="7879F91F">
      <w:pPr>
        <w:pStyle w:val="39"/>
        <w:spacing w:line="360" w:lineRule="auto"/>
        <w:jc w:val="both"/>
        <w:rPr>
          <w:color w:val="auto"/>
          <w:sz w:val="21"/>
          <w:szCs w:val="21"/>
        </w:rPr>
      </w:pPr>
    </w:p>
    <w:p w14:paraId="269E10CA">
      <w:pPr>
        <w:pStyle w:val="39"/>
        <w:spacing w:line="360" w:lineRule="auto"/>
        <w:jc w:val="both"/>
        <w:rPr>
          <w:color w:val="auto"/>
          <w:sz w:val="21"/>
          <w:szCs w:val="21"/>
        </w:rPr>
      </w:pPr>
    </w:p>
    <w:p w14:paraId="4E2CA3B1">
      <w:pPr>
        <w:pStyle w:val="39"/>
        <w:spacing w:line="360" w:lineRule="auto"/>
        <w:jc w:val="both"/>
        <w:rPr>
          <w:color w:val="auto"/>
          <w:sz w:val="21"/>
          <w:szCs w:val="21"/>
        </w:rPr>
      </w:pPr>
    </w:p>
    <w:p w14:paraId="000261E7">
      <w:pPr>
        <w:snapToGrid w:val="0"/>
        <w:spacing w:beforeLines="50" w:after="50" w:line="460" w:lineRule="exact"/>
        <w:rPr>
          <w:rFonts w:eastAsia="仿宋"/>
          <w:color w:val="auto"/>
          <w:sz w:val="30"/>
          <w:szCs w:val="30"/>
        </w:rPr>
      </w:pPr>
      <w:r>
        <w:rPr>
          <w:rFonts w:hAnsi="仿宋" w:eastAsia="仿宋"/>
          <w:color w:val="auto"/>
          <w:sz w:val="30"/>
          <w:szCs w:val="30"/>
        </w:rPr>
        <w:t>附件</w:t>
      </w:r>
      <w:r>
        <w:rPr>
          <w:rFonts w:hint="eastAsia" w:hAnsi="仿宋" w:eastAsia="仿宋"/>
          <w:color w:val="auto"/>
          <w:sz w:val="30"/>
          <w:szCs w:val="30"/>
        </w:rPr>
        <w:t>4</w:t>
      </w:r>
      <w:r>
        <w:rPr>
          <w:rFonts w:hAnsi="仿宋" w:eastAsia="仿宋"/>
          <w:color w:val="auto"/>
          <w:sz w:val="30"/>
          <w:szCs w:val="30"/>
        </w:rPr>
        <w:t>：</w:t>
      </w:r>
    </w:p>
    <w:p w14:paraId="6886FD11">
      <w:pPr>
        <w:jc w:val="center"/>
        <w:rPr>
          <w:b/>
          <w:color w:val="auto"/>
          <w:sz w:val="36"/>
          <w:szCs w:val="36"/>
        </w:rPr>
      </w:pPr>
      <w:r>
        <w:rPr>
          <w:b/>
          <w:color w:val="auto"/>
          <w:sz w:val="36"/>
          <w:szCs w:val="36"/>
        </w:rPr>
        <w:t>技术响应表</w:t>
      </w:r>
    </w:p>
    <w:p w14:paraId="5EA571CD">
      <w:pPr>
        <w:rPr>
          <w:color w:val="auto"/>
          <w:sz w:val="32"/>
          <w:szCs w:val="32"/>
          <w:u w:val="single"/>
        </w:rPr>
      </w:pPr>
      <w:r>
        <w:rPr>
          <w:color w:val="auto"/>
          <w:sz w:val="32"/>
          <w:szCs w:val="32"/>
        </w:rPr>
        <w:t>供应商全称（公章）：</w:t>
      </w:r>
    </w:p>
    <w:tbl>
      <w:tblPr>
        <w:tblStyle w:val="21"/>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5"/>
        <w:gridCol w:w="3430"/>
        <w:gridCol w:w="1956"/>
      </w:tblGrid>
      <w:tr w14:paraId="03E8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79154F61">
            <w:pPr>
              <w:jc w:val="center"/>
              <w:rPr>
                <w:rFonts w:asciiTheme="minorEastAsia" w:hAnsiTheme="minorEastAsia" w:eastAsiaTheme="minorEastAsia"/>
                <w:b/>
                <w:color w:val="auto"/>
                <w:sz w:val="28"/>
                <w:szCs w:val="28"/>
              </w:rPr>
            </w:pPr>
            <w:r>
              <w:rPr>
                <w:rFonts w:asciiTheme="minorEastAsia" w:hAnsiTheme="minorEastAsia" w:eastAsiaTheme="minorEastAsia"/>
                <w:b/>
                <w:color w:val="auto"/>
                <w:sz w:val="28"/>
                <w:szCs w:val="28"/>
              </w:rPr>
              <w:t>采购文件要求</w:t>
            </w: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168F5DBC">
            <w:pPr>
              <w:jc w:val="center"/>
              <w:rPr>
                <w:rFonts w:asciiTheme="minorEastAsia" w:hAnsiTheme="minorEastAsia" w:eastAsiaTheme="minorEastAsia"/>
                <w:b/>
                <w:color w:val="auto"/>
                <w:sz w:val="28"/>
                <w:szCs w:val="28"/>
              </w:rPr>
            </w:pPr>
            <w:r>
              <w:rPr>
                <w:rFonts w:asciiTheme="minorEastAsia" w:hAnsiTheme="minorEastAsia" w:eastAsiaTheme="minorEastAsia"/>
                <w:b/>
                <w:color w:val="auto"/>
                <w:sz w:val="28"/>
                <w:szCs w:val="28"/>
              </w:rPr>
              <w:t>响应情况</w:t>
            </w: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4BBC8AEB">
            <w:pPr>
              <w:jc w:val="center"/>
              <w:rPr>
                <w:rFonts w:asciiTheme="minorEastAsia" w:hAnsiTheme="minorEastAsia" w:eastAsiaTheme="minorEastAsia"/>
                <w:b/>
                <w:color w:val="auto"/>
                <w:sz w:val="28"/>
                <w:szCs w:val="28"/>
              </w:rPr>
            </w:pPr>
            <w:r>
              <w:rPr>
                <w:rFonts w:asciiTheme="minorEastAsia" w:hAnsiTheme="minorEastAsia" w:eastAsiaTheme="minorEastAsia"/>
                <w:b/>
                <w:color w:val="auto"/>
                <w:sz w:val="28"/>
                <w:szCs w:val="28"/>
              </w:rPr>
              <w:t>偏离情况</w:t>
            </w:r>
          </w:p>
        </w:tc>
      </w:tr>
      <w:tr w14:paraId="3AB8F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36F16208">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2A185527">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1D0775EF">
            <w:pPr>
              <w:jc w:val="center"/>
              <w:rPr>
                <w:rFonts w:asciiTheme="minorEastAsia" w:hAnsiTheme="minorEastAsia" w:eastAsiaTheme="minorEastAsia"/>
                <w:b/>
                <w:color w:val="auto"/>
                <w:sz w:val="28"/>
                <w:szCs w:val="28"/>
              </w:rPr>
            </w:pPr>
          </w:p>
        </w:tc>
      </w:tr>
      <w:tr w14:paraId="38FF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010A1BA7">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56BE2932">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74EE76EA">
            <w:pPr>
              <w:jc w:val="center"/>
              <w:rPr>
                <w:rFonts w:asciiTheme="minorEastAsia" w:hAnsiTheme="minorEastAsia" w:eastAsiaTheme="minorEastAsia"/>
                <w:b/>
                <w:color w:val="auto"/>
                <w:sz w:val="28"/>
                <w:szCs w:val="28"/>
              </w:rPr>
            </w:pPr>
          </w:p>
        </w:tc>
      </w:tr>
      <w:tr w14:paraId="7665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28B9CE18">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6E92BE71">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1D236107">
            <w:pPr>
              <w:jc w:val="center"/>
              <w:rPr>
                <w:rFonts w:asciiTheme="minorEastAsia" w:hAnsiTheme="minorEastAsia" w:eastAsiaTheme="minorEastAsia"/>
                <w:b/>
                <w:color w:val="auto"/>
                <w:sz w:val="28"/>
                <w:szCs w:val="28"/>
              </w:rPr>
            </w:pPr>
          </w:p>
        </w:tc>
      </w:tr>
      <w:tr w14:paraId="73A0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203B521D">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252C47E6">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5BA5C2AF">
            <w:pPr>
              <w:jc w:val="center"/>
              <w:rPr>
                <w:rFonts w:asciiTheme="minorEastAsia" w:hAnsiTheme="minorEastAsia" w:eastAsiaTheme="minorEastAsia"/>
                <w:b/>
                <w:color w:val="auto"/>
                <w:sz w:val="28"/>
                <w:szCs w:val="28"/>
              </w:rPr>
            </w:pPr>
          </w:p>
        </w:tc>
      </w:tr>
      <w:tr w14:paraId="7581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4C7D9E79">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11010645">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62D625E2">
            <w:pPr>
              <w:jc w:val="center"/>
              <w:rPr>
                <w:rFonts w:asciiTheme="minorEastAsia" w:hAnsiTheme="minorEastAsia" w:eastAsiaTheme="minorEastAsia"/>
                <w:b/>
                <w:color w:val="auto"/>
                <w:sz w:val="28"/>
                <w:szCs w:val="28"/>
              </w:rPr>
            </w:pPr>
          </w:p>
        </w:tc>
      </w:tr>
      <w:tr w14:paraId="1D2D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21F11F85">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0E13C31F">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597A6893">
            <w:pPr>
              <w:jc w:val="center"/>
              <w:rPr>
                <w:rFonts w:asciiTheme="minorEastAsia" w:hAnsiTheme="minorEastAsia" w:eastAsiaTheme="minorEastAsia"/>
                <w:b/>
                <w:color w:val="auto"/>
                <w:sz w:val="28"/>
                <w:szCs w:val="28"/>
              </w:rPr>
            </w:pPr>
          </w:p>
        </w:tc>
      </w:tr>
      <w:tr w14:paraId="4E3A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6D893711">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7374C047">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1A3955E3">
            <w:pPr>
              <w:jc w:val="center"/>
              <w:rPr>
                <w:rFonts w:asciiTheme="minorEastAsia" w:hAnsiTheme="minorEastAsia" w:eastAsiaTheme="minorEastAsia"/>
                <w:b/>
                <w:color w:val="auto"/>
                <w:sz w:val="28"/>
                <w:szCs w:val="28"/>
              </w:rPr>
            </w:pPr>
          </w:p>
        </w:tc>
      </w:tr>
      <w:tr w14:paraId="7AAE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6E1F3842">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0CD52FAA">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2D8A27D5">
            <w:pPr>
              <w:jc w:val="center"/>
              <w:rPr>
                <w:rFonts w:asciiTheme="minorEastAsia" w:hAnsiTheme="minorEastAsia" w:eastAsiaTheme="minorEastAsia"/>
                <w:b/>
                <w:color w:val="auto"/>
                <w:sz w:val="28"/>
                <w:szCs w:val="28"/>
              </w:rPr>
            </w:pPr>
          </w:p>
        </w:tc>
      </w:tr>
      <w:tr w14:paraId="112E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69C28938">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549564D5">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5BF213D2">
            <w:pPr>
              <w:jc w:val="center"/>
              <w:rPr>
                <w:rFonts w:asciiTheme="minorEastAsia" w:hAnsiTheme="minorEastAsia" w:eastAsiaTheme="minorEastAsia"/>
                <w:b/>
                <w:color w:val="auto"/>
                <w:sz w:val="28"/>
                <w:szCs w:val="28"/>
              </w:rPr>
            </w:pPr>
          </w:p>
        </w:tc>
      </w:tr>
      <w:tr w14:paraId="369D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463614FA">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2BB4C2BD">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28904D50">
            <w:pPr>
              <w:jc w:val="center"/>
              <w:rPr>
                <w:rFonts w:asciiTheme="minorEastAsia" w:hAnsiTheme="minorEastAsia" w:eastAsiaTheme="minorEastAsia"/>
                <w:b/>
                <w:color w:val="auto"/>
                <w:sz w:val="28"/>
                <w:szCs w:val="28"/>
              </w:rPr>
            </w:pPr>
          </w:p>
        </w:tc>
      </w:tr>
      <w:tr w14:paraId="1119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2403304E">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3C40437D">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2203A1AE">
            <w:pPr>
              <w:jc w:val="center"/>
              <w:rPr>
                <w:rFonts w:asciiTheme="minorEastAsia" w:hAnsiTheme="minorEastAsia" w:eastAsiaTheme="minorEastAsia"/>
                <w:b/>
                <w:color w:val="auto"/>
                <w:sz w:val="28"/>
                <w:szCs w:val="28"/>
              </w:rPr>
            </w:pPr>
          </w:p>
        </w:tc>
      </w:tr>
      <w:tr w14:paraId="7AA6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0A25D6B2">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331889B2">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4064B296">
            <w:pPr>
              <w:jc w:val="center"/>
              <w:rPr>
                <w:rFonts w:asciiTheme="minorEastAsia" w:hAnsiTheme="minorEastAsia" w:eastAsiaTheme="minorEastAsia"/>
                <w:b/>
                <w:color w:val="auto"/>
                <w:sz w:val="28"/>
                <w:szCs w:val="28"/>
              </w:rPr>
            </w:pPr>
          </w:p>
        </w:tc>
      </w:tr>
    </w:tbl>
    <w:p w14:paraId="28C66A95">
      <w:pPr>
        <w:rPr>
          <w:color w:val="auto"/>
          <w:sz w:val="32"/>
          <w:szCs w:val="32"/>
          <w:u w:val="single"/>
        </w:rPr>
      </w:pPr>
    </w:p>
    <w:p w14:paraId="7889F6F1">
      <w:pPr>
        <w:rPr>
          <w:color w:val="auto"/>
          <w:sz w:val="32"/>
          <w:szCs w:val="32"/>
        </w:rPr>
      </w:pPr>
    </w:p>
    <w:p w14:paraId="775DE436">
      <w:pPr>
        <w:rPr>
          <w:color w:val="auto"/>
          <w:sz w:val="32"/>
          <w:szCs w:val="32"/>
          <w:u w:val="single"/>
        </w:rPr>
      </w:pPr>
      <w:r>
        <w:rPr>
          <w:color w:val="auto"/>
          <w:sz w:val="32"/>
          <w:szCs w:val="32"/>
        </w:rPr>
        <w:t>授权代表签名及手机：</w:t>
      </w:r>
    </w:p>
    <w:p w14:paraId="7E764AA9">
      <w:pPr>
        <w:rPr>
          <w:color w:val="auto"/>
          <w:sz w:val="32"/>
          <w:szCs w:val="32"/>
          <w:u w:val="single"/>
        </w:rPr>
      </w:pPr>
      <w:r>
        <w:rPr>
          <w:color w:val="auto"/>
          <w:sz w:val="32"/>
          <w:szCs w:val="32"/>
        </w:rPr>
        <w:t>日期：</w:t>
      </w:r>
    </w:p>
    <w:p w14:paraId="0AC5F8F9">
      <w:pPr>
        <w:pStyle w:val="39"/>
        <w:spacing w:line="360" w:lineRule="auto"/>
        <w:jc w:val="both"/>
        <w:rPr>
          <w:color w:val="auto"/>
          <w:sz w:val="21"/>
          <w:szCs w:val="21"/>
        </w:rPr>
      </w:pPr>
    </w:p>
    <w:p w14:paraId="2BB96431">
      <w:pPr>
        <w:pStyle w:val="39"/>
        <w:spacing w:line="360" w:lineRule="auto"/>
        <w:jc w:val="both"/>
        <w:rPr>
          <w:rFonts w:hAnsi="宋体"/>
          <w:color w:val="auto"/>
          <w:sz w:val="21"/>
          <w:szCs w:val="21"/>
        </w:rPr>
      </w:pPr>
      <w:r>
        <w:rPr>
          <w:color w:val="auto"/>
          <w:sz w:val="21"/>
          <w:szCs w:val="21"/>
        </w:rPr>
        <w:t>说明：</w:t>
      </w:r>
      <w:r>
        <w:rPr>
          <w:rFonts w:hAnsi="宋体"/>
          <w:color w:val="auto"/>
          <w:sz w:val="21"/>
          <w:szCs w:val="21"/>
        </w:rPr>
        <w:t>①</w:t>
      </w:r>
      <w:r>
        <w:rPr>
          <w:color w:val="auto"/>
          <w:sz w:val="21"/>
          <w:szCs w:val="21"/>
        </w:rPr>
        <w:t>采购文件要求列第一行填写项目名称，以下填写</w:t>
      </w:r>
      <w:r>
        <w:rPr>
          <w:rFonts w:hint="eastAsia"/>
          <w:b/>
          <w:color w:val="auto"/>
          <w:sz w:val="21"/>
          <w:szCs w:val="21"/>
        </w:rPr>
        <w:t>总体</w:t>
      </w:r>
      <w:r>
        <w:rPr>
          <w:b/>
          <w:color w:val="auto"/>
          <w:sz w:val="21"/>
          <w:szCs w:val="21"/>
        </w:rPr>
        <w:t>要求和</w:t>
      </w:r>
      <w:r>
        <w:rPr>
          <w:rFonts w:hint="eastAsia"/>
          <w:b/>
          <w:color w:val="auto"/>
          <w:sz w:val="21"/>
          <w:szCs w:val="21"/>
        </w:rPr>
        <w:t>采购内容</w:t>
      </w:r>
      <w:r>
        <w:rPr>
          <w:b/>
          <w:color w:val="auto"/>
          <w:sz w:val="21"/>
          <w:szCs w:val="21"/>
        </w:rPr>
        <w:t>技术要求</w:t>
      </w:r>
      <w:r>
        <w:rPr>
          <w:color w:val="auto"/>
          <w:sz w:val="21"/>
          <w:szCs w:val="21"/>
        </w:rPr>
        <w:t>。</w:t>
      </w:r>
      <w:r>
        <w:rPr>
          <w:rFonts w:hAnsi="宋体"/>
          <w:color w:val="auto"/>
          <w:sz w:val="21"/>
          <w:szCs w:val="21"/>
        </w:rPr>
        <w:t>②响应情况列</w:t>
      </w:r>
      <w:r>
        <w:rPr>
          <w:rFonts w:hint="eastAsia" w:hAnsi="宋体"/>
          <w:b/>
          <w:color w:val="auto"/>
          <w:sz w:val="21"/>
          <w:szCs w:val="21"/>
        </w:rPr>
        <w:t>如实</w:t>
      </w:r>
      <w:r>
        <w:rPr>
          <w:rFonts w:hAnsi="宋体"/>
          <w:b/>
          <w:color w:val="auto"/>
          <w:sz w:val="21"/>
          <w:szCs w:val="21"/>
        </w:rPr>
        <w:t>填写</w:t>
      </w:r>
      <w:r>
        <w:rPr>
          <w:rFonts w:hAnsi="宋体"/>
          <w:color w:val="auto"/>
          <w:sz w:val="21"/>
          <w:szCs w:val="21"/>
        </w:rPr>
        <w:t>项目响应情况。③注明</w:t>
      </w:r>
      <w:r>
        <w:rPr>
          <w:color w:val="auto"/>
          <w:sz w:val="21"/>
          <w:szCs w:val="21"/>
        </w:rPr>
        <w:t>“</w:t>
      </w:r>
      <w:r>
        <w:rPr>
          <w:rFonts w:hAnsi="宋体"/>
          <w:color w:val="auto"/>
          <w:sz w:val="21"/>
          <w:szCs w:val="21"/>
        </w:rPr>
        <w:t>正偏离</w:t>
      </w:r>
      <w:r>
        <w:rPr>
          <w:color w:val="auto"/>
          <w:sz w:val="21"/>
          <w:szCs w:val="21"/>
        </w:rPr>
        <w:t>”</w:t>
      </w:r>
      <w:r>
        <w:rPr>
          <w:rFonts w:hAnsi="宋体"/>
          <w:color w:val="auto"/>
          <w:sz w:val="21"/>
          <w:szCs w:val="21"/>
        </w:rPr>
        <w:t>、</w:t>
      </w:r>
      <w:r>
        <w:rPr>
          <w:color w:val="auto"/>
          <w:sz w:val="21"/>
          <w:szCs w:val="21"/>
        </w:rPr>
        <w:t>“</w:t>
      </w:r>
      <w:r>
        <w:rPr>
          <w:rFonts w:hAnsi="宋体"/>
          <w:color w:val="auto"/>
          <w:sz w:val="21"/>
          <w:szCs w:val="21"/>
        </w:rPr>
        <w:t>负偏离</w:t>
      </w:r>
      <w:r>
        <w:rPr>
          <w:color w:val="auto"/>
          <w:sz w:val="21"/>
          <w:szCs w:val="21"/>
        </w:rPr>
        <w:t>”</w:t>
      </w:r>
      <w:r>
        <w:rPr>
          <w:rFonts w:hAnsi="宋体"/>
          <w:color w:val="auto"/>
          <w:sz w:val="21"/>
          <w:szCs w:val="21"/>
        </w:rPr>
        <w:t>或</w:t>
      </w:r>
      <w:r>
        <w:rPr>
          <w:color w:val="auto"/>
          <w:sz w:val="21"/>
          <w:szCs w:val="21"/>
        </w:rPr>
        <w:t>“</w:t>
      </w:r>
      <w:r>
        <w:rPr>
          <w:rFonts w:hAnsi="宋体"/>
          <w:color w:val="auto"/>
          <w:sz w:val="21"/>
          <w:szCs w:val="21"/>
        </w:rPr>
        <w:t>无偏离</w:t>
      </w:r>
      <w:r>
        <w:rPr>
          <w:color w:val="auto"/>
          <w:sz w:val="21"/>
          <w:szCs w:val="21"/>
        </w:rPr>
        <w:t>”</w:t>
      </w:r>
      <w:r>
        <w:rPr>
          <w:rFonts w:hAnsi="宋体"/>
          <w:color w:val="auto"/>
          <w:sz w:val="21"/>
          <w:szCs w:val="21"/>
        </w:rPr>
        <w:t>。</w:t>
      </w:r>
    </w:p>
    <w:p w14:paraId="57BE7F20">
      <w:pPr>
        <w:snapToGrid w:val="0"/>
        <w:spacing w:beforeLines="50" w:after="50" w:line="460" w:lineRule="exact"/>
        <w:rPr>
          <w:rFonts w:hAnsi="仿宋" w:eastAsia="仿宋"/>
          <w:color w:val="auto"/>
          <w:sz w:val="30"/>
          <w:szCs w:val="30"/>
        </w:rPr>
      </w:pPr>
    </w:p>
    <w:p w14:paraId="58326B55">
      <w:pPr>
        <w:snapToGrid w:val="0"/>
        <w:spacing w:beforeLines="50" w:after="50" w:line="460" w:lineRule="exact"/>
        <w:rPr>
          <w:rFonts w:eastAsia="仿宋"/>
          <w:color w:val="auto"/>
          <w:sz w:val="30"/>
          <w:szCs w:val="30"/>
        </w:rPr>
      </w:pPr>
      <w:r>
        <w:rPr>
          <w:rFonts w:hAnsi="仿宋" w:eastAsia="仿宋"/>
          <w:color w:val="auto"/>
          <w:sz w:val="30"/>
          <w:szCs w:val="30"/>
        </w:rPr>
        <w:t>附件</w:t>
      </w:r>
      <w:r>
        <w:rPr>
          <w:rFonts w:hint="eastAsia" w:hAnsi="仿宋" w:eastAsia="仿宋"/>
          <w:color w:val="auto"/>
          <w:sz w:val="30"/>
          <w:szCs w:val="30"/>
        </w:rPr>
        <w:t>5</w:t>
      </w:r>
      <w:r>
        <w:rPr>
          <w:rFonts w:hAnsi="仿宋" w:eastAsia="仿宋"/>
          <w:color w:val="auto"/>
          <w:sz w:val="30"/>
          <w:szCs w:val="30"/>
        </w:rPr>
        <w:t>：</w:t>
      </w:r>
    </w:p>
    <w:p w14:paraId="6CA6FF9E">
      <w:pPr>
        <w:jc w:val="center"/>
        <w:rPr>
          <w:b/>
          <w:color w:val="auto"/>
          <w:sz w:val="36"/>
          <w:szCs w:val="36"/>
        </w:rPr>
      </w:pPr>
      <w:r>
        <w:rPr>
          <w:b/>
          <w:color w:val="auto"/>
          <w:sz w:val="36"/>
          <w:szCs w:val="36"/>
        </w:rPr>
        <w:t>报价明细表</w:t>
      </w:r>
    </w:p>
    <w:p w14:paraId="268DA767">
      <w:pPr>
        <w:rPr>
          <w:color w:val="auto"/>
          <w:sz w:val="32"/>
          <w:szCs w:val="32"/>
          <w:u w:val="single"/>
        </w:rPr>
      </w:pPr>
      <w:r>
        <w:rPr>
          <w:color w:val="auto"/>
          <w:sz w:val="32"/>
          <w:szCs w:val="32"/>
        </w:rPr>
        <w:t>供应商全称：</w:t>
      </w:r>
    </w:p>
    <w:p w14:paraId="5B88B55D">
      <w:pPr>
        <w:rPr>
          <w:color w:val="auto"/>
          <w:sz w:val="32"/>
          <w:szCs w:val="32"/>
          <w:u w:val="single"/>
        </w:rPr>
      </w:pPr>
      <w:r>
        <w:rPr>
          <w:color w:val="auto"/>
          <w:sz w:val="32"/>
          <w:szCs w:val="32"/>
        </w:rPr>
        <w:t>项目编号：</w:t>
      </w:r>
    </w:p>
    <w:tbl>
      <w:tblPr>
        <w:tblStyle w:val="21"/>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410"/>
        <w:gridCol w:w="2693"/>
        <w:gridCol w:w="1384"/>
        <w:gridCol w:w="1451"/>
      </w:tblGrid>
      <w:tr w14:paraId="3BFB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tcPr>
          <w:p w14:paraId="65DA59B4">
            <w:pPr>
              <w:jc w:val="center"/>
              <w:rPr>
                <w:rFonts w:asciiTheme="minorEastAsia" w:hAnsiTheme="minorEastAsia" w:eastAsiaTheme="minorEastAsia"/>
                <w:b/>
                <w:color w:val="auto"/>
                <w:sz w:val="28"/>
                <w:szCs w:val="28"/>
              </w:rPr>
            </w:pPr>
            <w:r>
              <w:rPr>
                <w:rFonts w:hint="eastAsia" w:asciiTheme="minorEastAsia" w:hAnsiTheme="minorEastAsia" w:eastAsiaTheme="minorEastAsia"/>
                <w:b/>
                <w:color w:val="auto"/>
                <w:sz w:val="28"/>
                <w:szCs w:val="28"/>
              </w:rPr>
              <w:t>项目</w:t>
            </w:r>
            <w:r>
              <w:rPr>
                <w:rFonts w:asciiTheme="minorEastAsia" w:hAnsiTheme="minorEastAsia" w:eastAsiaTheme="minorEastAsia"/>
                <w:b/>
                <w:color w:val="auto"/>
                <w:sz w:val="28"/>
                <w:szCs w:val="28"/>
              </w:rPr>
              <w:t>名称</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1AAD658D">
            <w:pPr>
              <w:jc w:val="center"/>
              <w:rPr>
                <w:rFonts w:asciiTheme="minorEastAsia" w:hAnsiTheme="minorEastAsia" w:eastAsiaTheme="minorEastAsia"/>
                <w:b/>
                <w:color w:val="auto"/>
                <w:sz w:val="28"/>
                <w:szCs w:val="28"/>
              </w:rPr>
            </w:pPr>
            <w:r>
              <w:rPr>
                <w:rFonts w:asciiTheme="minorEastAsia" w:hAnsiTheme="minorEastAsia" w:eastAsiaTheme="minorEastAsia"/>
                <w:b/>
                <w:color w:val="auto"/>
                <w:sz w:val="28"/>
                <w:szCs w:val="28"/>
              </w:rPr>
              <w:t>数量</w:t>
            </w:r>
            <w:r>
              <w:rPr>
                <w:rFonts w:hint="eastAsia" w:asciiTheme="minorEastAsia" w:hAnsiTheme="minorEastAsia" w:eastAsiaTheme="minorEastAsia"/>
                <w:b/>
                <w:color w:val="auto"/>
                <w:sz w:val="28"/>
                <w:szCs w:val="28"/>
              </w:rPr>
              <w:t>及单位</w:t>
            </w:r>
          </w:p>
        </w:tc>
        <w:tc>
          <w:tcPr>
            <w:tcW w:w="1384" w:type="dxa"/>
            <w:tcBorders>
              <w:top w:val="single" w:color="000000" w:sz="4" w:space="0"/>
              <w:left w:val="single" w:color="000000" w:sz="4" w:space="0"/>
              <w:bottom w:val="single" w:color="000000" w:sz="4" w:space="0"/>
              <w:right w:val="single" w:color="000000" w:sz="4" w:space="0"/>
            </w:tcBorders>
            <w:shd w:val="clear" w:color="auto" w:fill="auto"/>
          </w:tcPr>
          <w:p w14:paraId="03D7A641">
            <w:pPr>
              <w:jc w:val="center"/>
              <w:rPr>
                <w:rFonts w:asciiTheme="minorEastAsia" w:hAnsiTheme="minorEastAsia" w:eastAsiaTheme="minorEastAsia"/>
                <w:b/>
                <w:color w:val="auto"/>
                <w:sz w:val="28"/>
                <w:szCs w:val="28"/>
              </w:rPr>
            </w:pPr>
            <w:r>
              <w:rPr>
                <w:rFonts w:asciiTheme="minorEastAsia" w:hAnsiTheme="minorEastAsia" w:eastAsiaTheme="minorEastAsia"/>
                <w:b/>
                <w:color w:val="auto"/>
                <w:sz w:val="28"/>
                <w:szCs w:val="28"/>
              </w:rPr>
              <w:t>单价（元）</w:t>
            </w:r>
          </w:p>
        </w:tc>
        <w:tc>
          <w:tcPr>
            <w:tcW w:w="1451" w:type="dxa"/>
            <w:tcBorders>
              <w:top w:val="single" w:color="000000" w:sz="4" w:space="0"/>
              <w:left w:val="single" w:color="000000" w:sz="4" w:space="0"/>
              <w:bottom w:val="single" w:color="000000" w:sz="4" w:space="0"/>
              <w:right w:val="single" w:color="000000" w:sz="4" w:space="0"/>
            </w:tcBorders>
            <w:shd w:val="clear" w:color="auto" w:fill="auto"/>
          </w:tcPr>
          <w:p w14:paraId="4C172709">
            <w:pPr>
              <w:jc w:val="center"/>
              <w:rPr>
                <w:rFonts w:asciiTheme="minorEastAsia" w:hAnsiTheme="minorEastAsia" w:eastAsiaTheme="minorEastAsia"/>
                <w:b/>
                <w:color w:val="auto"/>
                <w:sz w:val="28"/>
                <w:szCs w:val="28"/>
              </w:rPr>
            </w:pPr>
            <w:r>
              <w:rPr>
                <w:rFonts w:asciiTheme="minorEastAsia" w:hAnsiTheme="minorEastAsia" w:eastAsiaTheme="minorEastAsia"/>
                <w:b/>
                <w:color w:val="auto"/>
                <w:sz w:val="28"/>
                <w:szCs w:val="28"/>
              </w:rPr>
              <w:t>总价（元）</w:t>
            </w:r>
          </w:p>
        </w:tc>
      </w:tr>
      <w:tr w14:paraId="0C53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tcPr>
          <w:p w14:paraId="0E42C87A">
            <w:pPr>
              <w:rPr>
                <w:rFonts w:asciiTheme="minorEastAsia" w:hAnsiTheme="minorEastAsia" w:eastAsiaTheme="minorEastAsia"/>
                <w:color w:val="auto"/>
                <w:sz w:val="32"/>
                <w:szCs w:val="32"/>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480191E5">
            <w:pPr>
              <w:rPr>
                <w:rFonts w:asciiTheme="minorEastAsia" w:hAnsiTheme="minorEastAsia" w:eastAsiaTheme="minorEastAsia"/>
                <w:color w:val="auto"/>
                <w:sz w:val="32"/>
                <w:szCs w:val="32"/>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tcPr>
          <w:p w14:paraId="773C5F9E">
            <w:pPr>
              <w:rPr>
                <w:rFonts w:asciiTheme="minorEastAsia" w:hAnsiTheme="minorEastAsia" w:eastAsiaTheme="minorEastAsia"/>
                <w:color w:val="auto"/>
                <w:sz w:val="32"/>
                <w:szCs w:val="32"/>
              </w:rPr>
            </w:pPr>
          </w:p>
        </w:tc>
        <w:tc>
          <w:tcPr>
            <w:tcW w:w="1451" w:type="dxa"/>
            <w:tcBorders>
              <w:top w:val="single" w:color="000000" w:sz="4" w:space="0"/>
              <w:left w:val="single" w:color="000000" w:sz="4" w:space="0"/>
              <w:bottom w:val="single" w:color="000000" w:sz="4" w:space="0"/>
              <w:right w:val="single" w:color="000000" w:sz="4" w:space="0"/>
            </w:tcBorders>
            <w:shd w:val="clear" w:color="auto" w:fill="auto"/>
          </w:tcPr>
          <w:p w14:paraId="285E5C1F">
            <w:pPr>
              <w:rPr>
                <w:rFonts w:asciiTheme="minorEastAsia" w:hAnsiTheme="minorEastAsia" w:eastAsiaTheme="minorEastAsia"/>
                <w:color w:val="auto"/>
                <w:sz w:val="32"/>
                <w:szCs w:val="32"/>
              </w:rPr>
            </w:pPr>
          </w:p>
        </w:tc>
      </w:tr>
      <w:tr w14:paraId="6094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tcPr>
          <w:p w14:paraId="1022E06D">
            <w:pPr>
              <w:rPr>
                <w:rFonts w:asciiTheme="minorEastAsia" w:hAnsiTheme="minorEastAsia" w:eastAsiaTheme="minorEastAsia"/>
                <w:color w:val="auto"/>
                <w:sz w:val="32"/>
                <w:szCs w:val="32"/>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2388D3C8">
            <w:pPr>
              <w:rPr>
                <w:rFonts w:asciiTheme="minorEastAsia" w:hAnsiTheme="minorEastAsia" w:eastAsiaTheme="minorEastAsia"/>
                <w:color w:val="auto"/>
                <w:sz w:val="32"/>
                <w:szCs w:val="32"/>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tcPr>
          <w:p w14:paraId="06944F91">
            <w:pPr>
              <w:rPr>
                <w:rFonts w:asciiTheme="minorEastAsia" w:hAnsiTheme="minorEastAsia" w:eastAsiaTheme="minorEastAsia"/>
                <w:color w:val="auto"/>
                <w:sz w:val="32"/>
                <w:szCs w:val="32"/>
              </w:rPr>
            </w:pPr>
          </w:p>
        </w:tc>
        <w:tc>
          <w:tcPr>
            <w:tcW w:w="1451" w:type="dxa"/>
            <w:tcBorders>
              <w:top w:val="single" w:color="000000" w:sz="4" w:space="0"/>
              <w:left w:val="single" w:color="000000" w:sz="4" w:space="0"/>
              <w:bottom w:val="single" w:color="000000" w:sz="4" w:space="0"/>
              <w:right w:val="single" w:color="000000" w:sz="4" w:space="0"/>
            </w:tcBorders>
            <w:shd w:val="clear" w:color="auto" w:fill="auto"/>
          </w:tcPr>
          <w:p w14:paraId="6D957AEE">
            <w:pPr>
              <w:rPr>
                <w:rFonts w:asciiTheme="minorEastAsia" w:hAnsiTheme="minorEastAsia" w:eastAsiaTheme="minorEastAsia"/>
                <w:color w:val="auto"/>
                <w:sz w:val="32"/>
                <w:szCs w:val="32"/>
              </w:rPr>
            </w:pPr>
          </w:p>
        </w:tc>
      </w:tr>
      <w:tr w14:paraId="78C0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5"/>
            <w:tcBorders>
              <w:top w:val="single" w:color="000000" w:sz="4" w:space="0"/>
              <w:left w:val="single" w:color="000000" w:sz="4" w:space="0"/>
              <w:bottom w:val="single" w:color="000000" w:sz="4" w:space="0"/>
              <w:right w:val="single" w:color="000000" w:sz="4" w:space="0"/>
            </w:tcBorders>
            <w:shd w:val="clear" w:color="auto" w:fill="auto"/>
          </w:tcPr>
          <w:p w14:paraId="681B842E">
            <w:pPr>
              <w:rPr>
                <w:rFonts w:asciiTheme="minorEastAsia" w:hAnsiTheme="minorEastAsia" w:eastAsiaTheme="minorEastAsia"/>
                <w:color w:val="auto"/>
                <w:sz w:val="28"/>
                <w:szCs w:val="28"/>
                <w:u w:val="single"/>
              </w:rPr>
            </w:pPr>
            <w:r>
              <w:rPr>
                <w:rFonts w:asciiTheme="minorEastAsia" w:hAnsiTheme="minorEastAsia" w:eastAsiaTheme="minorEastAsia"/>
                <w:color w:val="auto"/>
                <w:sz w:val="28"/>
                <w:szCs w:val="28"/>
              </w:rPr>
              <w:t>合计金额大写：   小写：￥</w:t>
            </w:r>
          </w:p>
        </w:tc>
      </w:tr>
      <w:tr w14:paraId="7504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Borders>
              <w:top w:val="single" w:color="000000" w:sz="4" w:space="0"/>
              <w:left w:val="single" w:color="000000" w:sz="4" w:space="0"/>
              <w:bottom w:val="single" w:color="000000" w:sz="4" w:space="0"/>
              <w:right w:val="single" w:color="000000" w:sz="4" w:space="0"/>
            </w:tcBorders>
            <w:shd w:val="clear" w:color="auto" w:fill="auto"/>
          </w:tcPr>
          <w:p w14:paraId="1FE65845">
            <w:pPr>
              <w:jc w:val="center"/>
              <w:rPr>
                <w:rFonts w:asciiTheme="minorEastAsia" w:hAnsiTheme="minorEastAsia" w:eastAsiaTheme="minorEastAsia"/>
                <w:color w:val="auto"/>
                <w:sz w:val="28"/>
                <w:szCs w:val="28"/>
              </w:rPr>
            </w:pPr>
          </w:p>
          <w:p w14:paraId="4C180B02">
            <w:pPr>
              <w:jc w:val="center"/>
              <w:rPr>
                <w:rFonts w:asciiTheme="minorEastAsia" w:hAnsiTheme="minorEastAsia" w:eastAsiaTheme="minorEastAsia"/>
                <w:color w:val="auto"/>
                <w:sz w:val="28"/>
                <w:szCs w:val="28"/>
              </w:rPr>
            </w:pPr>
          </w:p>
          <w:p w14:paraId="076F4CED">
            <w:pPr>
              <w:jc w:val="center"/>
              <w:rPr>
                <w:rFonts w:asciiTheme="minorEastAsia" w:hAnsiTheme="minorEastAsia" w:eastAsiaTheme="minorEastAsia"/>
                <w:color w:val="auto"/>
                <w:sz w:val="28"/>
                <w:szCs w:val="28"/>
              </w:rPr>
            </w:pPr>
          </w:p>
          <w:p w14:paraId="57CCEFF7">
            <w:pPr>
              <w:jc w:val="center"/>
              <w:rPr>
                <w:rFonts w:asciiTheme="minorEastAsia" w:hAnsiTheme="minorEastAsia" w:eastAsiaTheme="minorEastAsia"/>
                <w:color w:val="auto"/>
                <w:sz w:val="28"/>
                <w:szCs w:val="28"/>
              </w:rPr>
            </w:pPr>
            <w:r>
              <w:rPr>
                <w:rFonts w:asciiTheme="minorEastAsia" w:hAnsiTheme="minorEastAsia" w:eastAsiaTheme="minorEastAsia"/>
                <w:color w:val="auto"/>
                <w:sz w:val="28"/>
                <w:szCs w:val="28"/>
              </w:rPr>
              <w:t>备</w:t>
            </w:r>
          </w:p>
          <w:p w14:paraId="54B76886">
            <w:pPr>
              <w:jc w:val="center"/>
              <w:rPr>
                <w:rFonts w:asciiTheme="minorEastAsia" w:hAnsiTheme="minorEastAsia" w:eastAsiaTheme="minorEastAsia"/>
                <w:color w:val="auto"/>
                <w:sz w:val="28"/>
                <w:szCs w:val="28"/>
              </w:rPr>
            </w:pPr>
          </w:p>
          <w:p w14:paraId="10C45A8C">
            <w:pPr>
              <w:jc w:val="center"/>
              <w:rPr>
                <w:rFonts w:asciiTheme="minorEastAsia" w:hAnsiTheme="minorEastAsia" w:eastAsiaTheme="minorEastAsia"/>
                <w:color w:val="auto"/>
                <w:sz w:val="28"/>
                <w:szCs w:val="28"/>
              </w:rPr>
            </w:pPr>
            <w:r>
              <w:rPr>
                <w:rFonts w:asciiTheme="minorEastAsia" w:hAnsiTheme="minorEastAsia" w:eastAsiaTheme="minorEastAsia"/>
                <w:color w:val="auto"/>
                <w:sz w:val="28"/>
                <w:szCs w:val="28"/>
              </w:rPr>
              <w:t>注</w:t>
            </w:r>
          </w:p>
          <w:p w14:paraId="531E2456">
            <w:pPr>
              <w:jc w:val="center"/>
              <w:rPr>
                <w:rFonts w:asciiTheme="minorEastAsia" w:hAnsiTheme="minorEastAsia" w:eastAsiaTheme="minorEastAsia"/>
                <w:color w:val="auto"/>
                <w:sz w:val="28"/>
                <w:szCs w:val="28"/>
              </w:rPr>
            </w:pPr>
          </w:p>
          <w:p w14:paraId="6A7D132B">
            <w:pPr>
              <w:jc w:val="center"/>
              <w:rPr>
                <w:rFonts w:asciiTheme="minorEastAsia" w:hAnsiTheme="minorEastAsia" w:eastAsiaTheme="minorEastAsia"/>
                <w:color w:val="auto"/>
                <w:sz w:val="28"/>
                <w:szCs w:val="28"/>
              </w:rPr>
            </w:pPr>
          </w:p>
          <w:p w14:paraId="2602415B">
            <w:pPr>
              <w:jc w:val="center"/>
              <w:rPr>
                <w:rFonts w:asciiTheme="minorEastAsia" w:hAnsiTheme="minorEastAsia" w:eastAsiaTheme="minorEastAsia"/>
                <w:color w:val="auto"/>
                <w:sz w:val="28"/>
                <w:szCs w:val="28"/>
              </w:rPr>
            </w:pPr>
          </w:p>
        </w:tc>
        <w:tc>
          <w:tcPr>
            <w:tcW w:w="7938" w:type="dxa"/>
            <w:gridSpan w:val="4"/>
            <w:tcBorders>
              <w:top w:val="single" w:color="000000" w:sz="4" w:space="0"/>
              <w:left w:val="single" w:color="000000" w:sz="4" w:space="0"/>
              <w:bottom w:val="single" w:color="000000" w:sz="4" w:space="0"/>
              <w:right w:val="single" w:color="000000" w:sz="4" w:space="0"/>
            </w:tcBorders>
            <w:shd w:val="clear" w:color="auto" w:fill="auto"/>
          </w:tcPr>
          <w:p w14:paraId="55F3A46F">
            <w:pPr>
              <w:rPr>
                <w:rFonts w:asciiTheme="minorEastAsia" w:hAnsiTheme="minorEastAsia" w:eastAsiaTheme="minorEastAsia"/>
                <w:color w:val="auto"/>
                <w:sz w:val="28"/>
                <w:szCs w:val="28"/>
              </w:rPr>
            </w:pPr>
            <w:r>
              <w:rPr>
                <w:rFonts w:asciiTheme="minorEastAsia" w:hAnsiTheme="minorEastAsia" w:eastAsiaTheme="minorEastAsia"/>
                <w:color w:val="auto"/>
                <w:sz w:val="28"/>
                <w:szCs w:val="28"/>
              </w:rPr>
              <w:t>1、此表应按项目的明细情况列项填表，在填写时，如上表不适合本项目的实际情况，可在确保响应明细内容完整的情况下，根据上表格式自行划表填写。</w:t>
            </w:r>
          </w:p>
          <w:p w14:paraId="774DEC26">
            <w:pPr>
              <w:rPr>
                <w:rFonts w:asciiTheme="minorEastAsia" w:hAnsiTheme="minorEastAsia" w:eastAsiaTheme="minorEastAsia"/>
                <w:color w:val="auto"/>
                <w:sz w:val="28"/>
                <w:szCs w:val="28"/>
              </w:rPr>
            </w:pPr>
            <w:r>
              <w:rPr>
                <w:rFonts w:asciiTheme="minorEastAsia" w:hAnsiTheme="minorEastAsia" w:eastAsiaTheme="minorEastAsia"/>
                <w:color w:val="auto"/>
                <w:sz w:val="28"/>
                <w:szCs w:val="28"/>
              </w:rPr>
              <w:t>2、报价要求：项目费用包括项目实施所需的工程费、工时费、服务费、运输费、安装费调试费、税费及其他一切费用。</w:t>
            </w:r>
          </w:p>
          <w:p w14:paraId="58AD0013">
            <w:pPr>
              <w:rPr>
                <w:rFonts w:asciiTheme="minorEastAsia" w:hAnsiTheme="minorEastAsia" w:eastAsiaTheme="minorEastAsia"/>
                <w:color w:val="auto"/>
                <w:sz w:val="28"/>
                <w:szCs w:val="28"/>
              </w:rPr>
            </w:pPr>
            <w:r>
              <w:rPr>
                <w:rFonts w:asciiTheme="minorEastAsia" w:hAnsiTheme="minorEastAsia" w:eastAsiaTheme="minorEastAsia"/>
                <w:color w:val="auto"/>
                <w:sz w:val="28"/>
                <w:szCs w:val="28"/>
              </w:rPr>
              <w:t>3、报价中不允许出现报价优惠等字样，合计总价应与明细报价汇总相等。</w:t>
            </w:r>
          </w:p>
          <w:p w14:paraId="2FF333EB">
            <w:pPr>
              <w:rPr>
                <w:rFonts w:asciiTheme="minorEastAsia" w:hAnsiTheme="minorEastAsia" w:eastAsiaTheme="minorEastAsia"/>
                <w:color w:val="auto"/>
                <w:sz w:val="28"/>
                <w:szCs w:val="28"/>
              </w:rPr>
            </w:pPr>
          </w:p>
        </w:tc>
      </w:tr>
    </w:tbl>
    <w:p w14:paraId="2AAF5DCC">
      <w:pPr>
        <w:rPr>
          <w:color w:val="auto"/>
          <w:sz w:val="32"/>
          <w:szCs w:val="32"/>
        </w:rPr>
      </w:pPr>
    </w:p>
    <w:p w14:paraId="66C221F0">
      <w:pPr>
        <w:rPr>
          <w:color w:val="auto"/>
          <w:sz w:val="32"/>
          <w:szCs w:val="32"/>
          <w:u w:val="single"/>
        </w:rPr>
      </w:pPr>
      <w:r>
        <w:rPr>
          <w:color w:val="auto"/>
          <w:sz w:val="32"/>
          <w:szCs w:val="32"/>
        </w:rPr>
        <w:t>授权代表签名：</w:t>
      </w:r>
    </w:p>
    <w:p w14:paraId="190AB458">
      <w:pPr>
        <w:rPr>
          <w:color w:val="auto"/>
          <w:sz w:val="32"/>
          <w:szCs w:val="32"/>
          <w:u w:val="single"/>
        </w:rPr>
      </w:pPr>
      <w:r>
        <w:rPr>
          <w:color w:val="auto"/>
          <w:sz w:val="32"/>
          <w:szCs w:val="32"/>
        </w:rPr>
        <w:t>日期：</w:t>
      </w:r>
    </w:p>
    <w:p w14:paraId="4BA8C5DF">
      <w:pPr>
        <w:rPr>
          <w:color w:val="auto"/>
          <w:szCs w:val="22"/>
        </w:rPr>
      </w:pPr>
    </w:p>
    <w:p w14:paraId="2E7076C0">
      <w:pPr>
        <w:rPr>
          <w:color w:val="auto"/>
          <w:szCs w:val="22"/>
        </w:rPr>
      </w:pPr>
    </w:p>
    <w:p w14:paraId="57FE012B">
      <w:pPr>
        <w:rPr>
          <w:color w:val="auto"/>
          <w:szCs w:val="22"/>
        </w:rPr>
      </w:pPr>
    </w:p>
    <w:p w14:paraId="6913B855">
      <w:pPr>
        <w:pStyle w:val="19"/>
        <w:numPr>
          <w:ilvl w:val="0"/>
          <w:numId w:val="11"/>
        </w:numPr>
        <w:rPr>
          <w:rFonts w:hint="eastAsia" w:eastAsia="宋体"/>
          <w:color w:val="auto"/>
        </w:rPr>
      </w:pPr>
      <w:bookmarkStart w:id="15" w:name="_Toc3195"/>
      <w:r>
        <w:rPr>
          <w:rFonts w:hint="eastAsia" w:eastAsia="宋体"/>
          <w:color w:val="auto"/>
        </w:rPr>
        <w:t>合同主要条款</w:t>
      </w:r>
      <w:bookmarkEnd w:id="15"/>
    </w:p>
    <w:p w14:paraId="2C8E760B">
      <w:pPr>
        <w:spacing w:line="480" w:lineRule="exact"/>
        <w:ind w:right="140" w:firstLine="280" w:firstLineChars="100"/>
        <w:jc w:val="center"/>
        <w:rPr>
          <w:rFonts w:ascii="微软雅黑" w:hAnsi="微软雅黑" w:eastAsia="微软雅黑"/>
          <w:b/>
          <w:color w:val="auto"/>
          <w:sz w:val="28"/>
        </w:rPr>
      </w:pPr>
      <w:r>
        <w:rPr>
          <w:rFonts w:ascii="微软雅黑" w:hAnsi="微软雅黑" w:eastAsia="微软雅黑"/>
          <w:b/>
          <w:color w:val="auto"/>
          <w:sz w:val="28"/>
        </w:rPr>
        <w:t>浙江</w:t>
      </w:r>
      <w:r>
        <w:rPr>
          <w:rFonts w:hint="eastAsia" w:ascii="微软雅黑" w:hAnsi="微软雅黑" w:eastAsia="微软雅黑"/>
          <w:b/>
          <w:color w:val="auto"/>
          <w:sz w:val="28"/>
        </w:rPr>
        <w:t>大学医学院附属妇产科医院</w:t>
      </w:r>
    </w:p>
    <w:p w14:paraId="406FBB52">
      <w:pPr>
        <w:spacing w:line="480" w:lineRule="exact"/>
        <w:ind w:right="140" w:firstLine="280" w:firstLineChars="100"/>
        <w:jc w:val="center"/>
        <w:rPr>
          <w:rFonts w:ascii="微软雅黑" w:hAnsi="微软雅黑" w:eastAsia="微软雅黑"/>
          <w:b/>
          <w:color w:val="auto"/>
          <w:sz w:val="18"/>
          <w:szCs w:val="18"/>
        </w:rPr>
      </w:pPr>
      <w:r>
        <w:rPr>
          <w:rFonts w:hint="eastAsia" w:ascii="微软雅黑" w:hAnsi="微软雅黑" w:eastAsia="微软雅黑"/>
          <w:b/>
          <w:color w:val="auto"/>
          <w:sz w:val="28"/>
        </w:rPr>
        <w:t xml:space="preserve">           </w:t>
      </w:r>
      <w:r>
        <w:rPr>
          <w:rFonts w:hint="eastAsia" w:ascii="微软雅黑" w:hAnsi="微软雅黑" w:eastAsia="微软雅黑"/>
          <w:b/>
          <w:color w:val="auto"/>
          <w:sz w:val="28"/>
          <w:u w:val="single"/>
        </w:rPr>
        <w:t xml:space="preserve"> XXXX信息项目</w:t>
      </w:r>
      <w:r>
        <w:rPr>
          <w:rFonts w:ascii="微软雅黑" w:hAnsi="微软雅黑" w:eastAsia="微软雅黑"/>
          <w:b/>
          <w:color w:val="auto"/>
          <w:sz w:val="28"/>
        </w:rPr>
        <w:t>采购合同</w:t>
      </w:r>
      <w:r>
        <w:rPr>
          <w:rFonts w:hint="eastAsia" w:ascii="微软雅黑" w:hAnsi="微软雅黑" w:eastAsia="微软雅黑"/>
          <w:b/>
          <w:color w:val="auto"/>
          <w:szCs w:val="21"/>
          <w:highlight w:val="yellow"/>
        </w:rPr>
        <w:t>(最终以双方签字盖章的文本为准)</w:t>
      </w:r>
    </w:p>
    <w:p w14:paraId="0FE18785">
      <w:pPr>
        <w:snapToGrid w:val="0"/>
        <w:spacing w:before="120" w:after="120"/>
        <w:rPr>
          <w:rFonts w:ascii="微软雅黑" w:hAnsi="微软雅黑" w:eastAsia="微软雅黑"/>
          <w:color w:val="auto"/>
          <w:sz w:val="24"/>
          <w:lang w:val="zh-CN"/>
        </w:rPr>
      </w:pPr>
      <w:r>
        <w:rPr>
          <w:rFonts w:ascii="微软雅黑" w:hAnsi="微软雅黑" w:eastAsia="微软雅黑"/>
          <w:color w:val="auto"/>
          <w:sz w:val="24"/>
          <w:lang w:val="zh-CN"/>
        </w:rPr>
        <w:t xml:space="preserve">合同编号： </w:t>
      </w:r>
    </w:p>
    <w:p w14:paraId="487E915E">
      <w:pPr>
        <w:spacing w:line="360" w:lineRule="auto"/>
        <w:rPr>
          <w:rFonts w:hint="eastAsia" w:ascii="微软雅黑" w:hAnsi="微软雅黑" w:eastAsia="微软雅黑" w:cs="Times New Roman"/>
          <w:color w:val="auto"/>
          <w:sz w:val="24"/>
          <w:szCs w:val="24"/>
        </w:rPr>
      </w:pPr>
      <w:r>
        <w:rPr>
          <w:rFonts w:ascii="微软雅黑" w:hAnsi="微软雅黑" w:eastAsia="微软雅黑" w:cs="Times New Roman"/>
          <w:color w:val="auto"/>
          <w:sz w:val="24"/>
          <w:szCs w:val="24"/>
        </w:rPr>
        <w:t>甲方（采购单位）：</w:t>
      </w:r>
      <w:r>
        <w:rPr>
          <w:rFonts w:ascii="微软雅黑" w:hAnsi="微软雅黑" w:eastAsia="微软雅黑" w:cs="Times New Roman"/>
          <w:color w:val="auto"/>
          <w:sz w:val="24"/>
          <w:szCs w:val="24"/>
          <w:u w:val="single"/>
        </w:rPr>
        <w:t>浙江大学医学院附属妇产科医院</w:t>
      </w:r>
    </w:p>
    <w:p w14:paraId="3A9BA48E">
      <w:pPr>
        <w:spacing w:line="360" w:lineRule="auto"/>
        <w:rPr>
          <w:rFonts w:hint="eastAsia" w:ascii="微软雅黑" w:hAnsi="微软雅黑" w:eastAsia="微软雅黑" w:cs="Times New Roman"/>
          <w:color w:val="auto"/>
          <w:sz w:val="24"/>
          <w:szCs w:val="24"/>
        </w:rPr>
      </w:pPr>
      <w:r>
        <w:rPr>
          <w:rFonts w:ascii="微软雅黑" w:hAnsi="微软雅黑" w:eastAsia="微软雅黑" w:cs="Times New Roman"/>
          <w:color w:val="auto"/>
          <w:sz w:val="24"/>
          <w:szCs w:val="24"/>
        </w:rPr>
        <w:t>乙方（供应商）：</w:t>
      </w:r>
      <w:r>
        <w:rPr>
          <w:rFonts w:hint="eastAsia" w:ascii="微软雅黑" w:hAnsi="微软雅黑" w:eastAsia="微软雅黑" w:cs="Times New Roman"/>
          <w:color w:val="auto"/>
          <w:sz w:val="24"/>
          <w:szCs w:val="24"/>
          <w:u w:val="single"/>
        </w:rPr>
        <w:t xml:space="preserve">  XXXXXXXXXXXXXXXXXXXX  </w:t>
      </w:r>
    </w:p>
    <w:p w14:paraId="0004BA86">
      <w:pPr>
        <w:adjustRightInd w:val="0"/>
        <w:snapToGrid w:val="0"/>
        <w:spacing w:before="120" w:after="120"/>
        <w:rPr>
          <w:rFonts w:hint="eastAsia" w:ascii="微软雅黑" w:hAnsi="微软雅黑" w:eastAsia="微软雅黑" w:cs="Times New Roman"/>
          <w:b/>
          <w:color w:val="auto"/>
          <w:sz w:val="24"/>
          <w:szCs w:val="24"/>
          <w:lang w:val="zh-CN"/>
        </w:rPr>
      </w:pPr>
      <w:r>
        <w:rPr>
          <w:rFonts w:hint="eastAsia" w:ascii="微软雅黑" w:hAnsi="微软雅黑" w:eastAsia="微软雅黑" w:cs="Times New Roman"/>
          <w:b/>
          <w:snapToGrid w:val="0"/>
          <w:color w:val="auto"/>
          <w:kern w:val="0"/>
          <w:sz w:val="24"/>
          <w:szCs w:val="24"/>
          <w:lang w:val="zh-CN"/>
        </w:rPr>
        <w:tab/>
      </w:r>
      <w:r>
        <w:rPr>
          <w:rFonts w:ascii="微软雅黑" w:hAnsi="微软雅黑" w:eastAsia="微软雅黑" w:cs="Times New Roman"/>
          <w:b/>
          <w:snapToGrid w:val="0"/>
          <w:color w:val="auto"/>
          <w:kern w:val="0"/>
          <w:sz w:val="24"/>
          <w:szCs w:val="24"/>
          <w:lang w:val="zh-CN"/>
        </w:rPr>
        <w:t>一、</w:t>
      </w:r>
      <w:r>
        <w:rPr>
          <w:rFonts w:hint="eastAsia" w:ascii="微软雅黑" w:hAnsi="微软雅黑" w:eastAsia="微软雅黑" w:cs="Times New Roman"/>
          <w:b/>
          <w:snapToGrid w:val="0"/>
          <w:color w:val="auto"/>
          <w:kern w:val="0"/>
          <w:sz w:val="24"/>
          <w:szCs w:val="24"/>
          <w:lang w:val="zh-CN"/>
        </w:rPr>
        <w:t>采购内容</w:t>
      </w:r>
      <w:r>
        <w:rPr>
          <w:rFonts w:ascii="微软雅黑" w:hAnsi="微软雅黑" w:eastAsia="微软雅黑" w:cs="Times New Roman"/>
          <w:b/>
          <w:color w:val="auto"/>
          <w:sz w:val="24"/>
          <w:szCs w:val="24"/>
          <w:lang w:val="zh-CN"/>
        </w:rPr>
        <w:t>及合同价格</w:t>
      </w:r>
    </w:p>
    <w:tbl>
      <w:tblPr>
        <w:tblStyle w:val="21"/>
        <w:tblW w:w="8848" w:type="dxa"/>
        <w:jc w:val="center"/>
        <w:tblLayout w:type="autofit"/>
        <w:tblCellMar>
          <w:top w:w="0" w:type="dxa"/>
          <w:left w:w="108" w:type="dxa"/>
          <w:bottom w:w="0" w:type="dxa"/>
          <w:right w:w="108" w:type="dxa"/>
        </w:tblCellMar>
      </w:tblPr>
      <w:tblGrid>
        <w:gridCol w:w="3559"/>
        <w:gridCol w:w="1547"/>
        <w:gridCol w:w="709"/>
        <w:gridCol w:w="1559"/>
        <w:gridCol w:w="1474"/>
      </w:tblGrid>
      <w:tr w14:paraId="30FB4FE8">
        <w:tblPrEx>
          <w:tblCellMar>
            <w:top w:w="0" w:type="dxa"/>
            <w:left w:w="108" w:type="dxa"/>
            <w:bottom w:w="0" w:type="dxa"/>
            <w:right w:w="108" w:type="dxa"/>
          </w:tblCellMar>
        </w:tblPrEx>
        <w:trPr>
          <w:trHeight w:val="300" w:hRule="atLeast"/>
          <w:jc w:val="center"/>
        </w:trPr>
        <w:tc>
          <w:tcPr>
            <w:tcW w:w="3559" w:type="dxa"/>
            <w:tcBorders>
              <w:top w:val="single" w:color="auto" w:sz="8" w:space="0"/>
              <w:left w:val="single" w:color="auto" w:sz="8" w:space="0"/>
              <w:bottom w:val="single" w:color="auto" w:sz="8" w:space="0"/>
              <w:right w:val="single" w:color="auto" w:sz="8" w:space="0"/>
            </w:tcBorders>
            <w:shd w:val="clear" w:color="auto" w:fill="auto"/>
            <w:vAlign w:val="center"/>
          </w:tcPr>
          <w:p w14:paraId="50745F7A">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服务项目</w:t>
            </w:r>
          </w:p>
        </w:tc>
        <w:tc>
          <w:tcPr>
            <w:tcW w:w="1547" w:type="dxa"/>
            <w:tcBorders>
              <w:top w:val="single" w:color="auto" w:sz="8" w:space="0"/>
              <w:left w:val="nil"/>
              <w:bottom w:val="single" w:color="auto" w:sz="8" w:space="0"/>
              <w:right w:val="single" w:color="auto" w:sz="8" w:space="0"/>
            </w:tcBorders>
            <w:shd w:val="clear" w:color="auto" w:fill="auto"/>
            <w:vAlign w:val="center"/>
          </w:tcPr>
          <w:p w14:paraId="1B7F9906">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要求说明</w:t>
            </w:r>
          </w:p>
        </w:tc>
        <w:tc>
          <w:tcPr>
            <w:tcW w:w="709" w:type="dxa"/>
            <w:tcBorders>
              <w:top w:val="single" w:color="auto" w:sz="8" w:space="0"/>
              <w:left w:val="nil"/>
              <w:bottom w:val="single" w:color="auto" w:sz="8" w:space="0"/>
              <w:right w:val="single" w:color="auto" w:sz="8" w:space="0"/>
            </w:tcBorders>
            <w:shd w:val="clear" w:color="auto" w:fill="auto"/>
            <w:vAlign w:val="center"/>
          </w:tcPr>
          <w:p w14:paraId="091E4A62">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数量</w:t>
            </w:r>
          </w:p>
        </w:tc>
        <w:tc>
          <w:tcPr>
            <w:tcW w:w="1559" w:type="dxa"/>
            <w:tcBorders>
              <w:top w:val="single" w:color="auto" w:sz="8" w:space="0"/>
              <w:left w:val="nil"/>
              <w:bottom w:val="single" w:color="auto" w:sz="8" w:space="0"/>
              <w:right w:val="single" w:color="auto" w:sz="8" w:space="0"/>
            </w:tcBorders>
            <w:shd w:val="clear" w:color="auto" w:fill="auto"/>
            <w:vAlign w:val="center"/>
          </w:tcPr>
          <w:p w14:paraId="6A1844DA">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单价（元）</w:t>
            </w:r>
          </w:p>
        </w:tc>
        <w:tc>
          <w:tcPr>
            <w:tcW w:w="1474" w:type="dxa"/>
            <w:tcBorders>
              <w:top w:val="single" w:color="auto" w:sz="8" w:space="0"/>
              <w:left w:val="nil"/>
              <w:bottom w:val="single" w:color="auto" w:sz="8" w:space="0"/>
              <w:right w:val="single" w:color="auto" w:sz="8" w:space="0"/>
            </w:tcBorders>
            <w:shd w:val="clear" w:color="auto" w:fill="auto"/>
            <w:vAlign w:val="center"/>
          </w:tcPr>
          <w:p w14:paraId="40164253">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金额（元）</w:t>
            </w:r>
          </w:p>
        </w:tc>
      </w:tr>
      <w:tr w14:paraId="36BACE80">
        <w:tblPrEx>
          <w:tblCellMar>
            <w:top w:w="0" w:type="dxa"/>
            <w:left w:w="108" w:type="dxa"/>
            <w:bottom w:w="0" w:type="dxa"/>
            <w:right w:w="108" w:type="dxa"/>
          </w:tblCellMar>
        </w:tblPrEx>
        <w:trPr>
          <w:trHeight w:val="645" w:hRule="atLeast"/>
          <w:jc w:val="center"/>
        </w:trPr>
        <w:tc>
          <w:tcPr>
            <w:tcW w:w="3559" w:type="dxa"/>
            <w:tcBorders>
              <w:top w:val="nil"/>
              <w:left w:val="single" w:color="auto" w:sz="8" w:space="0"/>
              <w:bottom w:val="single" w:color="auto" w:sz="8" w:space="0"/>
              <w:right w:val="single" w:color="auto" w:sz="8" w:space="0"/>
            </w:tcBorders>
            <w:shd w:val="clear" w:color="auto" w:fill="auto"/>
            <w:vAlign w:val="center"/>
          </w:tcPr>
          <w:p w14:paraId="34354462">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XXXXXXXXXX（项目名称，如有细项，以附录形式列在最后）</w:t>
            </w:r>
          </w:p>
        </w:tc>
        <w:tc>
          <w:tcPr>
            <w:tcW w:w="1547" w:type="dxa"/>
            <w:tcBorders>
              <w:top w:val="nil"/>
              <w:left w:val="nil"/>
              <w:bottom w:val="single" w:color="auto" w:sz="8" w:space="0"/>
              <w:right w:val="single" w:color="auto" w:sz="8" w:space="0"/>
            </w:tcBorders>
            <w:shd w:val="clear" w:color="auto" w:fill="auto"/>
            <w:vAlign w:val="center"/>
          </w:tcPr>
          <w:p w14:paraId="7A8D39EA">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详见十一、项目内容说明</w:t>
            </w:r>
          </w:p>
        </w:tc>
        <w:tc>
          <w:tcPr>
            <w:tcW w:w="709" w:type="dxa"/>
            <w:tcBorders>
              <w:top w:val="nil"/>
              <w:left w:val="nil"/>
              <w:bottom w:val="single" w:color="auto" w:sz="8" w:space="0"/>
              <w:right w:val="single" w:color="auto" w:sz="8" w:space="0"/>
            </w:tcBorders>
            <w:shd w:val="clear" w:color="auto" w:fill="auto"/>
            <w:vAlign w:val="center"/>
          </w:tcPr>
          <w:p w14:paraId="16F3CFCE">
            <w:pPr>
              <w:widowControl/>
              <w:jc w:val="left"/>
              <w:rPr>
                <w:rFonts w:ascii="Times New Roman" w:hAnsi="Times New Roman" w:eastAsia="宋体" w:cs="Times New Roman"/>
                <w:color w:val="auto"/>
                <w:kern w:val="0"/>
                <w:sz w:val="24"/>
                <w:szCs w:val="24"/>
              </w:rPr>
            </w:pPr>
          </w:p>
        </w:tc>
        <w:tc>
          <w:tcPr>
            <w:tcW w:w="1559" w:type="dxa"/>
            <w:tcBorders>
              <w:top w:val="nil"/>
              <w:left w:val="nil"/>
              <w:bottom w:val="single" w:color="auto" w:sz="8" w:space="0"/>
              <w:right w:val="single" w:color="auto" w:sz="8" w:space="0"/>
            </w:tcBorders>
            <w:shd w:val="clear" w:color="auto" w:fill="auto"/>
            <w:vAlign w:val="center"/>
          </w:tcPr>
          <w:p w14:paraId="2277C6D0">
            <w:pPr>
              <w:widowControl/>
              <w:jc w:val="left"/>
              <w:rPr>
                <w:rFonts w:hint="eastAsia" w:ascii="华文宋体" w:hAnsi="华文宋体" w:eastAsia="华文宋体" w:cs="宋体"/>
                <w:color w:val="auto"/>
                <w:kern w:val="0"/>
                <w:sz w:val="24"/>
                <w:szCs w:val="24"/>
              </w:rPr>
            </w:pPr>
            <w:r>
              <w:rPr>
                <w:rFonts w:hint="eastAsia" w:ascii="宋体" w:hAnsi="宋体" w:eastAsia="宋体" w:cs="Times New Roman"/>
                <w:bCs/>
                <w:color w:val="auto"/>
                <w:spacing w:val="20"/>
                <w:sz w:val="24"/>
                <w:szCs w:val="24"/>
              </w:rPr>
              <w:t>￥</w:t>
            </w:r>
          </w:p>
        </w:tc>
        <w:tc>
          <w:tcPr>
            <w:tcW w:w="1474" w:type="dxa"/>
            <w:tcBorders>
              <w:top w:val="nil"/>
              <w:left w:val="nil"/>
              <w:bottom w:val="single" w:color="auto" w:sz="8" w:space="0"/>
              <w:right w:val="single" w:color="auto" w:sz="8" w:space="0"/>
            </w:tcBorders>
            <w:shd w:val="clear" w:color="auto" w:fill="auto"/>
            <w:vAlign w:val="center"/>
          </w:tcPr>
          <w:p w14:paraId="6812DD25">
            <w:pPr>
              <w:widowControl/>
              <w:jc w:val="left"/>
              <w:rPr>
                <w:rFonts w:hint="eastAsia" w:ascii="华文宋体" w:hAnsi="华文宋体" w:eastAsia="华文宋体" w:cs="宋体"/>
                <w:color w:val="auto"/>
                <w:kern w:val="0"/>
                <w:sz w:val="24"/>
                <w:szCs w:val="24"/>
              </w:rPr>
            </w:pPr>
            <w:r>
              <w:rPr>
                <w:rFonts w:hint="eastAsia" w:ascii="宋体" w:hAnsi="宋体" w:eastAsia="宋体" w:cs="Times New Roman"/>
                <w:bCs/>
                <w:color w:val="auto"/>
                <w:spacing w:val="20"/>
                <w:sz w:val="24"/>
                <w:szCs w:val="24"/>
              </w:rPr>
              <w:t>￥</w:t>
            </w:r>
          </w:p>
        </w:tc>
      </w:tr>
      <w:tr w14:paraId="4F819A32">
        <w:tblPrEx>
          <w:tblCellMar>
            <w:top w:w="0" w:type="dxa"/>
            <w:left w:w="108" w:type="dxa"/>
            <w:bottom w:w="0" w:type="dxa"/>
            <w:right w:w="108" w:type="dxa"/>
          </w:tblCellMar>
        </w:tblPrEx>
        <w:trPr>
          <w:trHeight w:val="330" w:hRule="atLeast"/>
          <w:jc w:val="center"/>
        </w:trPr>
        <w:tc>
          <w:tcPr>
            <w:tcW w:w="7374" w:type="dxa"/>
            <w:gridSpan w:val="4"/>
            <w:tcBorders>
              <w:top w:val="single" w:color="auto" w:sz="4" w:space="0"/>
              <w:left w:val="single" w:color="auto" w:sz="4" w:space="0"/>
              <w:bottom w:val="single" w:color="auto" w:sz="4" w:space="0"/>
              <w:right w:val="single" w:color="auto" w:sz="8" w:space="0"/>
            </w:tcBorders>
            <w:shd w:val="clear" w:color="auto" w:fill="auto"/>
            <w:noWrap/>
            <w:vAlign w:val="bottom"/>
          </w:tcPr>
          <w:p w14:paraId="3790DA38">
            <w:pPr>
              <w:widowControl/>
              <w:jc w:val="center"/>
              <w:rPr>
                <w:rFonts w:hint="eastAsia" w:ascii="华文宋体" w:hAnsi="华文宋体" w:eastAsia="华文宋体" w:cs="宋体"/>
                <w:color w:val="auto"/>
                <w:kern w:val="0"/>
                <w:sz w:val="24"/>
                <w:szCs w:val="24"/>
              </w:rPr>
            </w:pPr>
            <w:r>
              <w:rPr>
                <w:rFonts w:hint="eastAsia" w:ascii="宋体" w:hAnsi="宋体" w:eastAsia="宋体" w:cs="Times New Roman"/>
                <w:bCs/>
                <w:color w:val="auto"/>
                <w:spacing w:val="20"/>
                <w:sz w:val="24"/>
                <w:szCs w:val="24"/>
              </w:rPr>
              <w:t>金额总计：</w:t>
            </w:r>
            <w:r>
              <w:rPr>
                <w:rFonts w:ascii="宋体" w:hAnsi="宋体" w:eastAsia="宋体" w:cs="Times New Roman"/>
                <w:bCs/>
                <w:color w:val="auto"/>
                <w:spacing w:val="20"/>
                <w:sz w:val="24"/>
                <w:szCs w:val="24"/>
              </w:rPr>
              <w:t xml:space="preserve"> </w:t>
            </w:r>
            <w:r>
              <w:rPr>
                <w:rFonts w:hint="eastAsia" w:ascii="宋体" w:hAnsi="宋体" w:eastAsia="宋体" w:cs="Times New Roman"/>
                <w:bCs/>
                <w:color w:val="auto"/>
                <w:spacing w:val="20"/>
                <w:sz w:val="24"/>
                <w:szCs w:val="24"/>
              </w:rPr>
              <w:t xml:space="preserve"> </w:t>
            </w:r>
            <w:r>
              <w:rPr>
                <w:rFonts w:ascii="宋体" w:hAnsi="宋体" w:eastAsia="宋体" w:cs="Times New Roman"/>
                <w:bCs/>
                <w:color w:val="auto"/>
                <w:spacing w:val="20"/>
                <w:sz w:val="24"/>
                <w:szCs w:val="24"/>
              </w:rPr>
              <w:t>人民币</w:t>
            </w:r>
            <w:r>
              <w:rPr>
                <w:rFonts w:hint="eastAsia" w:ascii="宋体" w:hAnsi="宋体" w:eastAsia="宋体" w:cs="Times New Roman"/>
                <w:bCs/>
                <w:color w:val="auto"/>
                <w:spacing w:val="20"/>
                <w:sz w:val="24"/>
                <w:szCs w:val="24"/>
                <w:u w:val="single"/>
              </w:rPr>
              <w:t xml:space="preserve">         </w:t>
            </w:r>
            <w:r>
              <w:rPr>
                <w:rFonts w:hint="eastAsia" w:ascii="宋体" w:hAnsi="宋体" w:eastAsia="宋体" w:cs="Times New Roman"/>
                <w:bCs/>
                <w:color w:val="auto"/>
                <w:spacing w:val="20"/>
                <w:sz w:val="24"/>
                <w:szCs w:val="24"/>
              </w:rPr>
              <w:t>元整</w:t>
            </w:r>
          </w:p>
        </w:tc>
        <w:tc>
          <w:tcPr>
            <w:tcW w:w="1474" w:type="dxa"/>
            <w:tcBorders>
              <w:top w:val="nil"/>
              <w:left w:val="nil"/>
              <w:bottom w:val="single" w:color="auto" w:sz="8" w:space="0"/>
              <w:right w:val="single" w:color="auto" w:sz="8" w:space="0"/>
            </w:tcBorders>
            <w:shd w:val="clear" w:color="auto" w:fill="auto"/>
            <w:vAlign w:val="center"/>
          </w:tcPr>
          <w:p w14:paraId="4B106864">
            <w:pPr>
              <w:widowControl/>
              <w:jc w:val="left"/>
              <w:rPr>
                <w:rFonts w:hint="eastAsia" w:ascii="华文宋体" w:hAnsi="华文宋体" w:eastAsia="华文宋体" w:cs="宋体"/>
                <w:color w:val="auto"/>
                <w:kern w:val="0"/>
                <w:sz w:val="24"/>
                <w:szCs w:val="24"/>
              </w:rPr>
            </w:pPr>
            <w:r>
              <w:rPr>
                <w:rFonts w:hint="eastAsia" w:ascii="宋体" w:hAnsi="宋体" w:eastAsia="宋体" w:cs="Times New Roman"/>
                <w:bCs/>
                <w:color w:val="auto"/>
                <w:spacing w:val="20"/>
                <w:sz w:val="24"/>
                <w:szCs w:val="24"/>
              </w:rPr>
              <w:t>￥</w:t>
            </w:r>
          </w:p>
        </w:tc>
      </w:tr>
    </w:tbl>
    <w:p w14:paraId="3A055026">
      <w:pPr>
        <w:adjustRightInd w:val="0"/>
        <w:snapToGrid w:val="0"/>
        <w:spacing w:before="120" w:after="120"/>
        <w:ind w:firstLine="511" w:firstLineChars="213"/>
        <w:jc w:val="right"/>
        <w:rPr>
          <w:rFonts w:hint="eastAsia" w:ascii="微软雅黑" w:hAnsi="微软雅黑" w:eastAsia="微软雅黑" w:cs="Times New Roman"/>
          <w:color w:val="auto"/>
          <w:sz w:val="24"/>
          <w:szCs w:val="24"/>
          <w:lang w:val="zh-CN"/>
        </w:rPr>
      </w:pPr>
      <w:r>
        <w:rPr>
          <w:rFonts w:ascii="微软雅黑" w:hAnsi="微软雅黑" w:eastAsia="微软雅黑" w:cs="Times New Roman"/>
          <w:color w:val="auto"/>
          <w:sz w:val="24"/>
          <w:szCs w:val="24"/>
          <w:lang w:val="zh-CN"/>
        </w:rPr>
        <w:t xml:space="preserve">金额单位：元 </w:t>
      </w:r>
    </w:p>
    <w:p w14:paraId="78E08F6D">
      <w:pPr>
        <w:snapToGrid w:val="0"/>
        <w:spacing w:before="120" w:after="120"/>
        <w:ind w:left="-178" w:leftChars="-85" w:firstLine="511" w:firstLineChars="213"/>
        <w:rPr>
          <w:rFonts w:hint="eastAsia" w:ascii="微软雅黑" w:hAnsi="微软雅黑" w:eastAsia="微软雅黑" w:cs="Times New Roman"/>
          <w:color w:val="auto"/>
          <w:sz w:val="24"/>
          <w:szCs w:val="24"/>
          <w:lang w:val="zh-CN"/>
        </w:rPr>
      </w:pPr>
      <w:r>
        <w:rPr>
          <w:rFonts w:ascii="微软雅黑" w:hAnsi="微软雅黑" w:eastAsia="微软雅黑" w:cs="Times New Roman"/>
          <w:color w:val="auto"/>
          <w:sz w:val="24"/>
          <w:szCs w:val="24"/>
          <w:lang w:val="zh-CN"/>
        </w:rPr>
        <w:t>注：</w:t>
      </w:r>
      <w:r>
        <w:rPr>
          <w:rFonts w:hint="eastAsia" w:ascii="微软雅黑" w:hAnsi="微软雅黑" w:eastAsia="微软雅黑" w:cs="Times New Roman"/>
          <w:color w:val="auto"/>
          <w:sz w:val="24"/>
          <w:szCs w:val="24"/>
          <w:lang w:val="zh-CN"/>
        </w:rPr>
        <w:t>1</w:t>
      </w:r>
      <w:r>
        <w:rPr>
          <w:rFonts w:ascii="微软雅黑" w:hAnsi="微软雅黑" w:eastAsia="微软雅黑" w:cs="Times New Roman"/>
          <w:color w:val="auto"/>
          <w:sz w:val="24"/>
          <w:szCs w:val="24"/>
          <w:lang w:val="zh-CN"/>
        </w:rPr>
        <w:t>、</w:t>
      </w:r>
      <w:r>
        <w:rPr>
          <w:rFonts w:ascii="微软雅黑" w:hAnsi="微软雅黑" w:eastAsia="微软雅黑" w:cs="Times New Roman"/>
          <w:color w:val="auto"/>
          <w:sz w:val="24"/>
          <w:szCs w:val="20"/>
          <w:lang w:val="zh-CN"/>
        </w:rPr>
        <w:t>以上合同总价</w:t>
      </w:r>
      <w:r>
        <w:rPr>
          <w:rFonts w:hint="eastAsia" w:ascii="微软雅黑" w:hAnsi="微软雅黑" w:eastAsia="微软雅黑" w:cs="Times New Roman"/>
          <w:color w:val="auto"/>
          <w:sz w:val="24"/>
          <w:szCs w:val="20"/>
          <w:lang w:val="zh-CN"/>
        </w:rPr>
        <w:t>，</w:t>
      </w:r>
      <w:r>
        <w:rPr>
          <w:rFonts w:ascii="微软雅黑" w:hAnsi="微软雅黑" w:eastAsia="微软雅黑" w:cs="Times New Roman"/>
          <w:color w:val="auto"/>
          <w:sz w:val="24"/>
          <w:szCs w:val="20"/>
          <w:lang w:val="zh-CN"/>
        </w:rPr>
        <w:t>包含产品到达用户</w:t>
      </w:r>
      <w:r>
        <w:rPr>
          <w:rFonts w:hint="eastAsia" w:ascii="微软雅黑" w:hAnsi="微软雅黑" w:eastAsia="微软雅黑" w:cs="Times New Roman"/>
          <w:color w:val="auto"/>
          <w:sz w:val="24"/>
          <w:szCs w:val="20"/>
          <w:lang w:val="zh-CN"/>
        </w:rPr>
        <w:t>、达到用户要求的使用性能、</w:t>
      </w:r>
      <w:r>
        <w:rPr>
          <w:rFonts w:ascii="微软雅黑" w:hAnsi="微软雅黑" w:eastAsia="微软雅黑" w:cs="Times New Roman"/>
          <w:color w:val="auto"/>
          <w:sz w:val="24"/>
          <w:szCs w:val="20"/>
          <w:lang w:val="zh-CN"/>
        </w:rPr>
        <w:t>并能</w:t>
      </w:r>
      <w:r>
        <w:rPr>
          <w:rFonts w:hint="eastAsia" w:ascii="微软雅黑" w:hAnsi="微软雅黑" w:eastAsia="微软雅黑" w:cs="Times New Roman"/>
          <w:color w:val="auto"/>
          <w:sz w:val="24"/>
          <w:szCs w:val="20"/>
          <w:lang w:val="zh-CN"/>
        </w:rPr>
        <w:t>在用户要求的期限内</w:t>
      </w:r>
      <w:r>
        <w:rPr>
          <w:rFonts w:ascii="微软雅黑" w:hAnsi="微软雅黑" w:eastAsia="微软雅黑" w:cs="Times New Roman"/>
          <w:color w:val="auto"/>
          <w:sz w:val="24"/>
          <w:szCs w:val="20"/>
          <w:lang w:val="zh-CN"/>
        </w:rPr>
        <w:t>正常使用所需的一切费用。</w:t>
      </w:r>
    </w:p>
    <w:p w14:paraId="59EB4FB1">
      <w:pPr>
        <w:snapToGrid w:val="0"/>
        <w:spacing w:before="120" w:after="120"/>
        <w:ind w:left="-178" w:leftChars="-85" w:firstLine="511" w:firstLineChars="213"/>
        <w:rPr>
          <w:rFonts w:hint="eastAsia" w:ascii="微软雅黑" w:hAnsi="微软雅黑" w:eastAsia="微软雅黑" w:cs="Times New Roman"/>
          <w:color w:val="auto"/>
          <w:sz w:val="24"/>
          <w:szCs w:val="24"/>
          <w:u w:val="single"/>
          <w:lang w:val="zh-CN"/>
        </w:rPr>
      </w:pPr>
      <w:r>
        <w:rPr>
          <w:rFonts w:hint="eastAsia" w:ascii="微软雅黑" w:hAnsi="微软雅黑" w:eastAsia="微软雅黑" w:cs="Times New Roman"/>
          <w:color w:val="auto"/>
          <w:sz w:val="24"/>
          <w:szCs w:val="24"/>
          <w:lang w:val="zh-CN"/>
        </w:rPr>
        <w:tab/>
      </w:r>
      <w:r>
        <w:rPr>
          <w:rFonts w:hint="eastAsia" w:ascii="微软雅黑" w:hAnsi="微软雅黑" w:eastAsia="微软雅黑" w:cs="Times New Roman"/>
          <w:color w:val="auto"/>
          <w:sz w:val="24"/>
          <w:szCs w:val="24"/>
          <w:lang w:val="zh-CN"/>
        </w:rPr>
        <w:t xml:space="preserve">  2、招标文件、投标文件与本合同具有同等法律效力。</w:t>
      </w:r>
    </w:p>
    <w:p w14:paraId="335D2653">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二、技术资料</w:t>
      </w:r>
    </w:p>
    <w:p w14:paraId="1793FCA5">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1.乙方应按招标文件规定的时间</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向甲方提供</w:t>
      </w:r>
      <w:r>
        <w:rPr>
          <w:rFonts w:hint="eastAsia" w:ascii="微软雅黑" w:hAnsi="微软雅黑" w:eastAsia="微软雅黑" w:cs="Times New Roman"/>
          <w:snapToGrid w:val="0"/>
          <w:color w:val="auto"/>
          <w:kern w:val="0"/>
          <w:sz w:val="24"/>
          <w:szCs w:val="24"/>
          <w:lang w:val="zh-CN"/>
        </w:rPr>
        <w:t>全部合法有效</w:t>
      </w:r>
      <w:r>
        <w:rPr>
          <w:rFonts w:ascii="微软雅黑" w:hAnsi="微软雅黑" w:eastAsia="微软雅黑" w:cs="Times New Roman"/>
          <w:snapToGrid w:val="0"/>
          <w:color w:val="auto"/>
          <w:kern w:val="0"/>
          <w:sz w:val="24"/>
          <w:szCs w:val="24"/>
          <w:lang w:val="zh-CN"/>
        </w:rPr>
        <w:t>技术资料。</w:t>
      </w:r>
    </w:p>
    <w:p w14:paraId="23500C27">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0EEEF36">
      <w:pPr>
        <w:adjustRightInd w:val="0"/>
        <w:snapToGrid w:val="0"/>
        <w:spacing w:before="120" w:after="120" w:line="360" w:lineRule="auto"/>
        <w:ind w:firstLine="475" w:firstLineChars="198"/>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三、知识产权</w:t>
      </w:r>
    </w:p>
    <w:p w14:paraId="795BC98C">
      <w:pPr>
        <w:adjustRightInd w:val="0"/>
        <w:snapToGrid w:val="0"/>
        <w:spacing w:before="120" w:after="120" w:line="360" w:lineRule="auto"/>
        <w:ind w:firstLine="511" w:firstLineChars="213"/>
        <w:rPr>
          <w:rFonts w:hint="eastAsia" w:ascii="微软雅黑" w:hAnsi="微软雅黑" w:eastAsia="微软雅黑" w:cs="Times New Roman"/>
          <w:bCs/>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乙方应保证所提供的货物或其任何一部分</w:t>
      </w:r>
      <w:r>
        <w:rPr>
          <w:rFonts w:hint="eastAsia" w:ascii="微软雅黑" w:hAnsi="微软雅黑" w:eastAsia="微软雅黑" w:cs="Times New Roman"/>
          <w:snapToGrid w:val="0"/>
          <w:color w:val="auto"/>
          <w:kern w:val="0"/>
          <w:sz w:val="24"/>
          <w:szCs w:val="24"/>
          <w:lang w:val="zh-CN"/>
        </w:rPr>
        <w:t>包括软件等，</w:t>
      </w:r>
      <w:r>
        <w:rPr>
          <w:rFonts w:ascii="微软雅黑" w:hAnsi="微软雅黑" w:eastAsia="微软雅黑" w:cs="Times New Roman"/>
          <w:snapToGrid w:val="0"/>
          <w:color w:val="auto"/>
          <w:kern w:val="0"/>
          <w:sz w:val="24"/>
          <w:szCs w:val="24"/>
          <w:lang w:val="zh-CN"/>
        </w:rPr>
        <w:t>均不会侵犯任何第三方的知识产权</w:t>
      </w:r>
      <w:r>
        <w:rPr>
          <w:rFonts w:ascii="微软雅黑" w:hAnsi="微软雅黑" w:eastAsia="微软雅黑" w:cs="Times New Roman"/>
          <w:bCs/>
          <w:snapToGrid w:val="0"/>
          <w:color w:val="auto"/>
          <w:kern w:val="0"/>
          <w:sz w:val="24"/>
          <w:szCs w:val="24"/>
          <w:lang w:val="zh-CN"/>
        </w:rPr>
        <w:t>。</w:t>
      </w:r>
      <w:r>
        <w:rPr>
          <w:rFonts w:hint="eastAsia" w:ascii="微软雅黑" w:hAnsi="微软雅黑" w:eastAsia="微软雅黑" w:cs="Times New Roman"/>
          <w:bCs/>
          <w:snapToGrid w:val="0"/>
          <w:color w:val="auto"/>
          <w:kern w:val="0"/>
          <w:sz w:val="24"/>
          <w:szCs w:val="24"/>
          <w:lang w:val="zh-CN"/>
        </w:rPr>
        <w:t>任何第三方对本合同标的主张知识产权的，均由乙方承担全部责任。甲方先行承担责任的，有权向乙方追偿。</w:t>
      </w:r>
    </w:p>
    <w:p w14:paraId="51500562">
      <w:pPr>
        <w:adjustRightInd w:val="0"/>
        <w:snapToGrid w:val="0"/>
        <w:spacing w:before="120" w:after="120" w:line="360" w:lineRule="auto"/>
        <w:ind w:firstLine="475" w:firstLineChars="198"/>
        <w:rPr>
          <w:rFonts w:hint="eastAsia" w:ascii="微软雅黑" w:hAnsi="微软雅黑" w:eastAsia="微软雅黑" w:cs="Times New Roman"/>
          <w:snapToGrid w:val="0"/>
          <w:color w:val="auto"/>
          <w:kern w:val="0"/>
          <w:sz w:val="24"/>
          <w:szCs w:val="24"/>
          <w:u w:val="single"/>
          <w:lang w:val="zh-CN"/>
        </w:rPr>
      </w:pPr>
      <w:r>
        <w:rPr>
          <w:rFonts w:ascii="微软雅黑" w:hAnsi="微软雅黑" w:eastAsia="微软雅黑" w:cs="Times New Roman"/>
          <w:b/>
          <w:snapToGrid w:val="0"/>
          <w:color w:val="auto"/>
          <w:kern w:val="0"/>
          <w:sz w:val="24"/>
          <w:szCs w:val="24"/>
          <w:lang w:val="zh-CN"/>
        </w:rPr>
        <w:t>四、产权担保</w:t>
      </w:r>
    </w:p>
    <w:p w14:paraId="05EB4E75">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乙方保证所交付的</w:t>
      </w:r>
      <w:bookmarkStart w:id="16" w:name="_Hlk169698889"/>
      <w:r>
        <w:rPr>
          <w:rFonts w:ascii="微软雅黑" w:hAnsi="微软雅黑" w:eastAsia="微软雅黑" w:cs="Times New Roman"/>
          <w:snapToGrid w:val="0"/>
          <w:color w:val="auto"/>
          <w:kern w:val="0"/>
          <w:sz w:val="24"/>
          <w:szCs w:val="24"/>
          <w:lang w:val="zh-CN"/>
        </w:rPr>
        <w:t>货物</w:t>
      </w:r>
      <w:bookmarkEnd w:id="16"/>
      <w:r>
        <w:rPr>
          <w:rFonts w:ascii="微软雅黑" w:hAnsi="微软雅黑" w:eastAsia="微软雅黑" w:cs="Times New Roman"/>
          <w:snapToGrid w:val="0"/>
          <w:color w:val="auto"/>
          <w:kern w:val="0"/>
          <w:sz w:val="24"/>
          <w:szCs w:val="24"/>
          <w:lang w:val="zh-CN"/>
        </w:rPr>
        <w:t>所有权</w:t>
      </w:r>
      <w:r>
        <w:rPr>
          <w:rFonts w:hint="eastAsia" w:ascii="微软雅黑" w:hAnsi="微软雅黑" w:eastAsia="微软雅黑" w:cs="Times New Roman"/>
          <w:snapToGrid w:val="0"/>
          <w:color w:val="auto"/>
          <w:kern w:val="0"/>
          <w:sz w:val="24"/>
          <w:szCs w:val="24"/>
          <w:lang w:val="zh-CN"/>
        </w:rPr>
        <w:t>，在交付之时，</w:t>
      </w:r>
      <w:r>
        <w:rPr>
          <w:rFonts w:ascii="微软雅黑" w:hAnsi="微软雅黑" w:eastAsia="微软雅黑" w:cs="Times New Roman"/>
          <w:snapToGrid w:val="0"/>
          <w:color w:val="auto"/>
          <w:kern w:val="0"/>
          <w:sz w:val="24"/>
          <w:szCs w:val="24"/>
          <w:lang w:val="zh-CN"/>
        </w:rPr>
        <w:t>完全属于乙方且无任何抵押、查封等产权瑕疵。</w:t>
      </w:r>
    </w:p>
    <w:p w14:paraId="2F2D876B">
      <w:pPr>
        <w:adjustRightInd w:val="0"/>
        <w:snapToGrid w:val="0"/>
        <w:spacing w:before="120" w:after="120" w:line="360" w:lineRule="auto"/>
        <w:ind w:firstLine="475" w:firstLineChars="198"/>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五、转包或分包</w:t>
      </w:r>
    </w:p>
    <w:p w14:paraId="00B0CE18">
      <w:pPr>
        <w:adjustRightInd w:val="0"/>
        <w:snapToGrid w:val="0"/>
        <w:spacing w:before="156" w:beforeLines="50" w:after="156" w:afterLines="50" w:line="360" w:lineRule="auto"/>
        <w:ind w:firstLine="511" w:firstLineChars="213"/>
        <w:rPr>
          <w:rFonts w:hint="eastAsia" w:ascii="微软雅黑" w:hAnsi="微软雅黑" w:eastAsia="微软雅黑" w:cs="Times New Roman"/>
          <w:snapToGrid w:val="0"/>
          <w:color w:val="auto"/>
          <w:kern w:val="0"/>
          <w:sz w:val="24"/>
          <w:szCs w:val="24"/>
        </w:rPr>
      </w:pPr>
      <w:r>
        <w:rPr>
          <w:rFonts w:ascii="微软雅黑" w:hAnsi="微软雅黑" w:eastAsia="微软雅黑" w:cs="Times New Roman"/>
          <w:snapToGrid w:val="0"/>
          <w:color w:val="auto"/>
          <w:kern w:val="0"/>
          <w:sz w:val="24"/>
          <w:szCs w:val="24"/>
        </w:rPr>
        <w:t>本合同范围的货物，应由乙方直接供应，不得转让他人供应，否则，甲方有权解除合同并追究乙方的违约责任。</w:t>
      </w:r>
    </w:p>
    <w:p w14:paraId="19DF275E">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六、质保</w:t>
      </w:r>
      <w:r>
        <w:rPr>
          <w:rFonts w:hint="eastAsia" w:ascii="微软雅黑" w:hAnsi="微软雅黑" w:eastAsia="微软雅黑" w:cs="Times New Roman"/>
          <w:b/>
          <w:snapToGrid w:val="0"/>
          <w:color w:val="auto"/>
          <w:kern w:val="0"/>
          <w:sz w:val="24"/>
          <w:szCs w:val="24"/>
          <w:lang w:val="zh-CN"/>
        </w:rPr>
        <w:t>或维保周期</w:t>
      </w:r>
    </w:p>
    <w:p w14:paraId="20F600EA">
      <w:pPr>
        <w:adjustRightInd w:val="0"/>
        <w:snapToGrid w:val="0"/>
        <w:spacing w:before="120" w:after="120" w:line="360" w:lineRule="auto"/>
        <w:ind w:firstLine="480" w:firstLineChars="200"/>
        <w:jc w:val="left"/>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项目终验合格后</w:t>
      </w:r>
      <w:r>
        <w:rPr>
          <w:rFonts w:ascii="微软雅黑" w:hAnsi="微软雅黑" w:eastAsia="微软雅黑" w:cs="Times New Roman"/>
          <w:snapToGrid w:val="0"/>
          <w:color w:val="auto"/>
          <w:kern w:val="0"/>
          <w:sz w:val="24"/>
          <w:szCs w:val="24"/>
          <w:lang w:val="zh-CN"/>
        </w:rPr>
        <w:t>质保</w:t>
      </w:r>
      <w:r>
        <w:rPr>
          <w:rFonts w:hint="eastAsia" w:ascii="微软雅黑" w:hAnsi="微软雅黑" w:eastAsia="微软雅黑" w:cs="Times New Roman"/>
          <w:snapToGrid w:val="0"/>
          <w:color w:val="auto"/>
          <w:kern w:val="0"/>
          <w:sz w:val="24"/>
          <w:szCs w:val="24"/>
          <w:u w:val="single"/>
          <w:lang w:val="zh-CN"/>
        </w:rPr>
        <w:t xml:space="preserve"> </w:t>
      </w:r>
      <w:r>
        <w:rPr>
          <w:rFonts w:hint="eastAsia" w:ascii="微软雅黑" w:hAnsi="微软雅黑" w:eastAsia="微软雅黑" w:cs="Times New Roman"/>
          <w:b/>
          <w:snapToGrid w:val="0"/>
          <w:color w:val="auto"/>
          <w:kern w:val="0"/>
          <w:sz w:val="24"/>
          <w:szCs w:val="24"/>
          <w:u w:val="single"/>
          <w:lang w:val="en-US" w:eastAsia="zh-CN"/>
        </w:rPr>
        <w:t xml:space="preserve"> </w:t>
      </w:r>
      <w:r>
        <w:rPr>
          <w:rFonts w:hint="eastAsia" w:ascii="微软雅黑" w:hAnsi="微软雅黑" w:eastAsia="微软雅黑" w:cs="Times New Roman"/>
          <w:b/>
          <w:snapToGrid w:val="0"/>
          <w:color w:val="auto"/>
          <w:kern w:val="0"/>
          <w:sz w:val="24"/>
          <w:szCs w:val="24"/>
          <w:u w:val="single"/>
          <w:lang w:val="zh-CN"/>
        </w:rPr>
        <w:t xml:space="preserve"> </w:t>
      </w:r>
      <w:r>
        <w:rPr>
          <w:rFonts w:ascii="微软雅黑" w:hAnsi="微软雅黑" w:eastAsia="微软雅黑" w:cs="Times New Roman"/>
          <w:snapToGrid w:val="0"/>
          <w:color w:val="auto"/>
          <w:kern w:val="0"/>
          <w:sz w:val="24"/>
          <w:szCs w:val="24"/>
          <w:lang w:val="zh-CN"/>
        </w:rPr>
        <w:t>年。</w:t>
      </w:r>
    </w:p>
    <w:p w14:paraId="188DE617">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七、交货期、交货方式及地点</w:t>
      </w:r>
    </w:p>
    <w:p w14:paraId="16C0D0B8">
      <w:pPr>
        <w:adjustRightInd w:val="0"/>
        <w:snapToGrid w:val="0"/>
        <w:spacing w:before="120" w:after="120" w:line="360" w:lineRule="auto"/>
        <w:ind w:firstLine="511" w:firstLineChars="213"/>
        <w:rPr>
          <w:rFonts w:hint="eastAsia" w:ascii="微软雅黑" w:hAnsi="微软雅黑" w:eastAsia="微软雅黑" w:cs="Times New Roman"/>
          <w:bCs/>
          <w:snapToGrid w:val="0"/>
          <w:color w:val="auto"/>
          <w:kern w:val="0"/>
          <w:sz w:val="24"/>
          <w:szCs w:val="24"/>
          <w:lang w:val="zh-CN"/>
        </w:rPr>
      </w:pPr>
      <w:r>
        <w:rPr>
          <w:rFonts w:ascii="微软雅黑" w:hAnsi="微软雅黑" w:eastAsia="微软雅黑" w:cs="Times New Roman"/>
          <w:bCs/>
          <w:snapToGrid w:val="0"/>
          <w:color w:val="auto"/>
          <w:kern w:val="0"/>
          <w:sz w:val="24"/>
          <w:szCs w:val="24"/>
          <w:lang w:val="zh-CN"/>
        </w:rPr>
        <w:t>1. 交货期：</w:t>
      </w:r>
    </w:p>
    <w:p w14:paraId="7E13E231">
      <w:pPr>
        <w:adjustRightInd w:val="0"/>
        <w:snapToGrid w:val="0"/>
        <w:spacing w:before="120" w:after="120" w:line="360" w:lineRule="auto"/>
        <w:ind w:firstLine="511" w:firstLineChars="213"/>
        <w:rPr>
          <w:rFonts w:hint="eastAsia" w:ascii="微软雅黑" w:hAnsi="微软雅黑" w:eastAsia="微软雅黑" w:cs="Times New Roman"/>
          <w:bCs/>
          <w:snapToGrid w:val="0"/>
          <w:color w:val="auto"/>
          <w:kern w:val="0"/>
          <w:sz w:val="24"/>
          <w:szCs w:val="24"/>
          <w:lang w:val="zh-CN"/>
        </w:rPr>
      </w:pPr>
      <w:r>
        <w:rPr>
          <w:rFonts w:hint="eastAsia" w:ascii="微软雅黑" w:hAnsi="微软雅黑" w:eastAsia="微软雅黑" w:cs="Times New Roman"/>
          <w:bCs/>
          <w:snapToGrid w:val="0"/>
          <w:color w:val="auto"/>
          <w:kern w:val="0"/>
          <w:sz w:val="24"/>
          <w:szCs w:val="24"/>
          <w:lang w:val="zh-CN"/>
        </w:rPr>
        <w:t>本合同签订之日起</w:t>
      </w:r>
      <w:r>
        <w:rPr>
          <w:rFonts w:hint="eastAsia" w:ascii="微软雅黑" w:hAnsi="微软雅黑" w:eastAsia="微软雅黑" w:cs="Times New Roman"/>
          <w:bCs/>
          <w:snapToGrid w:val="0"/>
          <w:color w:val="auto"/>
          <w:kern w:val="0"/>
          <w:sz w:val="24"/>
          <w:szCs w:val="24"/>
          <w:u w:val="single"/>
        </w:rPr>
        <w:t>XX（工作日/月）</w:t>
      </w:r>
      <w:r>
        <w:rPr>
          <w:rFonts w:hint="eastAsia" w:ascii="微软雅黑" w:hAnsi="微软雅黑" w:eastAsia="微软雅黑" w:cs="Times New Roman"/>
          <w:bCs/>
          <w:snapToGrid w:val="0"/>
          <w:color w:val="auto"/>
          <w:kern w:val="0"/>
          <w:sz w:val="24"/>
          <w:szCs w:val="24"/>
          <w:lang w:val="zh-CN"/>
        </w:rPr>
        <w:t>内，乙方将产品</w:t>
      </w:r>
      <w:r>
        <w:rPr>
          <w:rFonts w:ascii="微软雅黑" w:hAnsi="微软雅黑" w:eastAsia="微软雅黑" w:cs="Times New Roman"/>
          <w:bCs/>
          <w:snapToGrid w:val="0"/>
          <w:color w:val="auto"/>
          <w:kern w:val="0"/>
          <w:sz w:val="24"/>
          <w:szCs w:val="24"/>
          <w:lang w:val="zh-CN"/>
        </w:rPr>
        <w:t>/</w:t>
      </w:r>
      <w:r>
        <w:rPr>
          <w:rFonts w:hint="eastAsia" w:ascii="微软雅黑" w:hAnsi="微软雅黑" w:eastAsia="微软雅黑" w:cs="Times New Roman"/>
          <w:bCs/>
          <w:snapToGrid w:val="0"/>
          <w:color w:val="auto"/>
          <w:kern w:val="0"/>
          <w:sz w:val="24"/>
          <w:szCs w:val="24"/>
          <w:lang w:val="zh-CN"/>
        </w:rPr>
        <w:t>服务交付到甲方指定地点。</w:t>
      </w:r>
    </w:p>
    <w:p w14:paraId="5BD974F6">
      <w:pPr>
        <w:adjustRightInd w:val="0"/>
        <w:snapToGrid w:val="0"/>
        <w:spacing w:before="120" w:after="120" w:line="360" w:lineRule="auto"/>
        <w:ind w:firstLine="511" w:firstLineChars="213"/>
        <w:rPr>
          <w:rFonts w:hint="eastAsia" w:ascii="微软雅黑" w:hAnsi="微软雅黑" w:eastAsia="微软雅黑" w:cs="Times New Roman"/>
          <w:bCs/>
          <w:snapToGrid w:val="0"/>
          <w:color w:val="auto"/>
          <w:kern w:val="0"/>
          <w:sz w:val="24"/>
          <w:szCs w:val="24"/>
          <w:lang w:val="zh-CN"/>
        </w:rPr>
      </w:pPr>
      <w:r>
        <w:rPr>
          <w:rFonts w:ascii="微软雅黑" w:hAnsi="微软雅黑" w:eastAsia="微软雅黑" w:cs="Times New Roman"/>
          <w:bCs/>
          <w:snapToGrid w:val="0"/>
          <w:color w:val="auto"/>
          <w:kern w:val="0"/>
          <w:sz w:val="24"/>
          <w:szCs w:val="24"/>
          <w:lang w:val="zh-CN"/>
        </w:rPr>
        <w:t>2. 交货方式</w:t>
      </w:r>
      <w:r>
        <w:rPr>
          <w:rFonts w:hint="eastAsia" w:ascii="微软雅黑" w:hAnsi="微软雅黑" w:eastAsia="微软雅黑" w:cs="Times New Roman"/>
          <w:bCs/>
          <w:snapToGrid w:val="0"/>
          <w:color w:val="auto"/>
          <w:kern w:val="0"/>
          <w:sz w:val="24"/>
          <w:szCs w:val="24"/>
          <w:lang w:val="zh-CN"/>
        </w:rPr>
        <w:t>及</w:t>
      </w:r>
      <w:r>
        <w:rPr>
          <w:rFonts w:ascii="微软雅黑" w:hAnsi="微软雅黑" w:eastAsia="微软雅黑" w:cs="Times New Roman"/>
          <w:bCs/>
          <w:snapToGrid w:val="0"/>
          <w:color w:val="auto"/>
          <w:kern w:val="0"/>
          <w:sz w:val="24"/>
          <w:szCs w:val="24"/>
          <w:lang w:val="zh-CN"/>
        </w:rPr>
        <w:t>地点：</w:t>
      </w:r>
    </w:p>
    <w:p w14:paraId="4068ED0A">
      <w:pPr>
        <w:adjustRightInd w:val="0"/>
        <w:snapToGrid w:val="0"/>
        <w:spacing w:before="120" w:after="120" w:line="360" w:lineRule="auto"/>
        <w:ind w:firstLine="511" w:firstLineChars="213"/>
        <w:rPr>
          <w:rFonts w:hint="eastAsia" w:ascii="微软雅黑" w:hAnsi="微软雅黑" w:eastAsia="微软雅黑" w:cs="Times New Roman"/>
          <w:bCs/>
          <w:snapToGrid w:val="0"/>
          <w:color w:val="auto"/>
          <w:kern w:val="0"/>
          <w:sz w:val="24"/>
          <w:szCs w:val="24"/>
          <w:lang w:val="zh-CN"/>
        </w:rPr>
      </w:pPr>
      <w:r>
        <w:rPr>
          <w:rFonts w:hint="eastAsia" w:ascii="微软雅黑" w:hAnsi="微软雅黑" w:eastAsia="微软雅黑" w:cs="Times New Roman"/>
          <w:bCs/>
          <w:snapToGrid w:val="0"/>
          <w:color w:val="auto"/>
          <w:kern w:val="0"/>
          <w:sz w:val="24"/>
          <w:szCs w:val="24"/>
          <w:lang w:val="zh-CN"/>
        </w:rPr>
        <w:t>乙方将产品交付到甲方指定地点，并在货物到货后</w:t>
      </w:r>
      <w:r>
        <w:rPr>
          <w:rFonts w:hint="eastAsia" w:ascii="微软雅黑" w:hAnsi="微软雅黑" w:eastAsia="微软雅黑" w:cs="Times New Roman"/>
          <w:bCs/>
          <w:snapToGrid w:val="0"/>
          <w:color w:val="auto"/>
          <w:kern w:val="0"/>
          <w:sz w:val="24"/>
          <w:szCs w:val="24"/>
          <w:u w:val="single"/>
        </w:rPr>
        <w:t>XX（工作日/月）</w:t>
      </w:r>
      <w:r>
        <w:rPr>
          <w:rFonts w:hint="eastAsia" w:ascii="微软雅黑" w:hAnsi="微软雅黑" w:eastAsia="微软雅黑" w:cs="Times New Roman"/>
          <w:bCs/>
          <w:snapToGrid w:val="0"/>
          <w:color w:val="auto"/>
          <w:kern w:val="0"/>
          <w:sz w:val="24"/>
          <w:szCs w:val="24"/>
          <w:lang w:val="zh-CN"/>
        </w:rPr>
        <w:t>内完成安装调试，确保可用。</w:t>
      </w:r>
    </w:p>
    <w:p w14:paraId="145A7326">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hint="eastAsia" w:ascii="微软雅黑" w:hAnsi="微软雅黑" w:eastAsia="微软雅黑" w:cs="Times New Roman"/>
          <w:b/>
          <w:snapToGrid w:val="0"/>
          <w:color w:val="auto"/>
          <w:kern w:val="0"/>
          <w:sz w:val="24"/>
          <w:szCs w:val="24"/>
          <w:lang w:val="zh-CN"/>
        </w:rPr>
        <w:t>八、</w:t>
      </w:r>
      <w:r>
        <w:rPr>
          <w:rFonts w:hint="eastAsia" w:ascii="微软雅黑" w:hAnsi="微软雅黑" w:eastAsia="微软雅黑" w:cs="Times New Roman"/>
          <w:b/>
          <w:snapToGrid w:val="0"/>
          <w:color w:val="auto"/>
          <w:kern w:val="0"/>
          <w:sz w:val="24"/>
          <w:szCs w:val="24"/>
          <w:lang w:val="en-US" w:eastAsia="zh-CN"/>
        </w:rPr>
        <w:t>项目</w:t>
      </w:r>
      <w:r>
        <w:rPr>
          <w:rFonts w:ascii="微软雅黑" w:hAnsi="微软雅黑" w:eastAsia="微软雅黑" w:cs="Times New Roman"/>
          <w:b/>
          <w:snapToGrid w:val="0"/>
          <w:color w:val="auto"/>
          <w:kern w:val="0"/>
          <w:sz w:val="24"/>
          <w:szCs w:val="24"/>
          <w:lang w:val="zh-CN"/>
        </w:rPr>
        <w:t>款支付</w:t>
      </w:r>
    </w:p>
    <w:p w14:paraId="6D003C76">
      <w:pPr>
        <w:adjustRightInd w:val="0"/>
        <w:snapToGrid w:val="0"/>
        <w:spacing w:before="120" w:after="120" w:line="360" w:lineRule="auto"/>
        <w:ind w:firstLine="511" w:firstLineChars="213"/>
        <w:rPr>
          <w:rFonts w:hint="eastAsia" w:ascii="微软雅黑" w:hAnsi="微软雅黑" w:eastAsia="微软雅黑" w:cs="Times New Roman"/>
          <w:color w:val="auto"/>
          <w:sz w:val="24"/>
          <w:szCs w:val="21"/>
          <w:lang w:val="zh-CN"/>
        </w:rPr>
      </w:pPr>
      <w:r>
        <w:rPr>
          <w:rFonts w:ascii="微软雅黑" w:hAnsi="微软雅黑" w:eastAsia="微软雅黑" w:cs="Times New Roman"/>
          <w:bCs/>
          <w:snapToGrid w:val="0"/>
          <w:color w:val="auto"/>
          <w:kern w:val="0"/>
          <w:sz w:val="24"/>
          <w:szCs w:val="24"/>
          <w:lang w:val="zh-CN"/>
        </w:rPr>
        <w:t xml:space="preserve"> 付款方式：</w:t>
      </w:r>
      <w:r>
        <w:rPr>
          <w:rFonts w:hint="eastAsia" w:ascii="微软雅黑" w:hAnsi="微软雅黑" w:eastAsia="微软雅黑" w:cs="Times New Roman"/>
          <w:color w:val="auto"/>
          <w:sz w:val="24"/>
          <w:szCs w:val="21"/>
          <w:lang w:val="zh-CN"/>
        </w:rPr>
        <w:t>甲方采用银行转帐或电汇方式将款项汇入乙方指定账户，付款时间如下：</w:t>
      </w:r>
    </w:p>
    <w:p w14:paraId="250B538C">
      <w:pPr>
        <w:spacing w:line="360" w:lineRule="auto"/>
        <w:ind w:firstLine="480" w:firstLineChars="200"/>
        <w:rPr>
          <w:rFonts w:ascii="宋体" w:hAnsi="宋体"/>
          <w:bCs/>
          <w:snapToGrid w:val="0"/>
          <w:color w:val="auto"/>
          <w:kern w:val="0"/>
          <w:sz w:val="24"/>
          <w:highlight w:val="none"/>
        </w:rPr>
      </w:pPr>
      <w:r>
        <w:rPr>
          <w:rFonts w:hint="eastAsia" w:ascii="宋体" w:hAnsi="宋体"/>
          <w:bCs/>
          <w:snapToGrid w:val="0"/>
          <w:color w:val="auto"/>
          <w:kern w:val="0"/>
          <w:sz w:val="24"/>
          <w:highlight w:val="none"/>
          <w:lang w:val="zh-CN"/>
        </w:rPr>
        <w:t>（</w:t>
      </w:r>
      <w:r>
        <w:rPr>
          <w:rFonts w:ascii="Segoe UI" w:hAnsi="Segoe UI" w:eastAsia="Segoe UI" w:cs="Segoe UI"/>
          <w:i w:val="0"/>
          <w:iCs w:val="0"/>
          <w:caps w:val="0"/>
          <w:spacing w:val="4"/>
          <w:sz w:val="21"/>
          <w:szCs w:val="21"/>
          <w:shd w:val="clear" w:fill="FFFFFF"/>
        </w:rPr>
        <w:t>按采购文件付款方式执行</w:t>
      </w:r>
      <w:r>
        <w:rPr>
          <w:rFonts w:hint="eastAsia" w:ascii="宋体" w:hAnsi="宋体"/>
          <w:bCs/>
          <w:snapToGrid w:val="0"/>
          <w:color w:val="auto"/>
          <w:kern w:val="0"/>
          <w:sz w:val="24"/>
          <w:highlight w:val="none"/>
          <w:lang w:val="zh-CN"/>
        </w:rPr>
        <w:t>）</w:t>
      </w:r>
    </w:p>
    <w:p w14:paraId="108BF8F7">
      <w:pPr>
        <w:spacing w:line="360" w:lineRule="auto"/>
        <w:ind w:left="885"/>
        <w:rPr>
          <w:rFonts w:hint="eastAsia" w:ascii="微软雅黑" w:hAnsi="微软雅黑" w:eastAsia="微软雅黑" w:cs="Times New Roman"/>
          <w:color w:val="auto"/>
          <w:sz w:val="24"/>
          <w:szCs w:val="21"/>
          <w:lang w:val="zh-CN"/>
        </w:rPr>
      </w:pPr>
      <w:r>
        <w:rPr>
          <w:rFonts w:hint="eastAsia" w:ascii="微软雅黑" w:hAnsi="微软雅黑" w:eastAsia="微软雅黑" w:cs="Times New Roman"/>
          <w:color w:val="auto"/>
          <w:sz w:val="24"/>
          <w:szCs w:val="21"/>
          <w:lang w:val="zh-CN"/>
        </w:rPr>
        <w:t>乙方指定账户：</w:t>
      </w:r>
    </w:p>
    <w:p w14:paraId="64DAE7DB">
      <w:pPr>
        <w:spacing w:line="360" w:lineRule="auto"/>
        <w:ind w:left="885"/>
        <w:rPr>
          <w:rFonts w:hint="eastAsia" w:ascii="微软雅黑" w:hAnsi="微软雅黑" w:eastAsia="微软雅黑" w:cs="Times New Roman"/>
          <w:color w:val="auto"/>
          <w:sz w:val="24"/>
          <w:szCs w:val="21"/>
          <w:lang w:val="zh-CN"/>
        </w:rPr>
      </w:pPr>
      <w:r>
        <w:rPr>
          <w:rFonts w:hint="eastAsia" w:ascii="微软雅黑" w:hAnsi="微软雅黑" w:eastAsia="微软雅黑" w:cs="Times New Roman"/>
          <w:color w:val="auto"/>
          <w:sz w:val="24"/>
          <w:szCs w:val="21"/>
          <w:lang w:val="zh-CN"/>
        </w:rPr>
        <w:t>账户名称：</w:t>
      </w:r>
      <w:r>
        <w:rPr>
          <w:rFonts w:ascii="微软雅黑" w:hAnsi="微软雅黑" w:eastAsia="微软雅黑" w:cs="Times New Roman"/>
          <w:color w:val="auto"/>
          <w:sz w:val="24"/>
          <w:szCs w:val="21"/>
          <w:lang w:val="zh-CN"/>
        </w:rPr>
        <w:t xml:space="preserve">  </w:t>
      </w:r>
      <w:r>
        <w:rPr>
          <w:rFonts w:hint="eastAsia" w:ascii="微软雅黑" w:hAnsi="微软雅黑" w:eastAsia="微软雅黑" w:cs="Times New Roman"/>
          <w:color w:val="auto"/>
          <w:sz w:val="24"/>
          <w:szCs w:val="21"/>
          <w:u w:val="single"/>
          <w:lang w:val="zh-CN"/>
        </w:rPr>
        <w:t xml:space="preserve">                          </w:t>
      </w:r>
      <w:r>
        <w:rPr>
          <w:rFonts w:ascii="微软雅黑" w:hAnsi="微软雅黑" w:eastAsia="微软雅黑" w:cs="Times New Roman"/>
          <w:color w:val="auto"/>
          <w:sz w:val="24"/>
          <w:szCs w:val="21"/>
          <w:lang w:val="zh-CN"/>
        </w:rPr>
        <w:t xml:space="preserve">  </w:t>
      </w:r>
    </w:p>
    <w:p w14:paraId="3CFDAB61">
      <w:pPr>
        <w:spacing w:line="360" w:lineRule="auto"/>
        <w:ind w:left="885"/>
        <w:rPr>
          <w:rFonts w:hint="eastAsia" w:ascii="微软雅黑" w:hAnsi="微软雅黑" w:eastAsia="微软雅黑" w:cs="Times New Roman"/>
          <w:color w:val="auto"/>
          <w:sz w:val="24"/>
          <w:szCs w:val="21"/>
          <w:lang w:val="zh-CN"/>
        </w:rPr>
      </w:pPr>
      <w:r>
        <w:rPr>
          <w:rFonts w:hint="eastAsia" w:ascii="微软雅黑" w:hAnsi="微软雅黑" w:eastAsia="微软雅黑" w:cs="Times New Roman"/>
          <w:color w:val="auto"/>
          <w:sz w:val="24"/>
          <w:szCs w:val="21"/>
          <w:lang w:val="zh-CN"/>
        </w:rPr>
        <w:t>账户开户银行：</w:t>
      </w:r>
      <w:r>
        <w:rPr>
          <w:rFonts w:hint="eastAsia" w:ascii="微软雅黑" w:hAnsi="微软雅黑" w:eastAsia="微软雅黑" w:cs="Times New Roman"/>
          <w:color w:val="auto"/>
          <w:sz w:val="24"/>
          <w:szCs w:val="21"/>
          <w:u w:val="single"/>
          <w:lang w:val="zh-CN"/>
        </w:rPr>
        <w:t xml:space="preserve">                           </w:t>
      </w:r>
    </w:p>
    <w:p w14:paraId="6AA47483">
      <w:pPr>
        <w:spacing w:line="360" w:lineRule="auto"/>
        <w:ind w:left="885"/>
        <w:rPr>
          <w:rFonts w:hint="eastAsia" w:ascii="微软雅黑" w:hAnsi="微软雅黑" w:eastAsia="微软雅黑" w:cs="Times New Roman"/>
          <w:color w:val="auto"/>
          <w:sz w:val="24"/>
          <w:szCs w:val="21"/>
          <w:u w:val="single"/>
          <w:lang w:val="zh-CN"/>
        </w:rPr>
      </w:pPr>
      <w:r>
        <w:rPr>
          <w:rFonts w:hint="eastAsia" w:ascii="微软雅黑" w:hAnsi="微软雅黑" w:eastAsia="微软雅黑" w:cs="Times New Roman"/>
          <w:color w:val="auto"/>
          <w:sz w:val="24"/>
          <w:szCs w:val="21"/>
          <w:lang w:val="zh-CN"/>
        </w:rPr>
        <w:t>账户银行账号：</w:t>
      </w:r>
      <w:r>
        <w:rPr>
          <w:rFonts w:hint="eastAsia" w:ascii="微软雅黑" w:hAnsi="微软雅黑" w:eastAsia="微软雅黑" w:cs="Times New Roman"/>
          <w:color w:val="auto"/>
          <w:sz w:val="24"/>
          <w:szCs w:val="21"/>
          <w:u w:val="single"/>
          <w:lang w:val="zh-CN"/>
        </w:rPr>
        <w:t xml:space="preserve">                           </w:t>
      </w:r>
    </w:p>
    <w:p w14:paraId="4216C258">
      <w:pPr>
        <w:adjustRightInd w:val="0"/>
        <w:snapToGrid w:val="0"/>
        <w:spacing w:before="156" w:beforeLines="50" w:after="156" w:afterLines="50" w:line="360" w:lineRule="auto"/>
        <w:ind w:firstLine="511" w:firstLineChars="213"/>
        <w:rPr>
          <w:rFonts w:hint="eastAsia" w:ascii="微软雅黑" w:hAnsi="微软雅黑" w:eastAsia="微软雅黑" w:cs="Times New Roman"/>
          <w:b/>
          <w:snapToGrid w:val="0"/>
          <w:color w:val="auto"/>
          <w:kern w:val="0"/>
          <w:sz w:val="24"/>
          <w:szCs w:val="24"/>
        </w:rPr>
      </w:pPr>
      <w:r>
        <w:rPr>
          <w:rFonts w:hint="eastAsia" w:ascii="微软雅黑" w:hAnsi="微软雅黑" w:eastAsia="微软雅黑" w:cs="Times New Roman"/>
          <w:b/>
          <w:snapToGrid w:val="0"/>
          <w:color w:val="auto"/>
          <w:kern w:val="0"/>
          <w:sz w:val="24"/>
          <w:szCs w:val="24"/>
        </w:rPr>
        <w:t>九</w:t>
      </w:r>
      <w:r>
        <w:rPr>
          <w:rFonts w:ascii="微软雅黑" w:hAnsi="微软雅黑" w:eastAsia="微软雅黑" w:cs="Times New Roman"/>
          <w:b/>
          <w:snapToGrid w:val="0"/>
          <w:color w:val="auto"/>
          <w:kern w:val="0"/>
          <w:sz w:val="24"/>
          <w:szCs w:val="24"/>
        </w:rPr>
        <w:t>、税费</w:t>
      </w:r>
    </w:p>
    <w:p w14:paraId="7E2A945D">
      <w:pPr>
        <w:adjustRightInd w:val="0"/>
        <w:snapToGrid w:val="0"/>
        <w:spacing w:before="156" w:beforeLines="50" w:after="156" w:afterLines="50" w:line="360" w:lineRule="auto"/>
        <w:ind w:firstLine="511" w:firstLineChars="213"/>
        <w:rPr>
          <w:rFonts w:hint="eastAsia" w:ascii="微软雅黑" w:hAnsi="微软雅黑" w:eastAsia="微软雅黑" w:cs="Times New Roman"/>
          <w:snapToGrid w:val="0"/>
          <w:color w:val="auto"/>
          <w:kern w:val="0"/>
          <w:sz w:val="24"/>
          <w:szCs w:val="24"/>
        </w:rPr>
      </w:pPr>
      <w:r>
        <w:rPr>
          <w:rFonts w:ascii="微软雅黑" w:hAnsi="微软雅黑" w:eastAsia="微软雅黑" w:cs="Times New Roman"/>
          <w:snapToGrid w:val="0"/>
          <w:color w:val="auto"/>
          <w:kern w:val="0"/>
          <w:sz w:val="24"/>
          <w:szCs w:val="24"/>
        </w:rPr>
        <w:t>本合同执行中相关的一切税费均由乙方负担。</w:t>
      </w:r>
    </w:p>
    <w:p w14:paraId="428AB14A">
      <w:pPr>
        <w:adjustRightInd w:val="0"/>
        <w:snapToGrid w:val="0"/>
        <w:spacing w:before="156" w:beforeLines="50" w:after="156" w:afterLines="50" w:line="360" w:lineRule="auto"/>
        <w:ind w:firstLine="511" w:firstLineChars="213"/>
        <w:rPr>
          <w:rFonts w:hint="eastAsia" w:ascii="微软雅黑" w:hAnsi="微软雅黑" w:eastAsia="微软雅黑" w:cs="Times New Roman"/>
          <w:b/>
          <w:snapToGrid w:val="0"/>
          <w:color w:val="auto"/>
          <w:kern w:val="0"/>
          <w:sz w:val="24"/>
          <w:szCs w:val="24"/>
        </w:rPr>
      </w:pPr>
      <w:r>
        <w:rPr>
          <w:rFonts w:hint="eastAsia" w:ascii="微软雅黑" w:hAnsi="微软雅黑" w:eastAsia="微软雅黑" w:cs="Times New Roman"/>
          <w:b/>
          <w:snapToGrid w:val="0"/>
          <w:color w:val="auto"/>
          <w:kern w:val="0"/>
          <w:sz w:val="24"/>
          <w:szCs w:val="24"/>
        </w:rPr>
        <w:t>十、各方职责</w:t>
      </w:r>
    </w:p>
    <w:p w14:paraId="5DC04750">
      <w:pPr>
        <w:autoSpaceDE w:val="0"/>
        <w:autoSpaceDN w:val="0"/>
        <w:adjustRightInd w:val="0"/>
        <w:spacing w:line="360" w:lineRule="auto"/>
        <w:ind w:firstLine="360" w:firstLineChars="150"/>
        <w:jc w:val="left"/>
        <w:rPr>
          <w:rFonts w:hint="eastAsia" w:ascii="微软雅黑" w:hAnsi="微软雅黑" w:eastAsia="微软雅黑" w:cs="Times New Roman"/>
          <w:snapToGrid w:val="0"/>
          <w:color w:val="auto"/>
          <w:kern w:val="0"/>
          <w:sz w:val="24"/>
          <w:szCs w:val="24"/>
        </w:rPr>
      </w:pPr>
      <w:r>
        <w:rPr>
          <w:rFonts w:hint="eastAsia" w:ascii="微软雅黑" w:hAnsi="微软雅黑" w:eastAsia="微软雅黑" w:cs="Times New Roman"/>
          <w:snapToGrid w:val="0"/>
          <w:color w:val="auto"/>
          <w:kern w:val="0"/>
          <w:sz w:val="24"/>
          <w:szCs w:val="24"/>
        </w:rPr>
        <w:t>1、甲方职责：</w:t>
      </w:r>
    </w:p>
    <w:p w14:paraId="347CA354">
      <w:pPr>
        <w:numPr>
          <w:ilvl w:val="0"/>
          <w:numId w:val="12"/>
        </w:numPr>
        <w:autoSpaceDE w:val="0"/>
        <w:autoSpaceDN w:val="0"/>
        <w:adjustRightInd w:val="0"/>
        <w:spacing w:line="360" w:lineRule="auto"/>
        <w:ind w:firstLine="6"/>
        <w:jc w:val="left"/>
        <w:rPr>
          <w:rFonts w:hint="eastAsia" w:ascii="微软雅黑" w:hAnsi="微软雅黑" w:eastAsia="微软雅黑" w:cs="Times New Roman"/>
          <w:snapToGrid w:val="0"/>
          <w:color w:val="auto"/>
          <w:kern w:val="0"/>
          <w:sz w:val="24"/>
          <w:szCs w:val="24"/>
        </w:rPr>
      </w:pPr>
      <w:r>
        <w:rPr>
          <w:rFonts w:hint="eastAsia" w:ascii="微软雅黑" w:hAnsi="微软雅黑" w:eastAsia="微软雅黑" w:cs="Times New Roman"/>
          <w:snapToGrid w:val="0"/>
          <w:color w:val="auto"/>
          <w:kern w:val="0"/>
          <w:sz w:val="24"/>
          <w:szCs w:val="24"/>
        </w:rPr>
        <w:t>甲方应向乙方提供采购内容所需要的技术资料和数据，参与整个项目的全过程，协助配合乙方做好需求调研、方案设计及现场等工作，对各项业务的需求报告及时确认。</w:t>
      </w:r>
    </w:p>
    <w:p w14:paraId="2C928A22">
      <w:pPr>
        <w:numPr>
          <w:ilvl w:val="0"/>
          <w:numId w:val="12"/>
        </w:numPr>
        <w:spacing w:line="360" w:lineRule="auto"/>
        <w:ind w:firstLine="6"/>
        <w:rPr>
          <w:rFonts w:hint="eastAsia" w:ascii="微软雅黑" w:hAnsi="微软雅黑" w:eastAsia="微软雅黑" w:cs="Times New Roman"/>
          <w:snapToGrid w:val="0"/>
          <w:color w:val="auto"/>
          <w:kern w:val="0"/>
          <w:sz w:val="24"/>
          <w:szCs w:val="24"/>
        </w:rPr>
      </w:pPr>
      <w:r>
        <w:rPr>
          <w:rFonts w:hint="eastAsia" w:ascii="微软雅黑" w:hAnsi="微软雅黑" w:eastAsia="微软雅黑" w:cs="Times New Roman"/>
          <w:snapToGrid w:val="0"/>
          <w:color w:val="auto"/>
          <w:kern w:val="0"/>
          <w:sz w:val="24"/>
          <w:szCs w:val="24"/>
        </w:rPr>
        <w:t>确保有专人负责软件的使用和管理，确保设施运行环境（包括计算机、打印机及相关硬件设备）的安全，为软件正常运行提供保障。</w:t>
      </w:r>
    </w:p>
    <w:p w14:paraId="0CCA122C">
      <w:pPr>
        <w:numPr>
          <w:ilvl w:val="0"/>
          <w:numId w:val="12"/>
        </w:numPr>
        <w:spacing w:line="360" w:lineRule="auto"/>
        <w:ind w:firstLine="6"/>
        <w:rPr>
          <w:rFonts w:hint="eastAsia" w:ascii="微软雅黑" w:hAnsi="微软雅黑" w:eastAsia="微软雅黑" w:cs="Times New Roman"/>
          <w:snapToGrid w:val="0"/>
          <w:color w:val="auto"/>
          <w:kern w:val="0"/>
          <w:sz w:val="24"/>
          <w:szCs w:val="24"/>
        </w:rPr>
      </w:pPr>
      <w:r>
        <w:rPr>
          <w:rFonts w:hint="eastAsia" w:ascii="微软雅黑" w:hAnsi="微软雅黑" w:eastAsia="微软雅黑" w:cs="Times New Roman"/>
          <w:snapToGrid w:val="0"/>
          <w:color w:val="auto"/>
          <w:kern w:val="0"/>
          <w:sz w:val="24"/>
          <w:szCs w:val="24"/>
        </w:rPr>
        <w:t>在乙方进行维护与技术支持时，根据乙方要求，指定配合工作的员工，提供必要的设备,配合检查软件系统运行是否正常。</w:t>
      </w:r>
    </w:p>
    <w:p w14:paraId="3F27D0F7">
      <w:pPr>
        <w:autoSpaceDE w:val="0"/>
        <w:autoSpaceDN w:val="0"/>
        <w:adjustRightInd w:val="0"/>
        <w:spacing w:line="360" w:lineRule="auto"/>
        <w:ind w:firstLine="480" w:firstLineChars="200"/>
        <w:jc w:val="left"/>
        <w:rPr>
          <w:rFonts w:hint="eastAsia" w:ascii="微软雅黑" w:hAnsi="微软雅黑" w:eastAsia="微软雅黑" w:cs="Times New Roman"/>
          <w:snapToGrid w:val="0"/>
          <w:color w:val="auto"/>
          <w:kern w:val="0"/>
          <w:sz w:val="24"/>
          <w:szCs w:val="24"/>
        </w:rPr>
      </w:pPr>
      <w:r>
        <w:rPr>
          <w:rFonts w:hint="eastAsia" w:ascii="微软雅黑" w:hAnsi="微软雅黑" w:eastAsia="微软雅黑" w:cs="Times New Roman"/>
          <w:snapToGrid w:val="0"/>
          <w:color w:val="auto"/>
          <w:kern w:val="0"/>
          <w:sz w:val="24"/>
          <w:szCs w:val="24"/>
        </w:rPr>
        <w:t>2、乙方职责：</w:t>
      </w:r>
    </w:p>
    <w:p w14:paraId="7588694C">
      <w:pPr>
        <w:numPr>
          <w:ilvl w:val="0"/>
          <w:numId w:val="13"/>
        </w:numPr>
        <w:autoSpaceDE w:val="0"/>
        <w:autoSpaceDN w:val="0"/>
        <w:adjustRightInd w:val="0"/>
        <w:spacing w:line="360" w:lineRule="auto"/>
        <w:ind w:firstLine="6"/>
        <w:jc w:val="left"/>
        <w:rPr>
          <w:rFonts w:hint="eastAsia" w:ascii="微软雅黑" w:hAnsi="微软雅黑" w:eastAsia="微软雅黑" w:cs="Times New Roman"/>
          <w:snapToGrid w:val="0"/>
          <w:color w:val="auto"/>
          <w:kern w:val="0"/>
          <w:sz w:val="24"/>
          <w:szCs w:val="24"/>
        </w:rPr>
      </w:pPr>
      <w:r>
        <w:rPr>
          <w:rFonts w:hint="eastAsia" w:ascii="微软雅黑" w:hAnsi="微软雅黑" w:eastAsia="微软雅黑" w:cs="Times New Roman"/>
          <w:snapToGrid w:val="0"/>
          <w:color w:val="auto"/>
          <w:kern w:val="0"/>
          <w:sz w:val="24"/>
          <w:szCs w:val="24"/>
        </w:rPr>
        <w:t>乙方承诺按照本合同约定的服务内容和服务进度向甲方提供合格的服务，并做好项目管理，指定项目负责人。</w:t>
      </w:r>
    </w:p>
    <w:p w14:paraId="0D3C7316">
      <w:pPr>
        <w:numPr>
          <w:ilvl w:val="0"/>
          <w:numId w:val="13"/>
        </w:numPr>
        <w:autoSpaceDE w:val="0"/>
        <w:autoSpaceDN w:val="0"/>
        <w:adjustRightInd w:val="0"/>
        <w:spacing w:line="360" w:lineRule="auto"/>
        <w:ind w:firstLine="6"/>
        <w:jc w:val="left"/>
        <w:rPr>
          <w:rFonts w:hint="eastAsia" w:ascii="微软雅黑" w:hAnsi="微软雅黑" w:eastAsia="微软雅黑" w:cs="Times New Roman"/>
          <w:snapToGrid w:val="0"/>
          <w:color w:val="auto"/>
          <w:kern w:val="0"/>
          <w:sz w:val="24"/>
          <w:szCs w:val="24"/>
        </w:rPr>
      </w:pPr>
      <w:r>
        <w:rPr>
          <w:rFonts w:hint="eastAsia" w:ascii="微软雅黑" w:hAnsi="微软雅黑" w:eastAsia="微软雅黑" w:cs="Times New Roman"/>
          <w:snapToGrid w:val="0"/>
          <w:color w:val="auto"/>
          <w:kern w:val="0"/>
          <w:sz w:val="24"/>
          <w:szCs w:val="24"/>
        </w:rPr>
        <w:t>乙方保证提供的技术资料具有科学性，正确性，简明性，可操作性和规范性。乙方须进行必要的技术指导，并保证甲方能正确、安全、有效的使用服务成果。</w:t>
      </w:r>
      <w:r>
        <w:rPr>
          <w:rFonts w:ascii="微软雅黑" w:hAnsi="微软雅黑" w:eastAsia="微软雅黑" w:cs="Times New Roman"/>
          <w:snapToGrid w:val="0"/>
          <w:color w:val="auto"/>
          <w:kern w:val="0"/>
          <w:sz w:val="24"/>
          <w:szCs w:val="24"/>
        </w:rPr>
        <w:t xml:space="preserve"> </w:t>
      </w:r>
    </w:p>
    <w:p w14:paraId="6317CAD0">
      <w:pPr>
        <w:numPr>
          <w:ilvl w:val="0"/>
          <w:numId w:val="13"/>
        </w:numPr>
        <w:autoSpaceDE w:val="0"/>
        <w:autoSpaceDN w:val="0"/>
        <w:adjustRightInd w:val="0"/>
        <w:spacing w:line="360" w:lineRule="auto"/>
        <w:ind w:firstLine="6"/>
        <w:jc w:val="left"/>
        <w:rPr>
          <w:rFonts w:hint="eastAsia" w:ascii="微软雅黑" w:hAnsi="微软雅黑" w:eastAsia="微软雅黑" w:cs="Times New Roman"/>
          <w:snapToGrid w:val="0"/>
          <w:color w:val="auto"/>
          <w:kern w:val="0"/>
          <w:sz w:val="24"/>
          <w:szCs w:val="24"/>
        </w:rPr>
      </w:pPr>
      <w:r>
        <w:rPr>
          <w:rFonts w:hint="eastAsia" w:ascii="微软雅黑" w:hAnsi="微软雅黑" w:eastAsia="微软雅黑" w:cs="Times New Roman"/>
          <w:snapToGrid w:val="0"/>
          <w:color w:val="auto"/>
          <w:kern w:val="0"/>
          <w:sz w:val="24"/>
          <w:szCs w:val="24"/>
        </w:rPr>
        <w:t>乙方保证派驻甲方的人员遵守甲方的有关制度、工作纪律和规定，乙方服务人员应在甲方规定的工作场地范围内工作。</w:t>
      </w:r>
    </w:p>
    <w:p w14:paraId="22CC73C4">
      <w:pPr>
        <w:numPr>
          <w:ilvl w:val="0"/>
          <w:numId w:val="13"/>
        </w:numPr>
        <w:autoSpaceDE w:val="0"/>
        <w:autoSpaceDN w:val="0"/>
        <w:adjustRightInd w:val="0"/>
        <w:spacing w:line="360" w:lineRule="auto"/>
        <w:ind w:firstLine="6"/>
        <w:jc w:val="left"/>
        <w:rPr>
          <w:rFonts w:hint="eastAsia" w:ascii="微软雅黑" w:hAnsi="微软雅黑" w:eastAsia="微软雅黑" w:cs="Times New Roman"/>
          <w:snapToGrid w:val="0"/>
          <w:color w:val="auto"/>
          <w:kern w:val="0"/>
          <w:sz w:val="24"/>
          <w:szCs w:val="24"/>
        </w:rPr>
      </w:pPr>
      <w:r>
        <w:rPr>
          <w:rFonts w:hint="eastAsia" w:ascii="微软雅黑" w:hAnsi="微软雅黑" w:eastAsia="微软雅黑" w:cs="Times New Roman"/>
          <w:snapToGrid w:val="0"/>
          <w:color w:val="auto"/>
          <w:kern w:val="0"/>
          <w:sz w:val="24"/>
          <w:szCs w:val="24"/>
        </w:rPr>
        <w:t>乙方在履行合同过程中，对甲方的信息数据、软件源代码、有关文档保密，未经审批不得向第三方泄露，若有违反，经查证后根据情节轻重扣减合同款。</w:t>
      </w:r>
    </w:p>
    <w:p w14:paraId="1881F6C1">
      <w:pPr>
        <w:numPr>
          <w:ilvl w:val="0"/>
          <w:numId w:val="14"/>
        </w:numPr>
        <w:adjustRightInd w:val="0"/>
        <w:snapToGrid w:val="0"/>
        <w:spacing w:before="120" w:after="120"/>
        <w:ind w:left="420" w:leftChars="0" w:firstLine="0" w:firstLineChars="0"/>
        <w:rPr>
          <w:rFonts w:hint="eastAsia" w:ascii="微软雅黑" w:hAnsi="微软雅黑" w:eastAsia="微软雅黑" w:cs="Times New Roman"/>
          <w:b/>
          <w:color w:val="auto"/>
          <w:sz w:val="24"/>
          <w:szCs w:val="24"/>
          <w:lang w:val="zh-CN"/>
        </w:rPr>
      </w:pPr>
      <w:r>
        <w:rPr>
          <w:rFonts w:hint="eastAsia" w:ascii="微软雅黑" w:hAnsi="微软雅黑" w:eastAsia="微软雅黑" w:cs="Times New Roman"/>
          <w:b/>
          <w:color w:val="auto"/>
          <w:sz w:val="24"/>
          <w:szCs w:val="24"/>
          <w:lang w:val="zh-CN"/>
        </w:rPr>
        <w:t>项目内容说明</w:t>
      </w:r>
    </w:p>
    <w:p w14:paraId="0D7DA7FE">
      <w:pPr>
        <w:spacing w:line="360" w:lineRule="auto"/>
        <w:ind w:firstLine="480" w:firstLineChars="200"/>
        <w:rPr>
          <w:rFonts w:hint="eastAsia"/>
          <w:color w:val="auto"/>
          <w:highlight w:val="none"/>
        </w:rPr>
      </w:pPr>
      <w:r>
        <w:rPr>
          <w:rFonts w:hint="eastAsia" w:ascii="宋体" w:hAnsi="宋体"/>
          <w:bCs/>
          <w:snapToGrid w:val="0"/>
          <w:color w:val="auto"/>
          <w:kern w:val="0"/>
          <w:sz w:val="24"/>
          <w:highlight w:val="none"/>
          <w:lang w:val="zh-CN"/>
        </w:rPr>
        <w:t>（</w:t>
      </w:r>
      <w:r>
        <w:rPr>
          <w:rFonts w:hint="eastAsia" w:ascii="宋体" w:hAnsi="宋体"/>
          <w:bCs/>
          <w:snapToGrid w:val="0"/>
          <w:color w:val="auto"/>
          <w:kern w:val="0"/>
          <w:sz w:val="24"/>
          <w:highlight w:val="none"/>
          <w:lang w:val="en-US" w:eastAsia="zh-CN"/>
        </w:rPr>
        <w:t>投标文件项目内容</w:t>
      </w:r>
      <w:r>
        <w:rPr>
          <w:rFonts w:hint="eastAsia" w:ascii="宋体" w:hAnsi="宋体"/>
          <w:bCs/>
          <w:snapToGrid w:val="0"/>
          <w:color w:val="auto"/>
          <w:kern w:val="0"/>
          <w:sz w:val="24"/>
          <w:highlight w:val="none"/>
          <w:lang w:val="zh-CN"/>
        </w:rPr>
        <w:t>）</w:t>
      </w:r>
    </w:p>
    <w:p w14:paraId="63086A11">
      <w:pPr>
        <w:spacing w:line="360" w:lineRule="auto"/>
        <w:rPr>
          <w:rFonts w:hint="eastAsia" w:ascii="宋体" w:hAnsi="宋体" w:eastAsia="宋体" w:cs="Times New Roman"/>
          <w:b/>
          <w:color w:val="auto"/>
          <w:sz w:val="24"/>
          <w:szCs w:val="24"/>
        </w:rPr>
      </w:pPr>
    </w:p>
    <w:p w14:paraId="54D9FAAC">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bookmarkStart w:id="17" w:name="_Toc142970449"/>
      <w:bookmarkStart w:id="18" w:name="_Toc144721928"/>
      <w:r>
        <w:rPr>
          <w:rFonts w:ascii="微软雅黑" w:hAnsi="微软雅黑" w:eastAsia="微软雅黑" w:cs="Times New Roman"/>
          <w:b/>
          <w:snapToGrid w:val="0"/>
          <w:color w:val="auto"/>
          <w:kern w:val="0"/>
          <w:sz w:val="24"/>
          <w:szCs w:val="24"/>
          <w:lang w:val="zh-CN"/>
        </w:rPr>
        <w:t>十</w:t>
      </w:r>
      <w:r>
        <w:rPr>
          <w:rFonts w:hint="eastAsia" w:ascii="微软雅黑" w:hAnsi="微软雅黑" w:eastAsia="微软雅黑" w:cs="Times New Roman"/>
          <w:b/>
          <w:snapToGrid w:val="0"/>
          <w:color w:val="auto"/>
          <w:kern w:val="0"/>
          <w:sz w:val="24"/>
          <w:szCs w:val="24"/>
          <w:lang w:val="zh-CN"/>
        </w:rPr>
        <w:t>二</w:t>
      </w:r>
      <w:r>
        <w:rPr>
          <w:rFonts w:ascii="微软雅黑" w:hAnsi="微软雅黑" w:eastAsia="微软雅黑" w:cs="Times New Roman"/>
          <w:b/>
          <w:snapToGrid w:val="0"/>
          <w:color w:val="auto"/>
          <w:kern w:val="0"/>
          <w:sz w:val="24"/>
          <w:szCs w:val="24"/>
          <w:lang w:val="zh-CN"/>
        </w:rPr>
        <w:t>、</w:t>
      </w:r>
      <w:r>
        <w:rPr>
          <w:rFonts w:hint="eastAsia" w:ascii="微软雅黑" w:hAnsi="微软雅黑" w:eastAsia="微软雅黑" w:cs="Times New Roman"/>
          <w:b/>
          <w:snapToGrid w:val="0"/>
          <w:color w:val="auto"/>
          <w:kern w:val="0"/>
          <w:sz w:val="24"/>
          <w:szCs w:val="24"/>
          <w:lang w:val="zh-CN"/>
        </w:rPr>
        <w:t>项目</w:t>
      </w:r>
      <w:r>
        <w:rPr>
          <w:rFonts w:hint="eastAsia" w:ascii="微软雅黑" w:hAnsi="微软雅黑" w:eastAsia="微软雅黑" w:cs="Times New Roman"/>
          <w:b/>
          <w:snapToGrid w:val="0"/>
          <w:color w:val="auto"/>
          <w:kern w:val="0"/>
          <w:sz w:val="24"/>
          <w:szCs w:val="24"/>
          <w:lang w:val="en-US" w:eastAsia="zh-CN"/>
        </w:rPr>
        <w:t>实施和</w:t>
      </w:r>
      <w:r>
        <w:rPr>
          <w:rFonts w:ascii="微软雅黑" w:hAnsi="微软雅黑" w:eastAsia="微软雅黑" w:cs="Times New Roman"/>
          <w:b/>
          <w:snapToGrid w:val="0"/>
          <w:color w:val="auto"/>
          <w:kern w:val="0"/>
          <w:sz w:val="24"/>
          <w:szCs w:val="24"/>
          <w:lang w:val="zh-CN"/>
        </w:rPr>
        <w:t>验收</w:t>
      </w:r>
    </w:p>
    <w:p w14:paraId="547FC280">
      <w:pPr>
        <w:adjustRightInd w:val="0"/>
        <w:snapToGrid w:val="0"/>
        <w:spacing w:before="120" w:after="120" w:line="360" w:lineRule="auto"/>
        <w:ind w:firstLine="511" w:firstLineChars="213"/>
        <w:jc w:val="left"/>
        <w:rPr>
          <w:rFonts w:hint="eastAsia"/>
          <w:color w:val="auto"/>
          <w:lang w:val="zh-CN"/>
        </w:rPr>
      </w:pPr>
      <w:r>
        <w:rPr>
          <w:rFonts w:ascii="微软雅黑" w:hAnsi="微软雅黑" w:eastAsia="微软雅黑" w:cs="Times New Roman"/>
          <w:snapToGrid w:val="0"/>
          <w:color w:val="auto"/>
          <w:kern w:val="0"/>
          <w:sz w:val="24"/>
          <w:szCs w:val="24"/>
          <w:lang w:val="zh-CN"/>
        </w:rPr>
        <w:t>1</w:t>
      </w:r>
      <w:r>
        <w:rPr>
          <w:rFonts w:hint="eastAsia" w:ascii="微软雅黑" w:hAnsi="微软雅黑" w:eastAsia="微软雅黑" w:cs="Times New Roman"/>
          <w:snapToGrid w:val="0"/>
          <w:color w:val="auto"/>
          <w:kern w:val="0"/>
          <w:sz w:val="24"/>
          <w:szCs w:val="24"/>
          <w:lang w:val="zh-CN"/>
        </w:rPr>
        <w:t>.乙方根据约定服务范围与内容提供技术资料和数据，确保能让甲方正常使用，完成服务内容后可提出</w:t>
      </w:r>
      <w:r>
        <w:rPr>
          <w:rFonts w:hint="eastAsia" w:ascii="微软雅黑" w:hAnsi="微软雅黑" w:eastAsia="微软雅黑" w:cs="Times New Roman"/>
          <w:snapToGrid w:val="0"/>
          <w:color w:val="auto"/>
          <w:kern w:val="0"/>
          <w:sz w:val="24"/>
          <w:szCs w:val="24"/>
          <w:highlight w:val="none"/>
          <w:lang w:val="en-US" w:eastAsia="zh-CN"/>
        </w:rPr>
        <w:t>初步</w:t>
      </w:r>
      <w:r>
        <w:rPr>
          <w:rFonts w:hint="eastAsia" w:ascii="微软雅黑" w:hAnsi="微软雅黑" w:eastAsia="微软雅黑" w:cs="Times New Roman"/>
          <w:snapToGrid w:val="0"/>
          <w:color w:val="auto"/>
          <w:kern w:val="0"/>
          <w:sz w:val="24"/>
          <w:szCs w:val="24"/>
          <w:highlight w:val="none"/>
          <w:lang w:val="zh-CN"/>
        </w:rPr>
        <w:t>验收</w:t>
      </w:r>
      <w:r>
        <w:rPr>
          <w:rFonts w:hint="eastAsia" w:ascii="微软雅黑" w:hAnsi="微软雅黑" w:eastAsia="微软雅黑" w:cs="Times New Roman"/>
          <w:snapToGrid w:val="0"/>
          <w:color w:val="auto"/>
          <w:kern w:val="0"/>
          <w:sz w:val="24"/>
          <w:szCs w:val="24"/>
          <w:highlight w:val="none"/>
          <w:lang w:val="en-US" w:eastAsia="zh-CN"/>
        </w:rPr>
        <w:t>申请，</w:t>
      </w:r>
      <w:r>
        <w:rPr>
          <w:rFonts w:hint="eastAsia" w:ascii="微软雅黑" w:hAnsi="微软雅黑" w:eastAsia="微软雅黑" w:cs="Times New Roman"/>
          <w:snapToGrid w:val="0"/>
          <w:color w:val="auto"/>
          <w:kern w:val="0"/>
          <w:sz w:val="24"/>
          <w:szCs w:val="24"/>
          <w:highlight w:val="none"/>
          <w:lang w:val="zh-CN"/>
        </w:rPr>
        <w:t>初验通过后进入试运行</w:t>
      </w:r>
      <w:r>
        <w:rPr>
          <w:rFonts w:hint="eastAsia" w:ascii="微软雅黑" w:hAnsi="微软雅黑" w:eastAsia="微软雅黑" w:cs="Times New Roman"/>
          <w:snapToGrid w:val="0"/>
          <w:color w:val="auto"/>
          <w:kern w:val="0"/>
          <w:sz w:val="24"/>
          <w:szCs w:val="24"/>
          <w:highlight w:val="none"/>
          <w:lang w:val="en-US" w:eastAsia="zh-CN"/>
        </w:rPr>
        <w:t>阶段</w:t>
      </w:r>
      <w:r>
        <w:rPr>
          <w:rFonts w:hint="eastAsia" w:ascii="微软雅黑" w:hAnsi="微软雅黑" w:eastAsia="微软雅黑" w:cs="Times New Roman"/>
          <w:snapToGrid w:val="0"/>
          <w:color w:val="auto"/>
          <w:kern w:val="0"/>
          <w:sz w:val="24"/>
          <w:szCs w:val="24"/>
          <w:highlight w:val="none"/>
          <w:lang w:val="zh-CN"/>
        </w:rPr>
        <w:t>，</w:t>
      </w:r>
      <w:r>
        <w:rPr>
          <w:rFonts w:hint="eastAsia" w:ascii="微软雅黑" w:hAnsi="微软雅黑" w:eastAsia="微软雅黑" w:cs="Times New Roman"/>
          <w:snapToGrid w:val="0"/>
          <w:color w:val="auto"/>
          <w:kern w:val="0"/>
          <w:sz w:val="24"/>
          <w:szCs w:val="24"/>
          <w:highlight w:val="none"/>
          <w:lang w:val="en-US" w:eastAsia="zh-CN"/>
        </w:rPr>
        <w:t>满一个月且整体稳定后，乙方可</w:t>
      </w:r>
      <w:r>
        <w:rPr>
          <w:rFonts w:hint="eastAsia" w:ascii="微软雅黑" w:hAnsi="微软雅黑" w:eastAsia="微软雅黑" w:cs="Times New Roman"/>
          <w:snapToGrid w:val="0"/>
          <w:color w:val="auto"/>
          <w:kern w:val="0"/>
          <w:sz w:val="24"/>
          <w:szCs w:val="24"/>
          <w:highlight w:val="none"/>
          <w:lang w:val="zh-CN"/>
        </w:rPr>
        <w:t>提出最终验收申请</w:t>
      </w:r>
      <w:r>
        <w:rPr>
          <w:rFonts w:hint="eastAsia" w:ascii="微软雅黑" w:hAnsi="微软雅黑" w:eastAsia="微软雅黑" w:cs="Times New Roman"/>
          <w:snapToGrid w:val="0"/>
          <w:color w:val="auto"/>
          <w:kern w:val="0"/>
          <w:sz w:val="24"/>
          <w:szCs w:val="24"/>
          <w:lang w:val="en-US" w:eastAsia="zh-CN"/>
        </w:rPr>
        <w:t>，</w:t>
      </w:r>
      <w:r>
        <w:rPr>
          <w:rFonts w:hint="eastAsia" w:ascii="微软雅黑" w:hAnsi="微软雅黑" w:eastAsia="微软雅黑" w:cs="Times New Roman"/>
          <w:snapToGrid w:val="0"/>
          <w:color w:val="auto"/>
          <w:kern w:val="0"/>
          <w:sz w:val="24"/>
          <w:szCs w:val="24"/>
          <w:lang w:val="zh-CN"/>
        </w:rPr>
        <w:t>甲方需在十个工作日内</w:t>
      </w:r>
      <w:r>
        <w:rPr>
          <w:rFonts w:hint="eastAsia" w:ascii="微软雅黑" w:hAnsi="微软雅黑" w:eastAsia="微软雅黑" w:cs="Times New Roman"/>
          <w:snapToGrid w:val="0"/>
          <w:color w:val="auto"/>
          <w:kern w:val="0"/>
          <w:sz w:val="24"/>
          <w:szCs w:val="24"/>
          <w:lang w:val="en-US" w:eastAsia="zh-CN"/>
        </w:rPr>
        <w:t>组织</w:t>
      </w:r>
      <w:r>
        <w:rPr>
          <w:rFonts w:hint="eastAsia" w:ascii="微软雅黑" w:hAnsi="微软雅黑" w:eastAsia="微软雅黑" w:cs="Times New Roman"/>
          <w:snapToGrid w:val="0"/>
          <w:color w:val="auto"/>
          <w:kern w:val="0"/>
          <w:sz w:val="24"/>
          <w:szCs w:val="24"/>
          <w:lang w:val="zh-CN"/>
        </w:rPr>
        <w:t>验收。</w:t>
      </w:r>
    </w:p>
    <w:p w14:paraId="46AFAACA">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 xml:space="preserve">2. </w:t>
      </w:r>
      <w:r>
        <w:rPr>
          <w:rFonts w:hint="eastAsia" w:ascii="微软雅黑" w:hAnsi="微软雅黑" w:eastAsia="微软雅黑" w:cs="Times New Roman"/>
          <w:snapToGrid w:val="0"/>
          <w:color w:val="auto"/>
          <w:kern w:val="0"/>
          <w:sz w:val="24"/>
          <w:szCs w:val="24"/>
          <w:lang w:val="zh-CN"/>
        </w:rPr>
        <w:t>验收前，</w:t>
      </w:r>
      <w:r>
        <w:rPr>
          <w:rFonts w:ascii="微软雅黑" w:hAnsi="微软雅黑" w:eastAsia="微软雅黑" w:cs="Times New Roman"/>
          <w:snapToGrid w:val="0"/>
          <w:color w:val="auto"/>
          <w:kern w:val="0"/>
          <w:sz w:val="24"/>
          <w:szCs w:val="24"/>
          <w:lang w:val="zh-CN"/>
        </w:rPr>
        <w:t>乙方应对产品</w:t>
      </w:r>
      <w:r>
        <w:rPr>
          <w:rFonts w:hint="eastAsia" w:ascii="微软雅黑" w:hAnsi="微软雅黑" w:eastAsia="微软雅黑" w:cs="Times New Roman"/>
          <w:snapToGrid w:val="0"/>
          <w:color w:val="auto"/>
          <w:kern w:val="0"/>
          <w:sz w:val="24"/>
          <w:szCs w:val="24"/>
          <w:lang w:val="en-US" w:eastAsia="zh-CN"/>
        </w:rPr>
        <w:t>进行</w:t>
      </w:r>
      <w:r>
        <w:rPr>
          <w:rFonts w:ascii="微软雅黑" w:hAnsi="微软雅黑" w:eastAsia="微软雅黑" w:cs="Times New Roman"/>
          <w:snapToGrid w:val="0"/>
          <w:color w:val="auto"/>
          <w:kern w:val="0"/>
          <w:sz w:val="24"/>
          <w:szCs w:val="24"/>
          <w:lang w:val="zh-CN"/>
        </w:rPr>
        <w:t>全面检查和对验收文件进行整理，并列出清单，</w:t>
      </w:r>
      <w:r>
        <w:rPr>
          <w:rFonts w:hint="eastAsia" w:ascii="微软雅黑" w:hAnsi="微软雅黑" w:eastAsia="微软雅黑" w:cs="Times New Roman"/>
          <w:snapToGrid w:val="0"/>
          <w:color w:val="auto"/>
          <w:kern w:val="0"/>
          <w:sz w:val="24"/>
          <w:szCs w:val="24"/>
          <w:lang w:val="zh-CN"/>
        </w:rPr>
        <w:t>拟订验收报告</w:t>
      </w:r>
      <w:r>
        <w:rPr>
          <w:rFonts w:ascii="微软雅黑" w:hAnsi="微软雅黑" w:eastAsia="微软雅黑" w:cs="Times New Roman"/>
          <w:snapToGrid w:val="0"/>
          <w:color w:val="auto"/>
          <w:kern w:val="0"/>
          <w:sz w:val="24"/>
          <w:szCs w:val="24"/>
          <w:lang w:val="zh-CN"/>
        </w:rPr>
        <w:t>交</w:t>
      </w:r>
      <w:r>
        <w:rPr>
          <w:rFonts w:hint="eastAsia" w:ascii="微软雅黑" w:hAnsi="微软雅黑" w:eastAsia="微软雅黑" w:cs="Times New Roman"/>
          <w:snapToGrid w:val="0"/>
          <w:color w:val="auto"/>
          <w:kern w:val="0"/>
          <w:sz w:val="24"/>
          <w:szCs w:val="24"/>
          <w:lang w:val="zh-CN"/>
        </w:rPr>
        <w:t>与</w:t>
      </w:r>
      <w:r>
        <w:rPr>
          <w:rFonts w:ascii="微软雅黑" w:hAnsi="微软雅黑" w:eastAsia="微软雅黑" w:cs="Times New Roman"/>
          <w:snapToGrid w:val="0"/>
          <w:color w:val="auto"/>
          <w:kern w:val="0"/>
          <w:sz w:val="24"/>
          <w:szCs w:val="24"/>
          <w:lang w:val="zh-CN"/>
        </w:rPr>
        <w:t>甲方。</w:t>
      </w:r>
    </w:p>
    <w:p w14:paraId="5C37E62A">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u w:val="single"/>
          <w:lang w:val="zh-CN"/>
        </w:rPr>
      </w:pPr>
      <w:r>
        <w:rPr>
          <w:rFonts w:ascii="微软雅黑" w:hAnsi="微软雅黑" w:eastAsia="微软雅黑" w:cs="Times New Roman"/>
          <w:snapToGrid w:val="0"/>
          <w:color w:val="auto"/>
          <w:kern w:val="0"/>
          <w:sz w:val="24"/>
          <w:szCs w:val="24"/>
          <w:lang w:val="zh-CN"/>
        </w:rPr>
        <w:t>3. 甲方</w:t>
      </w:r>
      <w:r>
        <w:rPr>
          <w:rFonts w:hint="eastAsia" w:ascii="微软雅黑" w:hAnsi="微软雅黑" w:eastAsia="微软雅黑" w:cs="Times New Roman"/>
          <w:snapToGrid w:val="0"/>
          <w:color w:val="auto"/>
          <w:kern w:val="0"/>
          <w:sz w:val="24"/>
          <w:szCs w:val="24"/>
          <w:lang w:val="zh-CN"/>
        </w:rPr>
        <w:t>根据合同约定审查项目完成情况</w:t>
      </w:r>
      <w:r>
        <w:rPr>
          <w:rFonts w:ascii="微软雅黑" w:hAnsi="微软雅黑" w:eastAsia="微软雅黑" w:cs="Times New Roman"/>
          <w:snapToGrid w:val="0"/>
          <w:color w:val="auto"/>
          <w:kern w:val="0"/>
          <w:sz w:val="24"/>
          <w:szCs w:val="24"/>
          <w:lang w:val="zh-CN"/>
        </w:rPr>
        <w:t>，直到符合技术要求，甲方才做最终验收。</w:t>
      </w:r>
    </w:p>
    <w:p w14:paraId="5B95E258">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4</w:t>
      </w:r>
      <w:r>
        <w:rPr>
          <w:rFonts w:ascii="微软雅黑" w:hAnsi="微软雅黑" w:eastAsia="微软雅黑" w:cs="Times New Roman"/>
          <w:snapToGrid w:val="0"/>
          <w:color w:val="auto"/>
          <w:kern w:val="0"/>
          <w:sz w:val="24"/>
          <w:szCs w:val="24"/>
          <w:lang w:val="zh-CN"/>
        </w:rPr>
        <w:t>. 验收时乙方必须在现场，</w:t>
      </w:r>
      <w:r>
        <w:rPr>
          <w:rFonts w:hint="eastAsia" w:ascii="微软雅黑" w:hAnsi="微软雅黑" w:eastAsia="微软雅黑" w:cs="Times New Roman"/>
          <w:snapToGrid w:val="0"/>
          <w:color w:val="auto"/>
          <w:kern w:val="0"/>
          <w:sz w:val="24"/>
          <w:szCs w:val="24"/>
          <w:lang w:val="en-US" w:eastAsia="zh-CN"/>
        </w:rPr>
        <w:t>验收</w:t>
      </w:r>
      <w:r>
        <w:rPr>
          <w:rFonts w:ascii="微软雅黑" w:hAnsi="微软雅黑" w:eastAsia="微软雅黑" w:cs="Times New Roman"/>
          <w:snapToGrid w:val="0"/>
          <w:color w:val="auto"/>
          <w:kern w:val="0"/>
          <w:sz w:val="24"/>
          <w:szCs w:val="24"/>
          <w:lang w:val="zh-CN"/>
        </w:rPr>
        <w:t>完毕后</w:t>
      </w:r>
      <w:r>
        <w:rPr>
          <w:rFonts w:hint="eastAsia" w:ascii="微软雅黑" w:hAnsi="微软雅黑" w:eastAsia="微软雅黑" w:cs="Times New Roman"/>
          <w:snapToGrid w:val="0"/>
          <w:color w:val="auto"/>
          <w:kern w:val="0"/>
          <w:sz w:val="24"/>
          <w:szCs w:val="24"/>
          <w:lang w:val="zh-CN"/>
        </w:rPr>
        <w:t>十五个工作日内</w:t>
      </w:r>
      <w:r>
        <w:rPr>
          <w:rFonts w:ascii="微软雅黑" w:hAnsi="微软雅黑" w:eastAsia="微软雅黑" w:cs="Times New Roman"/>
          <w:snapToGrid w:val="0"/>
          <w:color w:val="auto"/>
          <w:kern w:val="0"/>
          <w:sz w:val="24"/>
          <w:szCs w:val="24"/>
          <w:lang w:val="zh-CN"/>
        </w:rPr>
        <w:t>作出验收结果报告；验收费用由乙方负责。</w:t>
      </w:r>
    </w:p>
    <w:p w14:paraId="13A9C46A">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hint="eastAsia" w:ascii="微软雅黑" w:hAnsi="微软雅黑" w:eastAsia="微软雅黑" w:cs="Times New Roman"/>
          <w:b/>
          <w:snapToGrid w:val="0"/>
          <w:color w:val="auto"/>
          <w:kern w:val="0"/>
          <w:sz w:val="24"/>
          <w:szCs w:val="24"/>
          <w:lang w:val="zh-CN"/>
        </w:rPr>
        <w:t>十三、服务质量考核</w:t>
      </w:r>
    </w:p>
    <w:p w14:paraId="72E0D718">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乙方须严格按照合同要求提供技术服务。为了确保服务工作得到有效监督，保证服务质量，甲方按照合同要求对乙方的服务进行考核评价，并约定如下：</w:t>
      </w:r>
    </w:p>
    <w:p w14:paraId="5F8D06C2">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1、维保服务到期或项目终验前，甲方根据服务内容要求</w:t>
      </w:r>
      <w:r>
        <w:rPr>
          <w:rFonts w:ascii="微软雅黑" w:hAnsi="微软雅黑" w:eastAsia="微软雅黑" w:cs="Times New Roman"/>
          <w:snapToGrid w:val="0"/>
          <w:color w:val="auto"/>
          <w:kern w:val="0"/>
          <w:sz w:val="24"/>
          <w:szCs w:val="24"/>
          <w:lang w:val="zh-CN"/>
        </w:rPr>
        <w:t>对</w:t>
      </w:r>
      <w:r>
        <w:rPr>
          <w:rFonts w:hint="eastAsia" w:ascii="微软雅黑" w:hAnsi="微软雅黑" w:eastAsia="微软雅黑" w:cs="Times New Roman"/>
          <w:snapToGrid w:val="0"/>
          <w:color w:val="auto"/>
          <w:kern w:val="0"/>
          <w:sz w:val="24"/>
          <w:szCs w:val="24"/>
          <w:lang w:val="zh-CN"/>
        </w:rPr>
        <w:t>乙</w:t>
      </w:r>
      <w:r>
        <w:rPr>
          <w:rFonts w:ascii="微软雅黑" w:hAnsi="微软雅黑" w:eastAsia="微软雅黑" w:cs="Times New Roman"/>
          <w:snapToGrid w:val="0"/>
          <w:color w:val="auto"/>
          <w:kern w:val="0"/>
          <w:sz w:val="24"/>
          <w:szCs w:val="24"/>
          <w:lang w:val="zh-CN"/>
        </w:rPr>
        <w:t>方实行</w:t>
      </w:r>
      <w:r>
        <w:rPr>
          <w:rFonts w:hint="eastAsia" w:ascii="微软雅黑" w:hAnsi="微软雅黑" w:eastAsia="微软雅黑" w:cs="Times New Roman"/>
          <w:snapToGrid w:val="0"/>
          <w:color w:val="auto"/>
          <w:kern w:val="0"/>
          <w:sz w:val="24"/>
          <w:szCs w:val="24"/>
          <w:lang w:val="zh-CN"/>
        </w:rPr>
        <w:t>评分</w:t>
      </w:r>
      <w:r>
        <w:rPr>
          <w:rFonts w:ascii="微软雅黑" w:hAnsi="微软雅黑" w:eastAsia="微软雅黑" w:cs="Times New Roman"/>
          <w:snapToGrid w:val="0"/>
          <w:color w:val="auto"/>
          <w:kern w:val="0"/>
          <w:sz w:val="24"/>
          <w:szCs w:val="24"/>
          <w:lang w:val="zh-CN"/>
        </w:rPr>
        <w:t>，评分结果作为衡量服务质量的依据。</w:t>
      </w:r>
      <w:r>
        <w:rPr>
          <w:rFonts w:hint="eastAsia" w:ascii="微软雅黑" w:hAnsi="微软雅黑" w:eastAsia="微软雅黑" w:cs="Times New Roman"/>
          <w:snapToGrid w:val="0"/>
          <w:color w:val="auto"/>
          <w:kern w:val="0"/>
          <w:sz w:val="24"/>
          <w:szCs w:val="24"/>
          <w:lang w:val="zh-CN"/>
        </w:rPr>
        <w:t>评分</w:t>
      </w:r>
      <w:r>
        <w:rPr>
          <w:rFonts w:ascii="微软雅黑" w:hAnsi="微软雅黑" w:eastAsia="微软雅黑" w:cs="Times New Roman"/>
          <w:snapToGrid w:val="0"/>
          <w:color w:val="auto"/>
          <w:kern w:val="0"/>
          <w:sz w:val="24"/>
          <w:szCs w:val="24"/>
          <w:lang w:val="zh-CN"/>
        </w:rPr>
        <w:t>等级分为非常满意、满意、一般、不满意四档。如考核为</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非常满意</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或</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满意</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不扣服务费</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如考核为</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一般</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可扣除合同款的</w:t>
      </w:r>
      <w:r>
        <w:rPr>
          <w:rFonts w:hint="eastAsia" w:ascii="微软雅黑" w:hAnsi="微软雅黑" w:eastAsia="微软雅黑" w:cs="Times New Roman"/>
          <w:snapToGrid w:val="0"/>
          <w:color w:val="auto"/>
          <w:kern w:val="0"/>
          <w:sz w:val="24"/>
          <w:szCs w:val="24"/>
          <w:lang w:val="zh-CN"/>
        </w:rPr>
        <w:t>百分之五。</w:t>
      </w:r>
    </w:p>
    <w:p w14:paraId="36A8A396">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考核为</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不满意</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的，</w:t>
      </w:r>
      <w:r>
        <w:rPr>
          <w:rFonts w:hint="eastAsia" w:ascii="微软雅黑" w:hAnsi="微软雅黑" w:eastAsia="微软雅黑" w:cs="Times New Roman"/>
          <w:snapToGrid w:val="0"/>
          <w:color w:val="auto"/>
          <w:kern w:val="0"/>
          <w:sz w:val="24"/>
          <w:szCs w:val="24"/>
          <w:lang w:val="zh-CN"/>
        </w:rPr>
        <w:t>甲方有权解除合同，同时乙方应向甲方支付合同总价百分之五的违约金，同时退回甲方已支付的全部款项。</w:t>
      </w:r>
      <w:r>
        <w:rPr>
          <w:rFonts w:ascii="微软雅黑" w:hAnsi="微软雅黑" w:eastAsia="微软雅黑" w:cs="Times New Roman"/>
          <w:snapToGrid w:val="0"/>
          <w:color w:val="auto"/>
          <w:kern w:val="0"/>
          <w:sz w:val="24"/>
          <w:szCs w:val="24"/>
          <w:lang w:val="zh-CN"/>
        </w:rPr>
        <w:t>由此产生的一切损失和费用由</w:t>
      </w:r>
      <w:r>
        <w:rPr>
          <w:rFonts w:hint="eastAsia" w:ascii="微软雅黑" w:hAnsi="微软雅黑" w:eastAsia="微软雅黑" w:cs="Times New Roman"/>
          <w:snapToGrid w:val="0"/>
          <w:color w:val="auto"/>
          <w:kern w:val="0"/>
          <w:sz w:val="24"/>
          <w:szCs w:val="24"/>
          <w:lang w:val="zh-CN"/>
        </w:rPr>
        <w:t>乙</w:t>
      </w:r>
      <w:r>
        <w:rPr>
          <w:rFonts w:ascii="微软雅黑" w:hAnsi="微软雅黑" w:eastAsia="微软雅黑" w:cs="Times New Roman"/>
          <w:snapToGrid w:val="0"/>
          <w:color w:val="auto"/>
          <w:kern w:val="0"/>
          <w:sz w:val="24"/>
          <w:szCs w:val="24"/>
          <w:lang w:val="zh-CN"/>
        </w:rPr>
        <w:t>方承担。</w:t>
      </w:r>
    </w:p>
    <w:p w14:paraId="7E9892AC">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2</w:t>
      </w:r>
      <w:r>
        <w:rPr>
          <w:rFonts w:ascii="微软雅黑" w:hAnsi="微软雅黑" w:eastAsia="微软雅黑" w:cs="Times New Roman"/>
          <w:snapToGrid w:val="0"/>
          <w:color w:val="auto"/>
          <w:kern w:val="0"/>
          <w:sz w:val="24"/>
          <w:szCs w:val="24"/>
          <w:lang w:val="zh-CN"/>
        </w:rPr>
        <w:t>、若因</w:t>
      </w:r>
      <w:r>
        <w:rPr>
          <w:rFonts w:hint="eastAsia" w:ascii="微软雅黑" w:hAnsi="微软雅黑" w:eastAsia="微软雅黑" w:cs="Times New Roman"/>
          <w:snapToGrid w:val="0"/>
          <w:color w:val="auto"/>
          <w:kern w:val="0"/>
          <w:sz w:val="24"/>
          <w:szCs w:val="24"/>
          <w:lang w:val="zh-CN"/>
        </w:rPr>
        <w:t>乙</w:t>
      </w:r>
      <w:r>
        <w:rPr>
          <w:rFonts w:ascii="微软雅黑" w:hAnsi="微软雅黑" w:eastAsia="微软雅黑" w:cs="Times New Roman"/>
          <w:snapToGrid w:val="0"/>
          <w:color w:val="auto"/>
          <w:kern w:val="0"/>
          <w:sz w:val="24"/>
          <w:szCs w:val="24"/>
          <w:lang w:val="zh-CN"/>
        </w:rPr>
        <w:t>方人员操作失误造成系统瘫痪超过一个工作日的，医院有权一次扣除合同金额的</w:t>
      </w:r>
      <w:r>
        <w:rPr>
          <w:rFonts w:hint="eastAsia" w:ascii="微软雅黑" w:hAnsi="微软雅黑" w:eastAsia="微软雅黑" w:cs="Times New Roman"/>
          <w:snapToGrid w:val="0"/>
          <w:color w:val="auto"/>
          <w:kern w:val="0"/>
          <w:sz w:val="24"/>
          <w:szCs w:val="24"/>
          <w:lang w:val="zh-CN"/>
        </w:rPr>
        <w:t>百分之五</w:t>
      </w:r>
      <w:r>
        <w:rPr>
          <w:rFonts w:ascii="微软雅黑" w:hAnsi="微软雅黑" w:eastAsia="微软雅黑" w:cs="Times New Roman"/>
          <w:snapToGrid w:val="0"/>
          <w:color w:val="auto"/>
          <w:kern w:val="0"/>
          <w:sz w:val="24"/>
          <w:szCs w:val="24"/>
          <w:lang w:val="zh-CN"/>
        </w:rPr>
        <w:t>。对蓄意破坏信息系统设施或泄密的，一经查证，医院有权即时终止合同，涉案人员</w:t>
      </w:r>
      <w:r>
        <w:rPr>
          <w:rFonts w:hint="eastAsia" w:ascii="微软雅黑" w:hAnsi="微软雅黑" w:eastAsia="微软雅黑" w:cs="Times New Roman"/>
          <w:snapToGrid w:val="0"/>
          <w:color w:val="auto"/>
          <w:kern w:val="0"/>
          <w:sz w:val="24"/>
          <w:szCs w:val="24"/>
          <w:lang w:val="zh-CN"/>
        </w:rPr>
        <w:t>移交司法机关</w:t>
      </w:r>
      <w:r>
        <w:rPr>
          <w:rFonts w:ascii="微软雅黑" w:hAnsi="微软雅黑" w:eastAsia="微软雅黑" w:cs="Times New Roman"/>
          <w:snapToGrid w:val="0"/>
          <w:color w:val="auto"/>
          <w:kern w:val="0"/>
          <w:sz w:val="24"/>
          <w:szCs w:val="24"/>
          <w:lang w:val="zh-CN"/>
        </w:rPr>
        <w:t>依法处理。</w:t>
      </w:r>
    </w:p>
    <w:p w14:paraId="3E3FC0E1">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3</w:t>
      </w:r>
      <w:r>
        <w:rPr>
          <w:rFonts w:ascii="微软雅黑" w:hAnsi="微软雅黑" w:eastAsia="微软雅黑" w:cs="Times New Roman"/>
          <w:snapToGrid w:val="0"/>
          <w:color w:val="auto"/>
          <w:kern w:val="0"/>
          <w:sz w:val="24"/>
          <w:szCs w:val="24"/>
          <w:lang w:val="zh-CN"/>
        </w:rPr>
        <w:t>、因</w:t>
      </w:r>
      <w:r>
        <w:rPr>
          <w:rFonts w:hint="eastAsia" w:ascii="微软雅黑" w:hAnsi="微软雅黑" w:eastAsia="微软雅黑" w:cs="Times New Roman"/>
          <w:snapToGrid w:val="0"/>
          <w:color w:val="auto"/>
          <w:kern w:val="0"/>
          <w:sz w:val="24"/>
          <w:szCs w:val="24"/>
        </w:rPr>
        <w:t>服务考核评价</w:t>
      </w:r>
      <w:r>
        <w:rPr>
          <w:rFonts w:ascii="微软雅黑" w:hAnsi="微软雅黑" w:eastAsia="微软雅黑" w:cs="Times New Roman"/>
          <w:snapToGrid w:val="0"/>
          <w:color w:val="auto"/>
          <w:kern w:val="0"/>
          <w:sz w:val="24"/>
          <w:szCs w:val="24"/>
          <w:lang w:val="zh-CN"/>
        </w:rPr>
        <w:t>而发生的扣罚款项，经双方项目负责人签字确认，交由医院财务部在服务款中扣除。</w:t>
      </w:r>
    </w:p>
    <w:p w14:paraId="2ED73CE6">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hint="eastAsia" w:ascii="微软雅黑" w:hAnsi="微软雅黑" w:eastAsia="微软雅黑" w:cs="Times New Roman"/>
          <w:b/>
          <w:snapToGrid w:val="0"/>
          <w:color w:val="auto"/>
          <w:kern w:val="0"/>
          <w:sz w:val="24"/>
          <w:szCs w:val="24"/>
          <w:lang w:val="zh-CN"/>
        </w:rPr>
        <w:t>十四、违约责任</w:t>
      </w:r>
    </w:p>
    <w:p w14:paraId="12481022">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1.</w:t>
      </w:r>
      <w:r>
        <w:rPr>
          <w:rFonts w:ascii="微软雅黑" w:hAnsi="微软雅黑" w:eastAsia="微软雅黑" w:cs="Times New Roman"/>
          <w:snapToGrid w:val="0"/>
          <w:color w:val="auto"/>
          <w:kern w:val="0"/>
          <w:sz w:val="24"/>
          <w:szCs w:val="24"/>
          <w:lang w:val="zh-CN"/>
        </w:rPr>
        <w:t xml:space="preserve"> </w:t>
      </w:r>
      <w:r>
        <w:rPr>
          <w:rFonts w:hint="eastAsia" w:ascii="微软雅黑" w:hAnsi="微软雅黑" w:eastAsia="微软雅黑" w:cs="Times New Roman"/>
          <w:snapToGrid w:val="0"/>
          <w:color w:val="auto"/>
          <w:kern w:val="0"/>
          <w:sz w:val="24"/>
          <w:szCs w:val="24"/>
          <w:lang w:val="zh-CN"/>
        </w:rPr>
        <w:t>乙方无正当理由逾期履行合同的，自逾期之日起，向甲方每日偿付合同总价万分之五的违约金；乙方无正当理由逾期30日不能交货的，应向甲方支付合同总价百分之五的违约金；乙方无正当理由逾期三个月不能交货的，应向甲方支付合同总价百分之十五的违约金；乙方无正当理由逾期六个月不能交货的，甲方有权解除合同，同时乙方应向甲方支付合同总价百分之三十的违约金，同时退回甲方已支付全部款项。如造成甲方损失超过违约金的，超出部分由乙方继续承担赔偿责任。</w:t>
      </w:r>
    </w:p>
    <w:p w14:paraId="719FB440">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2.</w:t>
      </w:r>
      <w:r>
        <w:rPr>
          <w:rFonts w:ascii="微软雅黑" w:hAnsi="微软雅黑" w:eastAsia="微软雅黑" w:cs="Times New Roman"/>
          <w:snapToGrid w:val="0"/>
          <w:color w:val="auto"/>
          <w:kern w:val="0"/>
          <w:sz w:val="24"/>
          <w:szCs w:val="24"/>
          <w:lang w:val="zh-CN"/>
        </w:rPr>
        <w:t xml:space="preserve"> </w:t>
      </w:r>
      <w:r>
        <w:rPr>
          <w:rFonts w:hint="eastAsia" w:ascii="微软雅黑" w:hAnsi="微软雅黑" w:eastAsia="微软雅黑" w:cs="Times New Roman"/>
          <w:snapToGrid w:val="0"/>
          <w:color w:val="auto"/>
          <w:kern w:val="0"/>
          <w:sz w:val="24"/>
          <w:szCs w:val="24"/>
          <w:lang w:val="zh-CN"/>
        </w:rPr>
        <w:t>甲方无正当理由逾期支付货款的，应向乙方每日偿付合同总价万分之五的违约金。甲方无正当理由而拒收货物、拒付货款的，应向乙方偿付合同总价百分之五的违约金。</w:t>
      </w:r>
    </w:p>
    <w:bookmarkEnd w:id="17"/>
    <w:bookmarkEnd w:id="18"/>
    <w:p w14:paraId="16D2FB88">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十</w:t>
      </w:r>
      <w:r>
        <w:rPr>
          <w:rFonts w:hint="eastAsia" w:ascii="微软雅黑" w:hAnsi="微软雅黑" w:eastAsia="微软雅黑" w:cs="Times New Roman"/>
          <w:b/>
          <w:snapToGrid w:val="0"/>
          <w:color w:val="auto"/>
          <w:kern w:val="0"/>
          <w:sz w:val="24"/>
          <w:szCs w:val="24"/>
          <w:lang w:val="zh-CN"/>
        </w:rPr>
        <w:t>五</w:t>
      </w:r>
      <w:r>
        <w:rPr>
          <w:rFonts w:ascii="微软雅黑" w:hAnsi="微软雅黑" w:eastAsia="微软雅黑" w:cs="Times New Roman"/>
          <w:b/>
          <w:snapToGrid w:val="0"/>
          <w:color w:val="auto"/>
          <w:kern w:val="0"/>
          <w:sz w:val="24"/>
          <w:szCs w:val="24"/>
          <w:lang w:val="zh-CN"/>
        </w:rPr>
        <w:t>、不可抗力事件处理</w:t>
      </w:r>
    </w:p>
    <w:p w14:paraId="370842AF">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 xml:space="preserve">1. </w:t>
      </w:r>
      <w:r>
        <w:rPr>
          <w:rFonts w:ascii="微软雅黑" w:hAnsi="微软雅黑" w:eastAsia="微软雅黑" w:cs="Times New Roman"/>
          <w:snapToGrid w:val="0"/>
          <w:color w:val="auto"/>
          <w:kern w:val="0"/>
          <w:sz w:val="24"/>
          <w:szCs w:val="24"/>
          <w:lang w:val="zh-CN"/>
        </w:rPr>
        <w:t>合同有效期内，任何一方因不可抗力事件导致不能履行合同，则合同履行期可延长，其延长期与不可抗力影响期相同。</w:t>
      </w:r>
    </w:p>
    <w:p w14:paraId="52F308D7">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2. 不可抗力事件发生后，应立即通知对方，并寄送有关权威机构出具的证明。</w:t>
      </w:r>
    </w:p>
    <w:p w14:paraId="50A71511">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3. 不可抗力事件延续120天以上，双方应通过友好协商，确定是否继续履行合同。</w:t>
      </w:r>
    </w:p>
    <w:p w14:paraId="34E01BC5">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十</w:t>
      </w:r>
      <w:r>
        <w:rPr>
          <w:rFonts w:hint="eastAsia" w:ascii="微软雅黑" w:hAnsi="微软雅黑" w:eastAsia="微软雅黑" w:cs="Times New Roman"/>
          <w:b/>
          <w:snapToGrid w:val="0"/>
          <w:color w:val="auto"/>
          <w:kern w:val="0"/>
          <w:sz w:val="24"/>
          <w:szCs w:val="24"/>
          <w:lang w:val="zh-CN"/>
        </w:rPr>
        <w:t>六</w:t>
      </w:r>
      <w:r>
        <w:rPr>
          <w:rFonts w:ascii="微软雅黑" w:hAnsi="微软雅黑" w:eastAsia="微软雅黑" w:cs="Times New Roman"/>
          <w:b/>
          <w:snapToGrid w:val="0"/>
          <w:color w:val="auto"/>
          <w:kern w:val="0"/>
          <w:sz w:val="24"/>
          <w:szCs w:val="24"/>
          <w:lang w:val="zh-CN"/>
        </w:rPr>
        <w:t>、诉讼</w:t>
      </w:r>
    </w:p>
    <w:p w14:paraId="1496324E">
      <w:pPr>
        <w:adjustRightInd w:val="0"/>
        <w:snapToGrid w:val="0"/>
        <w:spacing w:before="120" w:after="120" w:line="360" w:lineRule="auto"/>
        <w:ind w:left="2"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双方在执行合同中所发生的一切争议，应通过协商解决。如协商不成，可向甲方所在地法院起诉。</w:t>
      </w:r>
    </w:p>
    <w:p w14:paraId="611496BA">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十</w:t>
      </w:r>
      <w:r>
        <w:rPr>
          <w:rFonts w:hint="eastAsia" w:ascii="微软雅黑" w:hAnsi="微软雅黑" w:eastAsia="微软雅黑" w:cs="Times New Roman"/>
          <w:b/>
          <w:snapToGrid w:val="0"/>
          <w:color w:val="auto"/>
          <w:kern w:val="0"/>
          <w:sz w:val="24"/>
          <w:szCs w:val="24"/>
          <w:lang w:val="zh-CN"/>
        </w:rPr>
        <w:t>七</w:t>
      </w:r>
      <w:r>
        <w:rPr>
          <w:rFonts w:ascii="微软雅黑" w:hAnsi="微软雅黑" w:eastAsia="微软雅黑" w:cs="Times New Roman"/>
          <w:b/>
          <w:snapToGrid w:val="0"/>
          <w:color w:val="auto"/>
          <w:kern w:val="0"/>
          <w:sz w:val="24"/>
          <w:szCs w:val="24"/>
          <w:lang w:val="zh-CN"/>
        </w:rPr>
        <w:t>、合同生效及其它</w:t>
      </w:r>
    </w:p>
    <w:p w14:paraId="6DE746D8">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1. 合同经甲、乙</w:t>
      </w:r>
      <w:r>
        <w:rPr>
          <w:rFonts w:hint="eastAsia" w:ascii="微软雅黑" w:hAnsi="微软雅黑" w:eastAsia="微软雅黑" w:cs="Times New Roman"/>
          <w:snapToGrid w:val="0"/>
          <w:color w:val="auto"/>
          <w:kern w:val="0"/>
          <w:sz w:val="24"/>
          <w:szCs w:val="24"/>
          <w:lang w:val="zh-CN"/>
        </w:rPr>
        <w:t>双</w:t>
      </w:r>
      <w:r>
        <w:rPr>
          <w:rFonts w:ascii="微软雅黑" w:hAnsi="微软雅黑" w:eastAsia="微软雅黑" w:cs="Times New Roman"/>
          <w:snapToGrid w:val="0"/>
          <w:color w:val="auto"/>
          <w:kern w:val="0"/>
          <w:sz w:val="24"/>
          <w:szCs w:val="24"/>
          <w:lang w:val="zh-CN"/>
        </w:rPr>
        <w:t>方签字并盖章后生效。</w:t>
      </w:r>
    </w:p>
    <w:p w14:paraId="5C95AE2C">
      <w:pPr>
        <w:adjustRightInd w:val="0"/>
        <w:snapToGrid w:val="0"/>
        <w:spacing w:before="120" w:after="120" w:line="360" w:lineRule="auto"/>
        <w:ind w:firstLine="480" w:firstLineChars="200"/>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2</w:t>
      </w:r>
      <w:r>
        <w:rPr>
          <w:rFonts w:ascii="微软雅黑" w:hAnsi="微软雅黑" w:eastAsia="微软雅黑" w:cs="Times New Roman"/>
          <w:snapToGrid w:val="0"/>
          <w:color w:val="auto"/>
          <w:kern w:val="0"/>
          <w:sz w:val="24"/>
          <w:szCs w:val="24"/>
          <w:lang w:val="zh-CN"/>
        </w:rPr>
        <w:t>.本合同未尽事宜，遵照《</w:t>
      </w:r>
      <w:r>
        <w:rPr>
          <w:rFonts w:hint="eastAsia" w:ascii="微软雅黑" w:hAnsi="微软雅黑" w:eastAsia="微软雅黑" w:cs="Times New Roman"/>
          <w:snapToGrid w:val="0"/>
          <w:color w:val="auto"/>
          <w:kern w:val="0"/>
          <w:sz w:val="24"/>
          <w:szCs w:val="24"/>
          <w:lang w:val="zh-CN"/>
        </w:rPr>
        <w:t>中华人民共和国民法典</w:t>
      </w:r>
      <w:r>
        <w:rPr>
          <w:rFonts w:ascii="微软雅黑" w:hAnsi="微软雅黑" w:eastAsia="微软雅黑" w:cs="Times New Roman"/>
          <w:snapToGrid w:val="0"/>
          <w:color w:val="auto"/>
          <w:kern w:val="0"/>
          <w:sz w:val="24"/>
          <w:szCs w:val="24"/>
          <w:lang w:val="zh-CN"/>
        </w:rPr>
        <w:t>》有关</w:t>
      </w:r>
      <w:r>
        <w:rPr>
          <w:rFonts w:hint="eastAsia" w:ascii="微软雅黑" w:hAnsi="微软雅黑" w:eastAsia="微软雅黑" w:cs="Times New Roman"/>
          <w:snapToGrid w:val="0"/>
          <w:color w:val="auto"/>
          <w:kern w:val="0"/>
          <w:sz w:val="24"/>
          <w:szCs w:val="24"/>
          <w:lang w:val="zh-CN"/>
        </w:rPr>
        <w:t>规定</w:t>
      </w:r>
      <w:r>
        <w:rPr>
          <w:rFonts w:ascii="微软雅黑" w:hAnsi="微软雅黑" w:eastAsia="微软雅黑" w:cs="Times New Roman"/>
          <w:snapToGrid w:val="0"/>
          <w:color w:val="auto"/>
          <w:kern w:val="0"/>
          <w:sz w:val="24"/>
          <w:szCs w:val="24"/>
          <w:lang w:val="zh-CN"/>
        </w:rPr>
        <w:t>执行。</w:t>
      </w:r>
    </w:p>
    <w:p w14:paraId="7547C8CA">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3</w:t>
      </w:r>
      <w:r>
        <w:rPr>
          <w:rFonts w:ascii="微软雅黑" w:hAnsi="微软雅黑" w:eastAsia="微软雅黑" w:cs="Times New Roman"/>
          <w:snapToGrid w:val="0"/>
          <w:color w:val="auto"/>
          <w:kern w:val="0"/>
          <w:sz w:val="24"/>
          <w:szCs w:val="24"/>
          <w:lang w:val="zh-CN"/>
        </w:rPr>
        <w:t>.本合同一式</w:t>
      </w:r>
      <w:r>
        <w:rPr>
          <w:rFonts w:hint="eastAsia" w:ascii="微软雅黑" w:hAnsi="微软雅黑" w:eastAsia="微软雅黑" w:cs="Times New Roman"/>
          <w:snapToGrid w:val="0"/>
          <w:color w:val="auto"/>
          <w:kern w:val="0"/>
          <w:sz w:val="24"/>
          <w:szCs w:val="24"/>
          <w:lang w:val="zh-CN"/>
        </w:rPr>
        <w:t>贰</w:t>
      </w:r>
      <w:r>
        <w:rPr>
          <w:rFonts w:ascii="微软雅黑" w:hAnsi="微软雅黑" w:eastAsia="微软雅黑" w:cs="Times New Roman"/>
          <w:snapToGrid w:val="0"/>
          <w:color w:val="auto"/>
          <w:kern w:val="0"/>
          <w:sz w:val="24"/>
          <w:szCs w:val="24"/>
          <w:lang w:val="zh-CN"/>
        </w:rPr>
        <w:t>份，具有同等法律效力，甲、乙</w:t>
      </w:r>
      <w:r>
        <w:rPr>
          <w:rFonts w:hint="eastAsia" w:ascii="微软雅黑" w:hAnsi="微软雅黑" w:eastAsia="微软雅黑" w:cs="Times New Roman"/>
          <w:snapToGrid w:val="0"/>
          <w:color w:val="auto"/>
          <w:kern w:val="0"/>
          <w:sz w:val="24"/>
          <w:szCs w:val="24"/>
          <w:lang w:val="zh-CN"/>
        </w:rPr>
        <w:t>双</w:t>
      </w:r>
      <w:r>
        <w:rPr>
          <w:rFonts w:ascii="微软雅黑" w:hAnsi="微软雅黑" w:eastAsia="微软雅黑" w:cs="Times New Roman"/>
          <w:snapToGrid w:val="0"/>
          <w:color w:val="auto"/>
          <w:kern w:val="0"/>
          <w:sz w:val="24"/>
          <w:szCs w:val="24"/>
          <w:lang w:val="zh-CN"/>
        </w:rPr>
        <w:t>方各执</w:t>
      </w:r>
      <w:r>
        <w:rPr>
          <w:rFonts w:hint="eastAsia" w:ascii="微软雅黑" w:hAnsi="微软雅黑" w:eastAsia="微软雅黑" w:cs="Times New Roman"/>
          <w:snapToGrid w:val="0"/>
          <w:color w:val="auto"/>
          <w:kern w:val="0"/>
          <w:sz w:val="24"/>
          <w:szCs w:val="24"/>
          <w:lang w:val="zh-CN"/>
        </w:rPr>
        <w:t>壹</w:t>
      </w:r>
      <w:r>
        <w:rPr>
          <w:rFonts w:ascii="微软雅黑" w:hAnsi="微软雅黑" w:eastAsia="微软雅黑" w:cs="Times New Roman"/>
          <w:snapToGrid w:val="0"/>
          <w:color w:val="auto"/>
          <w:kern w:val="0"/>
          <w:sz w:val="24"/>
          <w:szCs w:val="24"/>
          <w:lang w:val="zh-CN"/>
        </w:rPr>
        <w:t>份。</w:t>
      </w:r>
    </w:p>
    <w:p w14:paraId="5DEEE26B">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p>
    <w:p w14:paraId="30711896">
      <w:pPr>
        <w:adjustRightInd w:val="0"/>
        <w:snapToGrid w:val="0"/>
        <w:spacing w:before="120" w:after="120"/>
        <w:ind w:left="1"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甲方（盖章）：</w:t>
      </w:r>
      <w:r>
        <w:rPr>
          <w:rFonts w:ascii="微软雅黑" w:hAnsi="微软雅黑" w:eastAsia="微软雅黑" w:cs="Times New Roman"/>
          <w:b/>
          <w:color w:val="auto"/>
          <w:sz w:val="24"/>
          <w:szCs w:val="20"/>
          <w:lang w:val="zh-CN"/>
        </w:rPr>
        <w:t>浙江大学医学院附属妇产科医院</w:t>
      </w:r>
    </w:p>
    <w:p w14:paraId="7DC8F3AD">
      <w:pPr>
        <w:adjustRightInd w:val="0"/>
        <w:snapToGrid w:val="0"/>
        <w:spacing w:before="120" w:after="120"/>
        <w:ind w:left="1"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地</w:t>
      </w:r>
      <w:r>
        <w:rPr>
          <w:rFonts w:ascii="微软雅黑" w:hAnsi="微软雅黑" w:eastAsia="微软雅黑" w:cs="Times New Roman"/>
          <w:color w:val="auto"/>
          <w:sz w:val="24"/>
          <w:szCs w:val="20"/>
          <w:lang w:val="zh-CN"/>
        </w:rPr>
        <w:t>址：浙江省杭州市学士路1号</w:t>
      </w:r>
    </w:p>
    <w:p w14:paraId="2139351A">
      <w:pPr>
        <w:adjustRightInd w:val="0"/>
        <w:snapToGrid w:val="0"/>
        <w:spacing w:before="120" w:after="120"/>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 xml:space="preserve">法定（授权）代表人：  </w:t>
      </w:r>
    </w:p>
    <w:p w14:paraId="2AB6E6A9">
      <w:pPr>
        <w:adjustRightInd w:val="0"/>
        <w:snapToGrid w:val="0"/>
        <w:spacing w:before="120" w:after="120"/>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签字日期：</w:t>
      </w:r>
      <w:r>
        <w:rPr>
          <w:rFonts w:hint="eastAsia" w:ascii="微软雅黑" w:hAnsi="微软雅黑" w:eastAsia="微软雅黑" w:cs="Times New Roman"/>
          <w:snapToGrid w:val="0"/>
          <w:color w:val="auto"/>
          <w:kern w:val="0"/>
          <w:sz w:val="24"/>
          <w:szCs w:val="24"/>
          <w:lang w:val="zh-CN"/>
        </w:rPr>
        <w:t xml:space="preserve"> </w:t>
      </w:r>
      <w:r>
        <w:rPr>
          <w:rFonts w:ascii="微软雅黑" w:hAnsi="微软雅黑" w:eastAsia="微软雅黑" w:cs="Times New Roman"/>
          <w:snapToGrid w:val="0"/>
          <w:color w:val="auto"/>
          <w:kern w:val="0"/>
          <w:sz w:val="24"/>
          <w:szCs w:val="24"/>
          <w:lang w:val="zh-CN"/>
        </w:rPr>
        <w:t xml:space="preserve">  年    月    日  </w:t>
      </w:r>
    </w:p>
    <w:p w14:paraId="45BBAE6C">
      <w:pPr>
        <w:adjustRightInd w:val="0"/>
        <w:snapToGrid w:val="0"/>
        <w:spacing w:before="120" w:after="120"/>
        <w:ind w:firstLine="511" w:firstLineChars="213"/>
        <w:rPr>
          <w:rFonts w:hint="eastAsia" w:ascii="微软雅黑" w:hAnsi="微软雅黑" w:eastAsia="微软雅黑" w:cs="Times New Roman"/>
          <w:snapToGrid w:val="0"/>
          <w:color w:val="auto"/>
          <w:kern w:val="0"/>
          <w:sz w:val="24"/>
          <w:szCs w:val="24"/>
          <w:lang w:val="zh-CN"/>
        </w:rPr>
      </w:pPr>
    </w:p>
    <w:p w14:paraId="4C1F3495">
      <w:pPr>
        <w:adjustRightInd w:val="0"/>
        <w:snapToGrid w:val="0"/>
        <w:spacing w:before="120" w:after="120"/>
        <w:ind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乙方（盖章）：</w:t>
      </w:r>
      <w:r>
        <w:rPr>
          <w:rFonts w:hint="eastAsia" w:ascii="微软雅黑" w:hAnsi="微软雅黑" w:eastAsia="微软雅黑" w:cs="Times New Roman"/>
          <w:b/>
          <w:color w:val="auto"/>
          <w:sz w:val="24"/>
          <w:szCs w:val="20"/>
          <w:lang w:val="zh-CN"/>
        </w:rPr>
        <w:t xml:space="preserve"> </w:t>
      </w:r>
    </w:p>
    <w:p w14:paraId="64311FAE">
      <w:pPr>
        <w:adjustRightInd w:val="0"/>
        <w:snapToGrid w:val="0"/>
        <w:spacing w:before="120" w:after="120"/>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 xml:space="preserve">地址： </w:t>
      </w:r>
      <w:r>
        <w:rPr>
          <w:rFonts w:hint="eastAsia" w:ascii="微软雅黑" w:hAnsi="微软雅黑" w:eastAsia="微软雅黑" w:cs="Times New Roman"/>
          <w:snapToGrid w:val="0"/>
          <w:color w:val="auto"/>
          <w:kern w:val="0"/>
          <w:sz w:val="24"/>
          <w:szCs w:val="24"/>
          <w:lang w:val="zh-CN"/>
        </w:rPr>
        <w:t xml:space="preserve"> </w:t>
      </w:r>
    </w:p>
    <w:p w14:paraId="4B993119">
      <w:pPr>
        <w:adjustRightInd w:val="0"/>
        <w:snapToGrid w:val="0"/>
        <w:spacing w:before="120" w:after="120"/>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开户行：</w:t>
      </w:r>
      <w:r>
        <w:rPr>
          <w:rFonts w:hint="eastAsia" w:ascii="微软雅黑" w:hAnsi="微软雅黑" w:eastAsia="微软雅黑" w:cs="Times New Roman"/>
          <w:color w:val="auto"/>
          <w:sz w:val="24"/>
          <w:szCs w:val="21"/>
          <w:lang w:val="zh-CN"/>
        </w:rPr>
        <w:t xml:space="preserve"> </w:t>
      </w:r>
    </w:p>
    <w:p w14:paraId="4EFD7295">
      <w:pPr>
        <w:adjustRightInd w:val="0"/>
        <w:snapToGrid w:val="0"/>
        <w:spacing w:before="120" w:after="120"/>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开户帐号：</w:t>
      </w:r>
      <w:r>
        <w:rPr>
          <w:rFonts w:hint="eastAsia" w:ascii="微软雅黑" w:hAnsi="微软雅黑" w:eastAsia="微软雅黑" w:cs="Times New Roman"/>
          <w:color w:val="auto"/>
          <w:sz w:val="24"/>
          <w:szCs w:val="21"/>
          <w:lang w:val="zh-CN"/>
        </w:rPr>
        <w:t xml:space="preserve"> </w:t>
      </w:r>
    </w:p>
    <w:p w14:paraId="6C21AA8C">
      <w:pPr>
        <w:adjustRightInd w:val="0"/>
        <w:snapToGrid w:val="0"/>
        <w:spacing w:before="120" w:after="120"/>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法定（授权）代表人：</w:t>
      </w:r>
    </w:p>
    <w:p w14:paraId="6298B6B1">
      <w:pPr>
        <w:adjustRightInd w:val="0"/>
        <w:snapToGrid w:val="0"/>
        <w:spacing w:before="120" w:after="120"/>
        <w:ind w:firstLine="511" w:firstLineChars="213"/>
        <w:rPr>
          <w:rFonts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签字日期：</w:t>
      </w:r>
      <w:r>
        <w:rPr>
          <w:rFonts w:hint="eastAsia" w:ascii="微软雅黑" w:hAnsi="微软雅黑" w:eastAsia="微软雅黑" w:cs="Times New Roman"/>
          <w:snapToGrid w:val="0"/>
          <w:color w:val="auto"/>
          <w:kern w:val="0"/>
          <w:sz w:val="24"/>
          <w:szCs w:val="24"/>
          <w:lang w:val="zh-CN"/>
        </w:rPr>
        <w:t xml:space="preserve"> </w:t>
      </w:r>
      <w:r>
        <w:rPr>
          <w:rFonts w:ascii="微软雅黑" w:hAnsi="微软雅黑" w:eastAsia="微软雅黑" w:cs="Times New Roman"/>
          <w:snapToGrid w:val="0"/>
          <w:color w:val="auto"/>
          <w:kern w:val="0"/>
          <w:sz w:val="24"/>
          <w:szCs w:val="24"/>
          <w:lang w:val="zh-CN"/>
        </w:rPr>
        <w:t xml:space="preserve">  年    月    日</w:t>
      </w:r>
    </w:p>
    <w:p w14:paraId="324F648D">
      <w:pPr>
        <w:adjustRightInd w:val="0"/>
        <w:snapToGrid w:val="0"/>
        <w:spacing w:before="120" w:after="120"/>
        <w:ind w:firstLine="511" w:firstLineChars="213"/>
        <w:rPr>
          <w:rFonts w:ascii="微软雅黑" w:hAnsi="微软雅黑" w:eastAsia="微软雅黑" w:cs="Times New Roman"/>
          <w:snapToGrid w:val="0"/>
          <w:color w:val="auto"/>
          <w:kern w:val="0"/>
          <w:sz w:val="24"/>
          <w:szCs w:val="24"/>
          <w:lang w:val="zh-CN"/>
        </w:rPr>
      </w:pPr>
    </w:p>
    <w:p w14:paraId="2C13F64E">
      <w:pPr>
        <w:adjustRightInd w:val="0"/>
        <w:snapToGrid w:val="0"/>
        <w:spacing w:before="120" w:after="120"/>
        <w:ind w:firstLine="511" w:firstLineChars="213"/>
        <w:rPr>
          <w:rFonts w:ascii="微软雅黑" w:hAnsi="微软雅黑" w:eastAsia="微软雅黑" w:cs="Times New Roman"/>
          <w:snapToGrid w:val="0"/>
          <w:color w:val="auto"/>
          <w:kern w:val="0"/>
          <w:sz w:val="24"/>
          <w:szCs w:val="24"/>
          <w:lang w:val="zh-CN"/>
        </w:rPr>
      </w:pPr>
    </w:p>
    <w:p w14:paraId="519A8903">
      <w:pPr>
        <w:adjustRightInd w:val="0"/>
        <w:snapToGrid w:val="0"/>
        <w:spacing w:before="120" w:after="120"/>
        <w:ind w:firstLine="511" w:firstLineChars="213"/>
        <w:rPr>
          <w:rFonts w:hint="eastAsia" w:ascii="微软雅黑" w:hAnsi="微软雅黑" w:eastAsia="微软雅黑" w:cs="Times New Roman"/>
          <w:snapToGrid w:val="0"/>
          <w:color w:val="auto"/>
          <w:kern w:val="0"/>
          <w:sz w:val="24"/>
          <w:szCs w:val="24"/>
          <w:lang w:val="zh-CN"/>
        </w:rPr>
      </w:pPr>
    </w:p>
    <w:p w14:paraId="0A3C9CCB">
      <w:pPr>
        <w:pStyle w:val="39"/>
        <w:spacing w:line="360" w:lineRule="auto"/>
        <w:jc w:val="both"/>
        <w:rPr>
          <w:rFonts w:hAnsi="宋体"/>
          <w:color w:val="auto"/>
          <w:sz w:val="21"/>
          <w:szCs w:val="21"/>
        </w:rPr>
      </w:pPr>
    </w:p>
    <w:p w14:paraId="48E7D54C">
      <w:pPr>
        <w:pStyle w:val="39"/>
        <w:spacing w:line="360" w:lineRule="auto"/>
        <w:jc w:val="both"/>
        <w:rPr>
          <w:rFonts w:hAnsi="宋体"/>
          <w:color w:val="auto"/>
          <w:sz w:val="21"/>
          <w:szCs w:val="21"/>
        </w:rPr>
      </w:pPr>
    </w:p>
    <w:p w14:paraId="4A61C426">
      <w:pPr>
        <w:pStyle w:val="39"/>
        <w:spacing w:line="360" w:lineRule="auto"/>
        <w:jc w:val="both"/>
        <w:rPr>
          <w:rFonts w:hAnsi="宋体"/>
          <w:color w:val="auto"/>
          <w:sz w:val="21"/>
          <w:szCs w:val="21"/>
        </w:rPr>
      </w:pPr>
    </w:p>
    <w:p w14:paraId="059CA128">
      <w:pPr>
        <w:pStyle w:val="39"/>
        <w:spacing w:line="360" w:lineRule="auto"/>
        <w:jc w:val="both"/>
        <w:rPr>
          <w:color w:val="auto"/>
          <w:sz w:val="21"/>
          <w:szCs w:val="21"/>
        </w:rPr>
      </w:pP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JEHOPL+TimesNewRomanPS">
    <w:altName w:val="宋体"/>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宋体">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C2751">
    <w:pPr>
      <w:pStyle w:val="13"/>
      <w:jc w:val="center"/>
    </w:pPr>
  </w:p>
  <w:p w14:paraId="59BC947E">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4240255"/>
    </w:sdtPr>
    <w:sdtContent>
      <w:p w14:paraId="32273F3E">
        <w:pPr>
          <w:pStyle w:val="13"/>
          <w:jc w:val="center"/>
        </w:pPr>
        <w:r>
          <w:fldChar w:fldCharType="begin"/>
        </w:r>
        <w:r>
          <w:instrText xml:space="preserve">PAGE   \* MERGEFORMAT</w:instrText>
        </w:r>
        <w:r>
          <w:fldChar w:fldCharType="separate"/>
        </w:r>
        <w:r>
          <w:rPr>
            <w:lang w:val="zh-CN"/>
          </w:rPr>
          <w:t>-</w:t>
        </w:r>
        <w:r>
          <w:t xml:space="preserve"> 1 -</w:t>
        </w:r>
        <w:r>
          <w:fldChar w:fldCharType="end"/>
        </w:r>
      </w:p>
    </w:sdtContent>
  </w:sdt>
  <w:p w14:paraId="70F1F7DF">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7EC98"/>
    <w:multiLevelType w:val="singleLevel"/>
    <w:tmpl w:val="8557EC98"/>
    <w:lvl w:ilvl="0" w:tentative="0">
      <w:start w:val="2"/>
      <w:numFmt w:val="chineseCounting"/>
      <w:suff w:val="space"/>
      <w:lvlText w:val="第%1章"/>
      <w:lvlJc w:val="left"/>
      <w:rPr>
        <w:rFonts w:hint="eastAsia"/>
      </w:rPr>
    </w:lvl>
  </w:abstractNum>
  <w:abstractNum w:abstractNumId="1">
    <w:nsid w:val="A070FF2D"/>
    <w:multiLevelType w:val="singleLevel"/>
    <w:tmpl w:val="A070FF2D"/>
    <w:lvl w:ilvl="0" w:tentative="0">
      <w:start w:val="3"/>
      <w:numFmt w:val="chineseCounting"/>
      <w:suff w:val="space"/>
      <w:lvlText w:val="第%1章"/>
      <w:lvlJc w:val="left"/>
      <w:rPr>
        <w:rFonts w:hint="eastAsia"/>
      </w:rPr>
    </w:lvl>
  </w:abstractNum>
  <w:abstractNum w:abstractNumId="2">
    <w:nsid w:val="A0B2F24A"/>
    <w:multiLevelType w:val="singleLevel"/>
    <w:tmpl w:val="A0B2F24A"/>
    <w:lvl w:ilvl="0" w:tentative="0">
      <w:start w:val="1"/>
      <w:numFmt w:val="decimal"/>
      <w:lvlText w:val="%1."/>
      <w:lvlJc w:val="left"/>
      <w:pPr>
        <w:ind w:left="425" w:hanging="425"/>
      </w:pPr>
      <w:rPr>
        <w:rFonts w:hint="default"/>
      </w:rPr>
    </w:lvl>
  </w:abstractNum>
  <w:abstractNum w:abstractNumId="3">
    <w:nsid w:val="B95765DC"/>
    <w:multiLevelType w:val="multilevel"/>
    <w:tmpl w:val="B95765D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C8358C48"/>
    <w:multiLevelType w:val="singleLevel"/>
    <w:tmpl w:val="C8358C48"/>
    <w:lvl w:ilvl="0" w:tentative="0">
      <w:start w:val="11"/>
      <w:numFmt w:val="chineseCounting"/>
      <w:suff w:val="nothing"/>
      <w:lvlText w:val="%1、"/>
      <w:lvlJc w:val="left"/>
      <w:pPr>
        <w:ind w:left="420" w:firstLine="0"/>
      </w:pPr>
      <w:rPr>
        <w:rFonts w:hint="eastAsia"/>
      </w:rPr>
    </w:lvl>
  </w:abstractNum>
  <w:abstractNum w:abstractNumId="5">
    <w:nsid w:val="083F5C9B"/>
    <w:multiLevelType w:val="singleLevel"/>
    <w:tmpl w:val="083F5C9B"/>
    <w:lvl w:ilvl="0" w:tentative="0">
      <w:start w:val="1"/>
      <w:numFmt w:val="decimal"/>
      <w:lvlText w:val="%1."/>
      <w:lvlJc w:val="left"/>
      <w:pPr>
        <w:ind w:left="425" w:hanging="425"/>
      </w:pPr>
      <w:rPr>
        <w:rFonts w:hint="default"/>
      </w:rPr>
    </w:lvl>
  </w:abstractNum>
  <w:abstractNum w:abstractNumId="6">
    <w:nsid w:val="0C362FFE"/>
    <w:multiLevelType w:val="singleLevel"/>
    <w:tmpl w:val="0C362FFE"/>
    <w:lvl w:ilvl="0" w:tentative="0">
      <w:start w:val="1"/>
      <w:numFmt w:val="decimal"/>
      <w:lvlText w:val="%1."/>
      <w:lvlJc w:val="left"/>
      <w:pPr>
        <w:ind w:left="425" w:hanging="425"/>
      </w:pPr>
      <w:rPr>
        <w:rFonts w:hint="default"/>
      </w:rPr>
    </w:lvl>
  </w:abstractNum>
  <w:abstractNum w:abstractNumId="7">
    <w:nsid w:val="10BF2759"/>
    <w:multiLevelType w:val="multilevel"/>
    <w:tmpl w:val="10BF2759"/>
    <w:lvl w:ilvl="0" w:tentative="0">
      <w:start w:val="1"/>
      <w:numFmt w:val="decimal"/>
      <w:lvlText w:val="（%1）"/>
      <w:lvlJc w:val="left"/>
      <w:pPr>
        <w:ind w:left="420" w:hanging="420"/>
      </w:pPr>
      <w:rPr>
        <w:rFonts w:hint="eastAsia"/>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1D2660D"/>
    <w:multiLevelType w:val="singleLevel"/>
    <w:tmpl w:val="21D2660D"/>
    <w:lvl w:ilvl="0" w:tentative="0">
      <w:start w:val="1"/>
      <w:numFmt w:val="decimal"/>
      <w:lvlText w:val="(%1)"/>
      <w:lvlJc w:val="left"/>
      <w:pPr>
        <w:ind w:left="425" w:hanging="425"/>
      </w:pPr>
      <w:rPr>
        <w:rFonts w:hint="default"/>
      </w:rPr>
    </w:lvl>
  </w:abstractNum>
  <w:abstractNum w:abstractNumId="9">
    <w:nsid w:val="254DB84F"/>
    <w:multiLevelType w:val="singleLevel"/>
    <w:tmpl w:val="254DB84F"/>
    <w:lvl w:ilvl="0" w:tentative="0">
      <w:start w:val="1"/>
      <w:numFmt w:val="decimal"/>
      <w:lvlText w:val="%1."/>
      <w:lvlJc w:val="left"/>
      <w:pPr>
        <w:ind w:left="425" w:hanging="425"/>
      </w:pPr>
      <w:rPr>
        <w:rFonts w:hint="default"/>
      </w:rPr>
    </w:lvl>
  </w:abstractNum>
  <w:abstractNum w:abstractNumId="10">
    <w:nsid w:val="2C130A52"/>
    <w:multiLevelType w:val="multilevel"/>
    <w:tmpl w:val="2C130A52"/>
    <w:lvl w:ilvl="0" w:tentative="0">
      <w:start w:val="1"/>
      <w:numFmt w:val="chineseCountingThousand"/>
      <w:lvlText w:val="(%1)"/>
      <w:lvlJc w:val="left"/>
      <w:pPr>
        <w:ind w:left="420" w:hanging="420"/>
      </w:p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B2526DC"/>
    <w:multiLevelType w:val="multilevel"/>
    <w:tmpl w:val="6B2526DC"/>
    <w:lvl w:ilvl="0" w:tentative="0">
      <w:start w:val="1"/>
      <w:numFmt w:val="decimal"/>
      <w:lvlText w:val="（%1）"/>
      <w:lvlJc w:val="left"/>
      <w:pPr>
        <w:ind w:left="420" w:hanging="420"/>
      </w:pPr>
      <w:rPr>
        <w:rFonts w:hint="eastAsia"/>
        <w:sz w:val="24"/>
      </w:rPr>
    </w:lvl>
    <w:lvl w:ilvl="1" w:tentative="0">
      <w:start w:val="1"/>
      <w:numFmt w:val="decimal"/>
      <w:lvlText w:val="(%2)"/>
      <w:lvlJc w:val="left"/>
      <w:pPr>
        <w:ind w:left="1545" w:hanging="1125"/>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ED070F4"/>
    <w:multiLevelType w:val="multilevel"/>
    <w:tmpl w:val="6ED070F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46F1DD8"/>
    <w:multiLevelType w:val="multilevel"/>
    <w:tmpl w:val="746F1DD8"/>
    <w:lvl w:ilvl="0" w:tentative="0">
      <w:start w:val="1"/>
      <w:numFmt w:val="chineseCountingThousand"/>
      <w:lvlText w:val="(%1)"/>
      <w:lvlJc w:val="left"/>
      <w:pPr>
        <w:ind w:left="420" w:hanging="420"/>
      </w:p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2"/>
  </w:num>
  <w:num w:numId="3">
    <w:abstractNumId w:val="3"/>
  </w:num>
  <w:num w:numId="4">
    <w:abstractNumId w:val="13"/>
  </w:num>
  <w:num w:numId="5">
    <w:abstractNumId w:val="10"/>
  </w:num>
  <w:num w:numId="6">
    <w:abstractNumId w:val="5"/>
  </w:num>
  <w:num w:numId="7">
    <w:abstractNumId w:val="2"/>
  </w:num>
  <w:num w:numId="8">
    <w:abstractNumId w:val="6"/>
  </w:num>
  <w:num w:numId="9">
    <w:abstractNumId w:val="9"/>
  </w:num>
  <w:num w:numId="10">
    <w:abstractNumId w:val="8"/>
  </w:num>
  <w:num w:numId="11">
    <w:abstractNumId w:val="1"/>
  </w:num>
  <w:num w:numId="12">
    <w:abstractNumId w:val="11"/>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RmNzlmNjMxNmM3ZWZkYmQ3ODBhZGE0N2M5NzFmMWEifQ=="/>
  </w:docVars>
  <w:rsids>
    <w:rsidRoot w:val="00C05BD5"/>
    <w:rsid w:val="00000318"/>
    <w:rsid w:val="00000CCC"/>
    <w:rsid w:val="00002EB5"/>
    <w:rsid w:val="00003653"/>
    <w:rsid w:val="00004888"/>
    <w:rsid w:val="00006F2E"/>
    <w:rsid w:val="00007354"/>
    <w:rsid w:val="0001522E"/>
    <w:rsid w:val="0001525E"/>
    <w:rsid w:val="00015FCC"/>
    <w:rsid w:val="00017807"/>
    <w:rsid w:val="00017E52"/>
    <w:rsid w:val="00020BA1"/>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5FBE"/>
    <w:rsid w:val="0008634C"/>
    <w:rsid w:val="000870AF"/>
    <w:rsid w:val="00090BA3"/>
    <w:rsid w:val="000926FA"/>
    <w:rsid w:val="000954B6"/>
    <w:rsid w:val="000A0BC0"/>
    <w:rsid w:val="000A0ED1"/>
    <w:rsid w:val="000A10E3"/>
    <w:rsid w:val="000A1AC7"/>
    <w:rsid w:val="000A1EFD"/>
    <w:rsid w:val="000B0F9C"/>
    <w:rsid w:val="000B1C48"/>
    <w:rsid w:val="000B4516"/>
    <w:rsid w:val="000B529E"/>
    <w:rsid w:val="000B6E39"/>
    <w:rsid w:val="000C018D"/>
    <w:rsid w:val="000C049D"/>
    <w:rsid w:val="000C06BC"/>
    <w:rsid w:val="000C1A40"/>
    <w:rsid w:val="000C3355"/>
    <w:rsid w:val="000D1899"/>
    <w:rsid w:val="000D395A"/>
    <w:rsid w:val="000D4078"/>
    <w:rsid w:val="000D56B2"/>
    <w:rsid w:val="000D7E28"/>
    <w:rsid w:val="000E1C37"/>
    <w:rsid w:val="000E208C"/>
    <w:rsid w:val="000E38A0"/>
    <w:rsid w:val="000E7E40"/>
    <w:rsid w:val="000F0931"/>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2134D"/>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3429"/>
    <w:rsid w:val="001536BF"/>
    <w:rsid w:val="0015442D"/>
    <w:rsid w:val="00154DCD"/>
    <w:rsid w:val="00154E5F"/>
    <w:rsid w:val="0015603A"/>
    <w:rsid w:val="00161D83"/>
    <w:rsid w:val="00162EE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877"/>
    <w:rsid w:val="001A16DC"/>
    <w:rsid w:val="001A42FB"/>
    <w:rsid w:val="001A477F"/>
    <w:rsid w:val="001A4A98"/>
    <w:rsid w:val="001A6847"/>
    <w:rsid w:val="001B020B"/>
    <w:rsid w:val="001B1935"/>
    <w:rsid w:val="001B474C"/>
    <w:rsid w:val="001B7C87"/>
    <w:rsid w:val="001B7E63"/>
    <w:rsid w:val="001C0D02"/>
    <w:rsid w:val="001C12A0"/>
    <w:rsid w:val="001C31F8"/>
    <w:rsid w:val="001C35E1"/>
    <w:rsid w:val="001C3F3C"/>
    <w:rsid w:val="001C42CB"/>
    <w:rsid w:val="001C5345"/>
    <w:rsid w:val="001C7BC9"/>
    <w:rsid w:val="001C7E5A"/>
    <w:rsid w:val="001D024D"/>
    <w:rsid w:val="001D0253"/>
    <w:rsid w:val="001D0281"/>
    <w:rsid w:val="001D4713"/>
    <w:rsid w:val="001D69AF"/>
    <w:rsid w:val="001E199E"/>
    <w:rsid w:val="001E1EA5"/>
    <w:rsid w:val="001E27E2"/>
    <w:rsid w:val="001E2BBF"/>
    <w:rsid w:val="001E3A60"/>
    <w:rsid w:val="001E6631"/>
    <w:rsid w:val="001E6FF1"/>
    <w:rsid w:val="001E751E"/>
    <w:rsid w:val="001F114C"/>
    <w:rsid w:val="001F29C1"/>
    <w:rsid w:val="001F3001"/>
    <w:rsid w:val="001F508A"/>
    <w:rsid w:val="001F5425"/>
    <w:rsid w:val="002039C7"/>
    <w:rsid w:val="00203BC2"/>
    <w:rsid w:val="00204BA6"/>
    <w:rsid w:val="002079BA"/>
    <w:rsid w:val="00210814"/>
    <w:rsid w:val="00210CA0"/>
    <w:rsid w:val="00210D41"/>
    <w:rsid w:val="002121F4"/>
    <w:rsid w:val="002137B4"/>
    <w:rsid w:val="00215232"/>
    <w:rsid w:val="002159DD"/>
    <w:rsid w:val="00216639"/>
    <w:rsid w:val="0022248C"/>
    <w:rsid w:val="00223DA7"/>
    <w:rsid w:val="00227614"/>
    <w:rsid w:val="00227A2E"/>
    <w:rsid w:val="00230397"/>
    <w:rsid w:val="002303F9"/>
    <w:rsid w:val="0023247F"/>
    <w:rsid w:val="002335CF"/>
    <w:rsid w:val="00233E82"/>
    <w:rsid w:val="00235D10"/>
    <w:rsid w:val="0023627E"/>
    <w:rsid w:val="00236D7A"/>
    <w:rsid w:val="00240590"/>
    <w:rsid w:val="002451DA"/>
    <w:rsid w:val="002473D8"/>
    <w:rsid w:val="0025044E"/>
    <w:rsid w:val="00250DC4"/>
    <w:rsid w:val="00251A93"/>
    <w:rsid w:val="00253AEF"/>
    <w:rsid w:val="00254044"/>
    <w:rsid w:val="00256F68"/>
    <w:rsid w:val="002605AA"/>
    <w:rsid w:val="00260CAE"/>
    <w:rsid w:val="00261D2D"/>
    <w:rsid w:val="00261E37"/>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5D7D"/>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A3F"/>
    <w:rsid w:val="00321F0D"/>
    <w:rsid w:val="00322244"/>
    <w:rsid w:val="00323833"/>
    <w:rsid w:val="0032408B"/>
    <w:rsid w:val="003240B6"/>
    <w:rsid w:val="003261B2"/>
    <w:rsid w:val="003276DD"/>
    <w:rsid w:val="00327792"/>
    <w:rsid w:val="00327EF1"/>
    <w:rsid w:val="00332286"/>
    <w:rsid w:val="00332591"/>
    <w:rsid w:val="003335F3"/>
    <w:rsid w:val="0033521E"/>
    <w:rsid w:val="0033537A"/>
    <w:rsid w:val="00337AA5"/>
    <w:rsid w:val="00340847"/>
    <w:rsid w:val="0034194B"/>
    <w:rsid w:val="00341B85"/>
    <w:rsid w:val="003427D3"/>
    <w:rsid w:val="00342D39"/>
    <w:rsid w:val="0034341A"/>
    <w:rsid w:val="00343664"/>
    <w:rsid w:val="003444D5"/>
    <w:rsid w:val="00344A14"/>
    <w:rsid w:val="00344E2F"/>
    <w:rsid w:val="003453CF"/>
    <w:rsid w:val="003457E2"/>
    <w:rsid w:val="00345E72"/>
    <w:rsid w:val="0035118A"/>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2861"/>
    <w:rsid w:val="00393BB8"/>
    <w:rsid w:val="00395635"/>
    <w:rsid w:val="00395820"/>
    <w:rsid w:val="003A15EB"/>
    <w:rsid w:val="003A186C"/>
    <w:rsid w:val="003A3F57"/>
    <w:rsid w:val="003B08E0"/>
    <w:rsid w:val="003B0CA1"/>
    <w:rsid w:val="003B2618"/>
    <w:rsid w:val="003B2725"/>
    <w:rsid w:val="003B36A9"/>
    <w:rsid w:val="003B3A42"/>
    <w:rsid w:val="003B40F4"/>
    <w:rsid w:val="003B4FFD"/>
    <w:rsid w:val="003B53D3"/>
    <w:rsid w:val="003C0106"/>
    <w:rsid w:val="003C17CF"/>
    <w:rsid w:val="003C1F8E"/>
    <w:rsid w:val="003C3A1D"/>
    <w:rsid w:val="003C6BEC"/>
    <w:rsid w:val="003C6C2A"/>
    <w:rsid w:val="003D0D92"/>
    <w:rsid w:val="003D212F"/>
    <w:rsid w:val="003D2907"/>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5425"/>
    <w:rsid w:val="004462F0"/>
    <w:rsid w:val="00446E5E"/>
    <w:rsid w:val="00447025"/>
    <w:rsid w:val="0044770D"/>
    <w:rsid w:val="00447EBC"/>
    <w:rsid w:val="004501F8"/>
    <w:rsid w:val="00451BC5"/>
    <w:rsid w:val="004525FE"/>
    <w:rsid w:val="00454CAF"/>
    <w:rsid w:val="00455889"/>
    <w:rsid w:val="004565AC"/>
    <w:rsid w:val="0045663F"/>
    <w:rsid w:val="00456972"/>
    <w:rsid w:val="004572E1"/>
    <w:rsid w:val="00457E81"/>
    <w:rsid w:val="00461F36"/>
    <w:rsid w:val="004626AF"/>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618"/>
    <w:rsid w:val="0049098D"/>
    <w:rsid w:val="00490F4B"/>
    <w:rsid w:val="00490FAA"/>
    <w:rsid w:val="004931C6"/>
    <w:rsid w:val="004948E4"/>
    <w:rsid w:val="004954AE"/>
    <w:rsid w:val="00495EF5"/>
    <w:rsid w:val="00496215"/>
    <w:rsid w:val="004973B6"/>
    <w:rsid w:val="004A0A37"/>
    <w:rsid w:val="004A28A8"/>
    <w:rsid w:val="004A3FA5"/>
    <w:rsid w:val="004A57E5"/>
    <w:rsid w:val="004A7452"/>
    <w:rsid w:val="004A7990"/>
    <w:rsid w:val="004B052D"/>
    <w:rsid w:val="004B5C46"/>
    <w:rsid w:val="004B71F0"/>
    <w:rsid w:val="004C01BA"/>
    <w:rsid w:val="004C0B67"/>
    <w:rsid w:val="004C2E6D"/>
    <w:rsid w:val="004C49E5"/>
    <w:rsid w:val="004C4E08"/>
    <w:rsid w:val="004C620C"/>
    <w:rsid w:val="004C6D01"/>
    <w:rsid w:val="004C6F81"/>
    <w:rsid w:val="004C736B"/>
    <w:rsid w:val="004C7418"/>
    <w:rsid w:val="004D0FA0"/>
    <w:rsid w:val="004D1A50"/>
    <w:rsid w:val="004D1D7D"/>
    <w:rsid w:val="004D1FC9"/>
    <w:rsid w:val="004E1CD3"/>
    <w:rsid w:val="004E2603"/>
    <w:rsid w:val="004E2CCB"/>
    <w:rsid w:val="004E30A9"/>
    <w:rsid w:val="004E3489"/>
    <w:rsid w:val="004E35B2"/>
    <w:rsid w:val="004E7B50"/>
    <w:rsid w:val="004F0C2C"/>
    <w:rsid w:val="004F26A2"/>
    <w:rsid w:val="004F2A5D"/>
    <w:rsid w:val="004F4177"/>
    <w:rsid w:val="004F4BDF"/>
    <w:rsid w:val="00501054"/>
    <w:rsid w:val="005018D3"/>
    <w:rsid w:val="005044B8"/>
    <w:rsid w:val="0050472F"/>
    <w:rsid w:val="00504A0F"/>
    <w:rsid w:val="00506350"/>
    <w:rsid w:val="0050702D"/>
    <w:rsid w:val="00511813"/>
    <w:rsid w:val="00513559"/>
    <w:rsid w:val="005137AA"/>
    <w:rsid w:val="00515813"/>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3ED"/>
    <w:rsid w:val="0054577A"/>
    <w:rsid w:val="005460C1"/>
    <w:rsid w:val="0054647C"/>
    <w:rsid w:val="0055011C"/>
    <w:rsid w:val="005505D0"/>
    <w:rsid w:val="00550E7F"/>
    <w:rsid w:val="0055179B"/>
    <w:rsid w:val="00553EE5"/>
    <w:rsid w:val="0055519B"/>
    <w:rsid w:val="0055542A"/>
    <w:rsid w:val="005557DD"/>
    <w:rsid w:val="00556665"/>
    <w:rsid w:val="005647E3"/>
    <w:rsid w:val="0056482B"/>
    <w:rsid w:val="005660C7"/>
    <w:rsid w:val="005660DB"/>
    <w:rsid w:val="00566219"/>
    <w:rsid w:val="0056710D"/>
    <w:rsid w:val="00567642"/>
    <w:rsid w:val="00567EBF"/>
    <w:rsid w:val="00571F7F"/>
    <w:rsid w:val="00572E8D"/>
    <w:rsid w:val="00574294"/>
    <w:rsid w:val="005748F4"/>
    <w:rsid w:val="00574FF5"/>
    <w:rsid w:val="0057516C"/>
    <w:rsid w:val="00575A91"/>
    <w:rsid w:val="00576628"/>
    <w:rsid w:val="00576B33"/>
    <w:rsid w:val="005803A2"/>
    <w:rsid w:val="00581FC6"/>
    <w:rsid w:val="00582E41"/>
    <w:rsid w:val="005849CB"/>
    <w:rsid w:val="005851D0"/>
    <w:rsid w:val="0058785F"/>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5163"/>
    <w:rsid w:val="005A66B6"/>
    <w:rsid w:val="005A7017"/>
    <w:rsid w:val="005B0ADB"/>
    <w:rsid w:val="005B16A8"/>
    <w:rsid w:val="005B1951"/>
    <w:rsid w:val="005B24A7"/>
    <w:rsid w:val="005B27AE"/>
    <w:rsid w:val="005B349A"/>
    <w:rsid w:val="005B3DF7"/>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6AB3"/>
    <w:rsid w:val="005D6D46"/>
    <w:rsid w:val="005D6E69"/>
    <w:rsid w:val="005D7E0C"/>
    <w:rsid w:val="005E1353"/>
    <w:rsid w:val="005E27CD"/>
    <w:rsid w:val="005F0825"/>
    <w:rsid w:val="005F0EEF"/>
    <w:rsid w:val="005F2045"/>
    <w:rsid w:val="005F5748"/>
    <w:rsid w:val="005F7584"/>
    <w:rsid w:val="005F7BE5"/>
    <w:rsid w:val="005F7FE5"/>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233E"/>
    <w:rsid w:val="006424D4"/>
    <w:rsid w:val="00645401"/>
    <w:rsid w:val="006459CD"/>
    <w:rsid w:val="00645A28"/>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7AA2"/>
    <w:rsid w:val="00677B11"/>
    <w:rsid w:val="00682B9B"/>
    <w:rsid w:val="00682D83"/>
    <w:rsid w:val="006833B9"/>
    <w:rsid w:val="006836CC"/>
    <w:rsid w:val="00684FD7"/>
    <w:rsid w:val="006854BC"/>
    <w:rsid w:val="00687343"/>
    <w:rsid w:val="006875E3"/>
    <w:rsid w:val="00690B93"/>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75B4"/>
    <w:rsid w:val="006C03AF"/>
    <w:rsid w:val="006C040B"/>
    <w:rsid w:val="006C10E0"/>
    <w:rsid w:val="006C19C2"/>
    <w:rsid w:val="006C4291"/>
    <w:rsid w:val="006C7009"/>
    <w:rsid w:val="006C7167"/>
    <w:rsid w:val="006D1051"/>
    <w:rsid w:val="006D1233"/>
    <w:rsid w:val="006D2BBD"/>
    <w:rsid w:val="006D415C"/>
    <w:rsid w:val="006D4702"/>
    <w:rsid w:val="006D581E"/>
    <w:rsid w:val="006D7386"/>
    <w:rsid w:val="006D75E7"/>
    <w:rsid w:val="006E054E"/>
    <w:rsid w:val="006E0CE6"/>
    <w:rsid w:val="006E0E5C"/>
    <w:rsid w:val="006E178F"/>
    <w:rsid w:val="006E1798"/>
    <w:rsid w:val="006E235B"/>
    <w:rsid w:val="006E2BD0"/>
    <w:rsid w:val="006E2D1D"/>
    <w:rsid w:val="006F0C73"/>
    <w:rsid w:val="006F4D88"/>
    <w:rsid w:val="006F56A8"/>
    <w:rsid w:val="006F709E"/>
    <w:rsid w:val="00700AB3"/>
    <w:rsid w:val="00701958"/>
    <w:rsid w:val="00701B3F"/>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7652"/>
    <w:rsid w:val="0072016E"/>
    <w:rsid w:val="00722CC3"/>
    <w:rsid w:val="007242E6"/>
    <w:rsid w:val="00724385"/>
    <w:rsid w:val="00724542"/>
    <w:rsid w:val="0072514B"/>
    <w:rsid w:val="00725696"/>
    <w:rsid w:val="0072709C"/>
    <w:rsid w:val="00730995"/>
    <w:rsid w:val="00732633"/>
    <w:rsid w:val="007331D8"/>
    <w:rsid w:val="0073367F"/>
    <w:rsid w:val="00734F3C"/>
    <w:rsid w:val="00735486"/>
    <w:rsid w:val="00736A62"/>
    <w:rsid w:val="0073760A"/>
    <w:rsid w:val="0074076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70E0"/>
    <w:rsid w:val="007C1A8D"/>
    <w:rsid w:val="007C21F1"/>
    <w:rsid w:val="007C5861"/>
    <w:rsid w:val="007C60D0"/>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227D"/>
    <w:rsid w:val="007F2677"/>
    <w:rsid w:val="007F3625"/>
    <w:rsid w:val="007F367D"/>
    <w:rsid w:val="007F4678"/>
    <w:rsid w:val="007F5765"/>
    <w:rsid w:val="007F5B92"/>
    <w:rsid w:val="007F6871"/>
    <w:rsid w:val="007F77B4"/>
    <w:rsid w:val="007F7FCB"/>
    <w:rsid w:val="00801DB6"/>
    <w:rsid w:val="00804ACB"/>
    <w:rsid w:val="00806168"/>
    <w:rsid w:val="0080745A"/>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537F"/>
    <w:rsid w:val="00825CBE"/>
    <w:rsid w:val="0082709E"/>
    <w:rsid w:val="008279E9"/>
    <w:rsid w:val="0083016D"/>
    <w:rsid w:val="00830725"/>
    <w:rsid w:val="00831267"/>
    <w:rsid w:val="00835EBA"/>
    <w:rsid w:val="008360EC"/>
    <w:rsid w:val="00841336"/>
    <w:rsid w:val="00841D3C"/>
    <w:rsid w:val="008432A3"/>
    <w:rsid w:val="008432F8"/>
    <w:rsid w:val="0084434E"/>
    <w:rsid w:val="00845E60"/>
    <w:rsid w:val="00846355"/>
    <w:rsid w:val="008470EB"/>
    <w:rsid w:val="0085068A"/>
    <w:rsid w:val="00852287"/>
    <w:rsid w:val="008551F8"/>
    <w:rsid w:val="00856F0D"/>
    <w:rsid w:val="00857E40"/>
    <w:rsid w:val="00860FBA"/>
    <w:rsid w:val="00862B43"/>
    <w:rsid w:val="00862B9C"/>
    <w:rsid w:val="00863F05"/>
    <w:rsid w:val="00864857"/>
    <w:rsid w:val="008661CA"/>
    <w:rsid w:val="00866E0D"/>
    <w:rsid w:val="0086773A"/>
    <w:rsid w:val="00870B4D"/>
    <w:rsid w:val="00871691"/>
    <w:rsid w:val="008777A1"/>
    <w:rsid w:val="0088002D"/>
    <w:rsid w:val="008831EF"/>
    <w:rsid w:val="008858B9"/>
    <w:rsid w:val="00885C22"/>
    <w:rsid w:val="00886D36"/>
    <w:rsid w:val="00886DF8"/>
    <w:rsid w:val="00886FBB"/>
    <w:rsid w:val="00887397"/>
    <w:rsid w:val="008906DF"/>
    <w:rsid w:val="00890B76"/>
    <w:rsid w:val="00890B78"/>
    <w:rsid w:val="00890CE7"/>
    <w:rsid w:val="008919A2"/>
    <w:rsid w:val="00892426"/>
    <w:rsid w:val="00892AC0"/>
    <w:rsid w:val="00893ACA"/>
    <w:rsid w:val="00893AFB"/>
    <w:rsid w:val="00893BCF"/>
    <w:rsid w:val="00896F22"/>
    <w:rsid w:val="008A00B7"/>
    <w:rsid w:val="008A0778"/>
    <w:rsid w:val="008A530F"/>
    <w:rsid w:val="008A61B0"/>
    <w:rsid w:val="008B1084"/>
    <w:rsid w:val="008B2B93"/>
    <w:rsid w:val="008B2CEE"/>
    <w:rsid w:val="008B434A"/>
    <w:rsid w:val="008B475C"/>
    <w:rsid w:val="008B6F7A"/>
    <w:rsid w:val="008B7987"/>
    <w:rsid w:val="008B7B0E"/>
    <w:rsid w:val="008B7E9B"/>
    <w:rsid w:val="008C0349"/>
    <w:rsid w:val="008C0C90"/>
    <w:rsid w:val="008C1356"/>
    <w:rsid w:val="008C3E65"/>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082"/>
    <w:rsid w:val="00914CA6"/>
    <w:rsid w:val="00915CCB"/>
    <w:rsid w:val="00917409"/>
    <w:rsid w:val="0091793D"/>
    <w:rsid w:val="009202BC"/>
    <w:rsid w:val="00920859"/>
    <w:rsid w:val="00923C30"/>
    <w:rsid w:val="00924070"/>
    <w:rsid w:val="00924692"/>
    <w:rsid w:val="009272B7"/>
    <w:rsid w:val="00931E1F"/>
    <w:rsid w:val="00932ABC"/>
    <w:rsid w:val="00933185"/>
    <w:rsid w:val="00934D25"/>
    <w:rsid w:val="00935049"/>
    <w:rsid w:val="00936953"/>
    <w:rsid w:val="00937121"/>
    <w:rsid w:val="009400B9"/>
    <w:rsid w:val="00940DDB"/>
    <w:rsid w:val="00944349"/>
    <w:rsid w:val="009473C3"/>
    <w:rsid w:val="00947869"/>
    <w:rsid w:val="00950FA9"/>
    <w:rsid w:val="0095258C"/>
    <w:rsid w:val="00952865"/>
    <w:rsid w:val="00954C35"/>
    <w:rsid w:val="0095515C"/>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6A2"/>
    <w:rsid w:val="009C1791"/>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CE6"/>
    <w:rsid w:val="00A129C5"/>
    <w:rsid w:val="00A141DC"/>
    <w:rsid w:val="00A151F9"/>
    <w:rsid w:val="00A15756"/>
    <w:rsid w:val="00A15B21"/>
    <w:rsid w:val="00A15FB9"/>
    <w:rsid w:val="00A17284"/>
    <w:rsid w:val="00A206A7"/>
    <w:rsid w:val="00A21177"/>
    <w:rsid w:val="00A2170D"/>
    <w:rsid w:val="00A21C95"/>
    <w:rsid w:val="00A220B2"/>
    <w:rsid w:val="00A242B3"/>
    <w:rsid w:val="00A24ACA"/>
    <w:rsid w:val="00A24B5E"/>
    <w:rsid w:val="00A262BB"/>
    <w:rsid w:val="00A26863"/>
    <w:rsid w:val="00A316B7"/>
    <w:rsid w:val="00A328F9"/>
    <w:rsid w:val="00A332B8"/>
    <w:rsid w:val="00A33768"/>
    <w:rsid w:val="00A338F8"/>
    <w:rsid w:val="00A376C3"/>
    <w:rsid w:val="00A37CA5"/>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2494"/>
    <w:rsid w:val="00A8282E"/>
    <w:rsid w:val="00A84955"/>
    <w:rsid w:val="00A84F78"/>
    <w:rsid w:val="00A850F9"/>
    <w:rsid w:val="00A8568A"/>
    <w:rsid w:val="00A85A0E"/>
    <w:rsid w:val="00A863BF"/>
    <w:rsid w:val="00A86890"/>
    <w:rsid w:val="00A87449"/>
    <w:rsid w:val="00A90001"/>
    <w:rsid w:val="00A901DF"/>
    <w:rsid w:val="00A92DF1"/>
    <w:rsid w:val="00A93190"/>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EAC"/>
    <w:rsid w:val="00AC3941"/>
    <w:rsid w:val="00AC39E6"/>
    <w:rsid w:val="00AC412C"/>
    <w:rsid w:val="00AC560C"/>
    <w:rsid w:val="00AC58FD"/>
    <w:rsid w:val="00AD0761"/>
    <w:rsid w:val="00AD0874"/>
    <w:rsid w:val="00AD0B43"/>
    <w:rsid w:val="00AD11A6"/>
    <w:rsid w:val="00AD16B8"/>
    <w:rsid w:val="00AD2BBB"/>
    <w:rsid w:val="00AD33FA"/>
    <w:rsid w:val="00AD3E29"/>
    <w:rsid w:val="00AD402B"/>
    <w:rsid w:val="00AD5389"/>
    <w:rsid w:val="00AD78CD"/>
    <w:rsid w:val="00AE10D0"/>
    <w:rsid w:val="00AE176D"/>
    <w:rsid w:val="00AE2AC6"/>
    <w:rsid w:val="00AE2F25"/>
    <w:rsid w:val="00AE3A6A"/>
    <w:rsid w:val="00AE4361"/>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CCA"/>
    <w:rsid w:val="00B107B1"/>
    <w:rsid w:val="00B10842"/>
    <w:rsid w:val="00B113D2"/>
    <w:rsid w:val="00B14B72"/>
    <w:rsid w:val="00B1577F"/>
    <w:rsid w:val="00B15FC8"/>
    <w:rsid w:val="00B23BA9"/>
    <w:rsid w:val="00B269D6"/>
    <w:rsid w:val="00B26CAB"/>
    <w:rsid w:val="00B27282"/>
    <w:rsid w:val="00B30011"/>
    <w:rsid w:val="00B30C92"/>
    <w:rsid w:val="00B32DB0"/>
    <w:rsid w:val="00B32F6F"/>
    <w:rsid w:val="00B34011"/>
    <w:rsid w:val="00B34985"/>
    <w:rsid w:val="00B358FB"/>
    <w:rsid w:val="00B36D8B"/>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B2BE2"/>
    <w:rsid w:val="00BB3F42"/>
    <w:rsid w:val="00BB69C4"/>
    <w:rsid w:val="00BB6AEB"/>
    <w:rsid w:val="00BC1358"/>
    <w:rsid w:val="00BC1C1B"/>
    <w:rsid w:val="00BC2097"/>
    <w:rsid w:val="00BC3421"/>
    <w:rsid w:val="00BC50CB"/>
    <w:rsid w:val="00BC5887"/>
    <w:rsid w:val="00BC5E1D"/>
    <w:rsid w:val="00BC6849"/>
    <w:rsid w:val="00BC6CA2"/>
    <w:rsid w:val="00BC7818"/>
    <w:rsid w:val="00BD2338"/>
    <w:rsid w:val="00BD241A"/>
    <w:rsid w:val="00BD3291"/>
    <w:rsid w:val="00BD340F"/>
    <w:rsid w:val="00BD4234"/>
    <w:rsid w:val="00BD42A8"/>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4CCD"/>
    <w:rsid w:val="00BF4F3B"/>
    <w:rsid w:val="00BF6F2C"/>
    <w:rsid w:val="00C00756"/>
    <w:rsid w:val="00C00C7D"/>
    <w:rsid w:val="00C00D41"/>
    <w:rsid w:val="00C01C1D"/>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31C0"/>
    <w:rsid w:val="00C25519"/>
    <w:rsid w:val="00C258E9"/>
    <w:rsid w:val="00C25BB8"/>
    <w:rsid w:val="00C26016"/>
    <w:rsid w:val="00C275F3"/>
    <w:rsid w:val="00C30F45"/>
    <w:rsid w:val="00C31571"/>
    <w:rsid w:val="00C317E6"/>
    <w:rsid w:val="00C32616"/>
    <w:rsid w:val="00C32BDC"/>
    <w:rsid w:val="00C33968"/>
    <w:rsid w:val="00C35101"/>
    <w:rsid w:val="00C351F1"/>
    <w:rsid w:val="00C400E3"/>
    <w:rsid w:val="00C40829"/>
    <w:rsid w:val="00C4093D"/>
    <w:rsid w:val="00C42AA3"/>
    <w:rsid w:val="00C43992"/>
    <w:rsid w:val="00C43E57"/>
    <w:rsid w:val="00C43F3C"/>
    <w:rsid w:val="00C46F36"/>
    <w:rsid w:val="00C50D49"/>
    <w:rsid w:val="00C57A96"/>
    <w:rsid w:val="00C60F20"/>
    <w:rsid w:val="00C61021"/>
    <w:rsid w:val="00C6147B"/>
    <w:rsid w:val="00C6204E"/>
    <w:rsid w:val="00C6229C"/>
    <w:rsid w:val="00C628EB"/>
    <w:rsid w:val="00C62A34"/>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24DE"/>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4E33"/>
    <w:rsid w:val="00CB6A1E"/>
    <w:rsid w:val="00CB7D11"/>
    <w:rsid w:val="00CB7DF4"/>
    <w:rsid w:val="00CC0010"/>
    <w:rsid w:val="00CC0261"/>
    <w:rsid w:val="00CC19BA"/>
    <w:rsid w:val="00CC2159"/>
    <w:rsid w:val="00CC3781"/>
    <w:rsid w:val="00CC4457"/>
    <w:rsid w:val="00CC6784"/>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D01747"/>
    <w:rsid w:val="00D01BF0"/>
    <w:rsid w:val="00D024CA"/>
    <w:rsid w:val="00D0288F"/>
    <w:rsid w:val="00D03E5A"/>
    <w:rsid w:val="00D04358"/>
    <w:rsid w:val="00D06839"/>
    <w:rsid w:val="00D112BA"/>
    <w:rsid w:val="00D1264D"/>
    <w:rsid w:val="00D141D6"/>
    <w:rsid w:val="00D16FC5"/>
    <w:rsid w:val="00D219D8"/>
    <w:rsid w:val="00D21C4E"/>
    <w:rsid w:val="00D24271"/>
    <w:rsid w:val="00D245C8"/>
    <w:rsid w:val="00D246C5"/>
    <w:rsid w:val="00D24E7D"/>
    <w:rsid w:val="00D25F4C"/>
    <w:rsid w:val="00D261A5"/>
    <w:rsid w:val="00D27961"/>
    <w:rsid w:val="00D31169"/>
    <w:rsid w:val="00D34150"/>
    <w:rsid w:val="00D368D9"/>
    <w:rsid w:val="00D36A8C"/>
    <w:rsid w:val="00D374AF"/>
    <w:rsid w:val="00D379BC"/>
    <w:rsid w:val="00D40A32"/>
    <w:rsid w:val="00D43ACC"/>
    <w:rsid w:val="00D43BFF"/>
    <w:rsid w:val="00D43F89"/>
    <w:rsid w:val="00D44B5C"/>
    <w:rsid w:val="00D45315"/>
    <w:rsid w:val="00D4539E"/>
    <w:rsid w:val="00D45F7F"/>
    <w:rsid w:val="00D4665A"/>
    <w:rsid w:val="00D50C84"/>
    <w:rsid w:val="00D510A7"/>
    <w:rsid w:val="00D513DE"/>
    <w:rsid w:val="00D52019"/>
    <w:rsid w:val="00D548B1"/>
    <w:rsid w:val="00D55135"/>
    <w:rsid w:val="00D57921"/>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A04"/>
    <w:rsid w:val="00D84E77"/>
    <w:rsid w:val="00D912AB"/>
    <w:rsid w:val="00D9150F"/>
    <w:rsid w:val="00D91923"/>
    <w:rsid w:val="00D91F26"/>
    <w:rsid w:val="00D93E07"/>
    <w:rsid w:val="00D95850"/>
    <w:rsid w:val="00D97806"/>
    <w:rsid w:val="00DA0278"/>
    <w:rsid w:val="00DA1033"/>
    <w:rsid w:val="00DA33C0"/>
    <w:rsid w:val="00DA4748"/>
    <w:rsid w:val="00DA5746"/>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EA6"/>
    <w:rsid w:val="00E079B3"/>
    <w:rsid w:val="00E079F5"/>
    <w:rsid w:val="00E1043A"/>
    <w:rsid w:val="00E10CFB"/>
    <w:rsid w:val="00E1186C"/>
    <w:rsid w:val="00E12002"/>
    <w:rsid w:val="00E14879"/>
    <w:rsid w:val="00E15409"/>
    <w:rsid w:val="00E15975"/>
    <w:rsid w:val="00E15EA1"/>
    <w:rsid w:val="00E16B47"/>
    <w:rsid w:val="00E17D3D"/>
    <w:rsid w:val="00E22677"/>
    <w:rsid w:val="00E22E1C"/>
    <w:rsid w:val="00E2307B"/>
    <w:rsid w:val="00E238CB"/>
    <w:rsid w:val="00E2457E"/>
    <w:rsid w:val="00E252E4"/>
    <w:rsid w:val="00E26095"/>
    <w:rsid w:val="00E260D5"/>
    <w:rsid w:val="00E27B4B"/>
    <w:rsid w:val="00E27BEC"/>
    <w:rsid w:val="00E30F0C"/>
    <w:rsid w:val="00E30F96"/>
    <w:rsid w:val="00E31EA7"/>
    <w:rsid w:val="00E320E7"/>
    <w:rsid w:val="00E34674"/>
    <w:rsid w:val="00E35DBF"/>
    <w:rsid w:val="00E36BDD"/>
    <w:rsid w:val="00E375DB"/>
    <w:rsid w:val="00E402F2"/>
    <w:rsid w:val="00E43C3D"/>
    <w:rsid w:val="00E44581"/>
    <w:rsid w:val="00E460A3"/>
    <w:rsid w:val="00E514CF"/>
    <w:rsid w:val="00E52662"/>
    <w:rsid w:val="00E52DEF"/>
    <w:rsid w:val="00E541AB"/>
    <w:rsid w:val="00E544FA"/>
    <w:rsid w:val="00E612A8"/>
    <w:rsid w:val="00E6176C"/>
    <w:rsid w:val="00E61A68"/>
    <w:rsid w:val="00E6266E"/>
    <w:rsid w:val="00E62F21"/>
    <w:rsid w:val="00E6328C"/>
    <w:rsid w:val="00E64B0A"/>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523"/>
    <w:rsid w:val="00EB45B9"/>
    <w:rsid w:val="00EB5E12"/>
    <w:rsid w:val="00EB6226"/>
    <w:rsid w:val="00EC0B68"/>
    <w:rsid w:val="00EC3BD7"/>
    <w:rsid w:val="00EC533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ABD"/>
    <w:rsid w:val="00EE3D7B"/>
    <w:rsid w:val="00EE4921"/>
    <w:rsid w:val="00EE5600"/>
    <w:rsid w:val="00EE660F"/>
    <w:rsid w:val="00EF0492"/>
    <w:rsid w:val="00EF0FD3"/>
    <w:rsid w:val="00EF13CE"/>
    <w:rsid w:val="00EF1CBC"/>
    <w:rsid w:val="00EF37C4"/>
    <w:rsid w:val="00EF4A80"/>
    <w:rsid w:val="00EF7E02"/>
    <w:rsid w:val="00F004B7"/>
    <w:rsid w:val="00F00621"/>
    <w:rsid w:val="00F010FE"/>
    <w:rsid w:val="00F018DE"/>
    <w:rsid w:val="00F0338F"/>
    <w:rsid w:val="00F03A73"/>
    <w:rsid w:val="00F103CF"/>
    <w:rsid w:val="00F11648"/>
    <w:rsid w:val="00F12781"/>
    <w:rsid w:val="00F12C71"/>
    <w:rsid w:val="00F15F31"/>
    <w:rsid w:val="00F16AA8"/>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35A"/>
    <w:rsid w:val="00F9692A"/>
    <w:rsid w:val="00FA0BC5"/>
    <w:rsid w:val="00FA2552"/>
    <w:rsid w:val="00FA360F"/>
    <w:rsid w:val="00FA42DA"/>
    <w:rsid w:val="00FA459F"/>
    <w:rsid w:val="00FA50C9"/>
    <w:rsid w:val="00FA563E"/>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159126E"/>
    <w:rsid w:val="02811C50"/>
    <w:rsid w:val="02CB7B00"/>
    <w:rsid w:val="03822CFE"/>
    <w:rsid w:val="038C592B"/>
    <w:rsid w:val="03F977BD"/>
    <w:rsid w:val="0411260F"/>
    <w:rsid w:val="04154B1B"/>
    <w:rsid w:val="042E69E2"/>
    <w:rsid w:val="04582D83"/>
    <w:rsid w:val="04FD4606"/>
    <w:rsid w:val="052B1173"/>
    <w:rsid w:val="053C0C8A"/>
    <w:rsid w:val="05FF0420"/>
    <w:rsid w:val="06113EC5"/>
    <w:rsid w:val="06376942"/>
    <w:rsid w:val="07110BA2"/>
    <w:rsid w:val="076517D2"/>
    <w:rsid w:val="078A03D3"/>
    <w:rsid w:val="079815C8"/>
    <w:rsid w:val="081A339A"/>
    <w:rsid w:val="090D306A"/>
    <w:rsid w:val="092071F7"/>
    <w:rsid w:val="0949237B"/>
    <w:rsid w:val="098A2D84"/>
    <w:rsid w:val="09B060FC"/>
    <w:rsid w:val="09F74850"/>
    <w:rsid w:val="0A0A1357"/>
    <w:rsid w:val="0A8A220E"/>
    <w:rsid w:val="0ADA132B"/>
    <w:rsid w:val="0BE70350"/>
    <w:rsid w:val="0C724374"/>
    <w:rsid w:val="0CB101B0"/>
    <w:rsid w:val="0CEA5470"/>
    <w:rsid w:val="0D692839"/>
    <w:rsid w:val="0DD30A2B"/>
    <w:rsid w:val="0E3C7F4D"/>
    <w:rsid w:val="0EAF7832"/>
    <w:rsid w:val="0F87344A"/>
    <w:rsid w:val="0F955B67"/>
    <w:rsid w:val="103A048B"/>
    <w:rsid w:val="10BD6D9F"/>
    <w:rsid w:val="112B402D"/>
    <w:rsid w:val="11A82642"/>
    <w:rsid w:val="11D84F6D"/>
    <w:rsid w:val="12771554"/>
    <w:rsid w:val="12D04739"/>
    <w:rsid w:val="131E2DE2"/>
    <w:rsid w:val="133D454B"/>
    <w:rsid w:val="13963C5C"/>
    <w:rsid w:val="139F03F6"/>
    <w:rsid w:val="14BF6149"/>
    <w:rsid w:val="14D56CBC"/>
    <w:rsid w:val="14DA2F92"/>
    <w:rsid w:val="1525798D"/>
    <w:rsid w:val="153B2D0D"/>
    <w:rsid w:val="15A5462A"/>
    <w:rsid w:val="174A6A66"/>
    <w:rsid w:val="184C5231"/>
    <w:rsid w:val="18DE45A6"/>
    <w:rsid w:val="19435583"/>
    <w:rsid w:val="19771B7E"/>
    <w:rsid w:val="199A057E"/>
    <w:rsid w:val="1AE06FED"/>
    <w:rsid w:val="1B211512"/>
    <w:rsid w:val="1B4E4DE8"/>
    <w:rsid w:val="1B566579"/>
    <w:rsid w:val="1BD468A2"/>
    <w:rsid w:val="1BD866B3"/>
    <w:rsid w:val="1CA0088A"/>
    <w:rsid w:val="1D1324D3"/>
    <w:rsid w:val="1DBF0627"/>
    <w:rsid w:val="1DC32EB5"/>
    <w:rsid w:val="1DCD2970"/>
    <w:rsid w:val="1EB61656"/>
    <w:rsid w:val="1F02489B"/>
    <w:rsid w:val="1FE04BDC"/>
    <w:rsid w:val="1FF22B62"/>
    <w:rsid w:val="204A184E"/>
    <w:rsid w:val="205D447F"/>
    <w:rsid w:val="20971013"/>
    <w:rsid w:val="21A61FC4"/>
    <w:rsid w:val="220A3C81"/>
    <w:rsid w:val="220A4192"/>
    <w:rsid w:val="22AC349C"/>
    <w:rsid w:val="22B91715"/>
    <w:rsid w:val="22BE5A7C"/>
    <w:rsid w:val="22F22F30"/>
    <w:rsid w:val="23C12F77"/>
    <w:rsid w:val="24997A50"/>
    <w:rsid w:val="24D6105D"/>
    <w:rsid w:val="24E567F1"/>
    <w:rsid w:val="24FE1558"/>
    <w:rsid w:val="25B6018D"/>
    <w:rsid w:val="263A33A2"/>
    <w:rsid w:val="264F486A"/>
    <w:rsid w:val="26D606AC"/>
    <w:rsid w:val="271473C7"/>
    <w:rsid w:val="27BA3F65"/>
    <w:rsid w:val="281573ED"/>
    <w:rsid w:val="288D1B1B"/>
    <w:rsid w:val="29505072"/>
    <w:rsid w:val="29B42C36"/>
    <w:rsid w:val="2A816FBC"/>
    <w:rsid w:val="2AA05E26"/>
    <w:rsid w:val="2B350611"/>
    <w:rsid w:val="2B705E2B"/>
    <w:rsid w:val="2B836D64"/>
    <w:rsid w:val="2BC96E6C"/>
    <w:rsid w:val="2BEE541D"/>
    <w:rsid w:val="2C5C1A8E"/>
    <w:rsid w:val="2E1A39AF"/>
    <w:rsid w:val="2E304F81"/>
    <w:rsid w:val="2E374561"/>
    <w:rsid w:val="2EE1627B"/>
    <w:rsid w:val="2F074EA2"/>
    <w:rsid w:val="2F2C0B1D"/>
    <w:rsid w:val="2FD41752"/>
    <w:rsid w:val="304070FC"/>
    <w:rsid w:val="305B3700"/>
    <w:rsid w:val="30890978"/>
    <w:rsid w:val="31D40319"/>
    <w:rsid w:val="32777E7D"/>
    <w:rsid w:val="330A0424"/>
    <w:rsid w:val="33453773"/>
    <w:rsid w:val="33CB2BCE"/>
    <w:rsid w:val="33DD1D36"/>
    <w:rsid w:val="33F702EF"/>
    <w:rsid w:val="34170D13"/>
    <w:rsid w:val="35C85566"/>
    <w:rsid w:val="369E2CA4"/>
    <w:rsid w:val="36D63FF5"/>
    <w:rsid w:val="37394099"/>
    <w:rsid w:val="382E5B98"/>
    <w:rsid w:val="38547ABE"/>
    <w:rsid w:val="38D1110E"/>
    <w:rsid w:val="39737051"/>
    <w:rsid w:val="39AD3929"/>
    <w:rsid w:val="3A283FE8"/>
    <w:rsid w:val="3A4D6EBA"/>
    <w:rsid w:val="3A695373"/>
    <w:rsid w:val="3A6B1889"/>
    <w:rsid w:val="3A7B026E"/>
    <w:rsid w:val="3A8066BC"/>
    <w:rsid w:val="3B9F1750"/>
    <w:rsid w:val="3BE64ED1"/>
    <w:rsid w:val="3C0B4340"/>
    <w:rsid w:val="3C3C79E8"/>
    <w:rsid w:val="3C595371"/>
    <w:rsid w:val="3CC14813"/>
    <w:rsid w:val="3CCF3BB7"/>
    <w:rsid w:val="3D3A76B0"/>
    <w:rsid w:val="3D6562C9"/>
    <w:rsid w:val="3DCC7A7C"/>
    <w:rsid w:val="3DD1766F"/>
    <w:rsid w:val="3DF62CFE"/>
    <w:rsid w:val="3E2B79A8"/>
    <w:rsid w:val="3EB05C6A"/>
    <w:rsid w:val="3F00274D"/>
    <w:rsid w:val="3F5039A5"/>
    <w:rsid w:val="3F564F2A"/>
    <w:rsid w:val="3F5E7474"/>
    <w:rsid w:val="3FA8312C"/>
    <w:rsid w:val="3FCB58CB"/>
    <w:rsid w:val="40B93AD3"/>
    <w:rsid w:val="40ED0E46"/>
    <w:rsid w:val="41132024"/>
    <w:rsid w:val="419329F4"/>
    <w:rsid w:val="426254CD"/>
    <w:rsid w:val="42EC47AF"/>
    <w:rsid w:val="43193DDE"/>
    <w:rsid w:val="43675A04"/>
    <w:rsid w:val="43D877F5"/>
    <w:rsid w:val="43E10162"/>
    <w:rsid w:val="444F611F"/>
    <w:rsid w:val="44760A9D"/>
    <w:rsid w:val="44B4311E"/>
    <w:rsid w:val="44F248E6"/>
    <w:rsid w:val="45CC5137"/>
    <w:rsid w:val="45FF375F"/>
    <w:rsid w:val="46162856"/>
    <w:rsid w:val="46362EF9"/>
    <w:rsid w:val="46A20569"/>
    <w:rsid w:val="46EE732F"/>
    <w:rsid w:val="476B0980"/>
    <w:rsid w:val="479779C7"/>
    <w:rsid w:val="47CC2624"/>
    <w:rsid w:val="48AB372A"/>
    <w:rsid w:val="48CB3DCC"/>
    <w:rsid w:val="48D27FF8"/>
    <w:rsid w:val="48D569F9"/>
    <w:rsid w:val="48DE1C64"/>
    <w:rsid w:val="498D1081"/>
    <w:rsid w:val="49AA35CE"/>
    <w:rsid w:val="4A5611F5"/>
    <w:rsid w:val="4A871F75"/>
    <w:rsid w:val="4C8B180D"/>
    <w:rsid w:val="4CA037FA"/>
    <w:rsid w:val="4D0E24D9"/>
    <w:rsid w:val="4D73058E"/>
    <w:rsid w:val="4D7F33D7"/>
    <w:rsid w:val="4D812783"/>
    <w:rsid w:val="4D820F72"/>
    <w:rsid w:val="4E546612"/>
    <w:rsid w:val="4E7445BE"/>
    <w:rsid w:val="4E824F2D"/>
    <w:rsid w:val="501E7CAB"/>
    <w:rsid w:val="5085694D"/>
    <w:rsid w:val="509D0B67"/>
    <w:rsid w:val="50DE21C3"/>
    <w:rsid w:val="50E33C7D"/>
    <w:rsid w:val="51172D37"/>
    <w:rsid w:val="51552685"/>
    <w:rsid w:val="51644DBE"/>
    <w:rsid w:val="523F22A3"/>
    <w:rsid w:val="524C784D"/>
    <w:rsid w:val="525E70D8"/>
    <w:rsid w:val="52685679"/>
    <w:rsid w:val="526E7374"/>
    <w:rsid w:val="52A42F98"/>
    <w:rsid w:val="53477874"/>
    <w:rsid w:val="542B1BC3"/>
    <w:rsid w:val="54340CAB"/>
    <w:rsid w:val="54B020C8"/>
    <w:rsid w:val="5524472E"/>
    <w:rsid w:val="55254864"/>
    <w:rsid w:val="55E262B1"/>
    <w:rsid w:val="55FA2598"/>
    <w:rsid w:val="568B3E88"/>
    <w:rsid w:val="579B178C"/>
    <w:rsid w:val="58C04746"/>
    <w:rsid w:val="596A6026"/>
    <w:rsid w:val="599364B0"/>
    <w:rsid w:val="5A492DA3"/>
    <w:rsid w:val="5A6645C8"/>
    <w:rsid w:val="5B912A21"/>
    <w:rsid w:val="5D891708"/>
    <w:rsid w:val="5D9702C9"/>
    <w:rsid w:val="5DCC7F73"/>
    <w:rsid w:val="5E0D40E7"/>
    <w:rsid w:val="5E190CDE"/>
    <w:rsid w:val="5E7B5E08"/>
    <w:rsid w:val="5E7D74BF"/>
    <w:rsid w:val="5E806DB9"/>
    <w:rsid w:val="5EC724E8"/>
    <w:rsid w:val="5F543E6A"/>
    <w:rsid w:val="5FB7255D"/>
    <w:rsid w:val="5FE1582B"/>
    <w:rsid w:val="5FE62E42"/>
    <w:rsid w:val="5FF34165"/>
    <w:rsid w:val="5FFC4A99"/>
    <w:rsid w:val="6078146D"/>
    <w:rsid w:val="60996056"/>
    <w:rsid w:val="61446072"/>
    <w:rsid w:val="6185307B"/>
    <w:rsid w:val="61A43138"/>
    <w:rsid w:val="61C176C2"/>
    <w:rsid w:val="61DD1805"/>
    <w:rsid w:val="61FC4B9F"/>
    <w:rsid w:val="6280132C"/>
    <w:rsid w:val="63144A9E"/>
    <w:rsid w:val="631A5FB8"/>
    <w:rsid w:val="63400343"/>
    <w:rsid w:val="638D1FEC"/>
    <w:rsid w:val="65794AEE"/>
    <w:rsid w:val="65817895"/>
    <w:rsid w:val="658F0953"/>
    <w:rsid w:val="65DA705D"/>
    <w:rsid w:val="65FC33BF"/>
    <w:rsid w:val="66096397"/>
    <w:rsid w:val="665F7549"/>
    <w:rsid w:val="66A54D49"/>
    <w:rsid w:val="66AD46B9"/>
    <w:rsid w:val="66F8107D"/>
    <w:rsid w:val="673254E5"/>
    <w:rsid w:val="67980EC5"/>
    <w:rsid w:val="67A40223"/>
    <w:rsid w:val="67B76A68"/>
    <w:rsid w:val="680D2FC5"/>
    <w:rsid w:val="69D95C63"/>
    <w:rsid w:val="69E2467A"/>
    <w:rsid w:val="6A503CD9"/>
    <w:rsid w:val="6A8C2674"/>
    <w:rsid w:val="6AB9187F"/>
    <w:rsid w:val="6B737C7F"/>
    <w:rsid w:val="6BD67A5C"/>
    <w:rsid w:val="6C0542C4"/>
    <w:rsid w:val="6C1256EA"/>
    <w:rsid w:val="6C134FBF"/>
    <w:rsid w:val="6C14399B"/>
    <w:rsid w:val="6C4D779E"/>
    <w:rsid w:val="6C8934D3"/>
    <w:rsid w:val="6CAF32C0"/>
    <w:rsid w:val="6D9D09C6"/>
    <w:rsid w:val="6DD703B2"/>
    <w:rsid w:val="6E22686A"/>
    <w:rsid w:val="6EC802E2"/>
    <w:rsid w:val="6ECC157B"/>
    <w:rsid w:val="6EDC188F"/>
    <w:rsid w:val="6EFE3D04"/>
    <w:rsid w:val="6F776FE8"/>
    <w:rsid w:val="6FD72449"/>
    <w:rsid w:val="709938DD"/>
    <w:rsid w:val="712A6EE7"/>
    <w:rsid w:val="714F6A99"/>
    <w:rsid w:val="7185070D"/>
    <w:rsid w:val="71B6488D"/>
    <w:rsid w:val="72255A4C"/>
    <w:rsid w:val="724F1D63"/>
    <w:rsid w:val="72EB62B1"/>
    <w:rsid w:val="739C6BE4"/>
    <w:rsid w:val="73B01345"/>
    <w:rsid w:val="73B726D3"/>
    <w:rsid w:val="74523DBE"/>
    <w:rsid w:val="74D379E1"/>
    <w:rsid w:val="74E528F9"/>
    <w:rsid w:val="75410DEE"/>
    <w:rsid w:val="756C46A5"/>
    <w:rsid w:val="75EF1A41"/>
    <w:rsid w:val="76807428"/>
    <w:rsid w:val="76C25A93"/>
    <w:rsid w:val="76EC08E6"/>
    <w:rsid w:val="777F175A"/>
    <w:rsid w:val="77AD62C7"/>
    <w:rsid w:val="77EE068E"/>
    <w:rsid w:val="795B332D"/>
    <w:rsid w:val="7A304B42"/>
    <w:rsid w:val="7A5213A8"/>
    <w:rsid w:val="7A991A37"/>
    <w:rsid w:val="7AD41AC7"/>
    <w:rsid w:val="7B486307"/>
    <w:rsid w:val="7C0A19EF"/>
    <w:rsid w:val="7C31689A"/>
    <w:rsid w:val="7C4116D4"/>
    <w:rsid w:val="7C460A98"/>
    <w:rsid w:val="7C8F0691"/>
    <w:rsid w:val="7D015BC5"/>
    <w:rsid w:val="7E4C610E"/>
    <w:rsid w:val="7E5F22E5"/>
    <w:rsid w:val="7F672815"/>
    <w:rsid w:val="7F8C16A9"/>
    <w:rsid w:val="7FAD6D90"/>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0" w:name="toc 2"/>
    <w:lsdException w:qFormat="1"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8"/>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paragraph" w:styleId="3">
    <w:name w:val="heading 2"/>
    <w:basedOn w:val="1"/>
    <w:next w:val="1"/>
    <w:unhideWhenUsed/>
    <w:qFormat/>
    <w:uiPriority w:val="0"/>
    <w:pPr>
      <w:keepNext/>
      <w:keepLines/>
      <w:outlineLvl w:val="1"/>
    </w:pPr>
    <w:rPr>
      <w:rFonts w:asciiTheme="majorHAnsi" w:hAnsiTheme="majorHAnsi" w:cstheme="majorBidi"/>
      <w:b/>
      <w:bCs/>
      <w:sz w:val="30"/>
      <w:szCs w:val="32"/>
      <w:lang w:eastAsia="ja-JP"/>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spacing w:before="60" w:after="60" w:line="440" w:lineRule="exact"/>
      <w:ind w:right="-8" w:rightChars="-4" w:firstLine="490" w:firstLineChars="204"/>
    </w:pPr>
    <w:rPr>
      <w:bCs/>
      <w:color w:val="000000"/>
      <w:sz w:val="24"/>
      <w:szCs w:val="20"/>
    </w:rPr>
  </w:style>
  <w:style w:type="paragraph" w:styleId="6">
    <w:name w:val="annotation text"/>
    <w:basedOn w:val="1"/>
    <w:link w:val="50"/>
    <w:semiHidden/>
    <w:unhideWhenUsed/>
    <w:qFormat/>
    <w:uiPriority w:val="0"/>
    <w:pPr>
      <w:jc w:val="left"/>
    </w:pPr>
  </w:style>
  <w:style w:type="paragraph" w:styleId="7">
    <w:name w:val="Body Text"/>
    <w:basedOn w:val="1"/>
    <w:next w:val="8"/>
    <w:link w:val="41"/>
    <w:qFormat/>
    <w:uiPriority w:val="0"/>
    <w:pPr>
      <w:widowControl/>
      <w:jc w:val="left"/>
    </w:pPr>
    <w:rPr>
      <w:rFonts w:eastAsia="PMingLiU"/>
      <w:kern w:val="0"/>
      <w:sz w:val="24"/>
      <w:szCs w:val="20"/>
      <w:lang w:eastAsia="en-US"/>
    </w:rPr>
  </w:style>
  <w:style w:type="paragraph" w:styleId="8">
    <w:name w:val="Body Text First Indent"/>
    <w:basedOn w:val="7"/>
    <w:next w:val="1"/>
    <w:unhideWhenUsed/>
    <w:qFormat/>
    <w:uiPriority w:val="99"/>
    <w:pPr>
      <w:ind w:firstLine="420" w:firstLineChars="100"/>
    </w:pPr>
    <w:rPr>
      <w:kern w:val="2"/>
      <w:sz w:val="21"/>
    </w:rPr>
  </w:style>
  <w:style w:type="paragraph" w:styleId="9">
    <w:name w:val="Body Text Indent"/>
    <w:basedOn w:val="1"/>
    <w:link w:val="40"/>
    <w:qFormat/>
    <w:uiPriority w:val="0"/>
    <w:pPr>
      <w:widowControl/>
      <w:ind w:left="-270" w:firstLine="270"/>
      <w:jc w:val="left"/>
    </w:pPr>
    <w:rPr>
      <w:rFonts w:eastAsia="PMingLiU"/>
      <w:kern w:val="0"/>
      <w:sz w:val="24"/>
      <w:szCs w:val="20"/>
      <w:lang w:val="en-GB" w:eastAsia="en-US"/>
    </w:rPr>
  </w:style>
  <w:style w:type="paragraph" w:styleId="10">
    <w:name w:val="toc 3"/>
    <w:basedOn w:val="1"/>
    <w:next w:val="1"/>
    <w:semiHidden/>
    <w:unhideWhenUsed/>
    <w:qFormat/>
    <w:uiPriority w:val="0"/>
    <w:pPr>
      <w:ind w:left="840" w:leftChars="400"/>
    </w:pPr>
  </w:style>
  <w:style w:type="paragraph" w:styleId="11">
    <w:name w:val="Plain Text"/>
    <w:basedOn w:val="1"/>
    <w:link w:val="38"/>
    <w:qFormat/>
    <w:uiPriority w:val="0"/>
    <w:rPr>
      <w:rFonts w:ascii="宋体" w:hAnsi="Courier New"/>
      <w:szCs w:val="20"/>
    </w:rPr>
  </w:style>
  <w:style w:type="paragraph" w:styleId="12">
    <w:name w:val="Balloon Text"/>
    <w:basedOn w:val="1"/>
    <w:semiHidden/>
    <w:qFormat/>
    <w:uiPriority w:val="0"/>
    <w:rPr>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17">
    <w:name w:val="toc 2"/>
    <w:basedOn w:val="1"/>
    <w:next w:val="1"/>
    <w:semiHidden/>
    <w:unhideWhenUsed/>
    <w:qFormat/>
    <w:uiPriority w:val="0"/>
    <w:pPr>
      <w:ind w:left="420" w:leftChars="200"/>
    </w:pPr>
  </w:style>
  <w:style w:type="paragraph" w:styleId="18">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19">
    <w:name w:val="Title"/>
    <w:basedOn w:val="1"/>
    <w:next w:val="1"/>
    <w:link w:val="56"/>
    <w:qFormat/>
    <w:uiPriority w:val="0"/>
    <w:pPr>
      <w:spacing w:before="240" w:after="60"/>
      <w:jc w:val="center"/>
      <w:outlineLvl w:val="0"/>
    </w:pPr>
    <w:rPr>
      <w:rFonts w:asciiTheme="majorHAnsi" w:hAnsiTheme="majorHAnsi" w:cstheme="majorBidi"/>
      <w:b/>
      <w:bCs/>
      <w:sz w:val="32"/>
      <w:szCs w:val="32"/>
    </w:rPr>
  </w:style>
  <w:style w:type="paragraph" w:styleId="20">
    <w:name w:val="annotation subject"/>
    <w:basedOn w:val="6"/>
    <w:next w:val="6"/>
    <w:link w:val="51"/>
    <w:semiHidden/>
    <w:unhideWhenUsed/>
    <w:qFormat/>
    <w:uiPriority w:val="0"/>
    <w:rPr>
      <w:b/>
      <w:bCs/>
    </w:rPr>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bCs/>
    </w:rPr>
  </w:style>
  <w:style w:type="character" w:styleId="25">
    <w:name w:val="Emphasis"/>
    <w:qFormat/>
    <w:uiPriority w:val="20"/>
    <w:rPr>
      <w:color w:val="DD4B39"/>
    </w:rPr>
  </w:style>
  <w:style w:type="character" w:styleId="26">
    <w:name w:val="Hyperlink"/>
    <w:qFormat/>
    <w:uiPriority w:val="99"/>
    <w:rPr>
      <w:color w:val="0000FF"/>
      <w:u w:val="single"/>
    </w:rPr>
  </w:style>
  <w:style w:type="character" w:styleId="27">
    <w:name w:val="annotation reference"/>
    <w:basedOn w:val="23"/>
    <w:semiHidden/>
    <w:unhideWhenUsed/>
    <w:qFormat/>
    <w:uiPriority w:val="0"/>
    <w:rPr>
      <w:sz w:val="21"/>
      <w:szCs w:val="21"/>
    </w:rPr>
  </w:style>
  <w:style w:type="paragraph" w:customStyle="1" w:styleId="28">
    <w:name w:val="首行缩进"/>
    <w:basedOn w:val="1"/>
    <w:qFormat/>
    <w:uiPriority w:val="0"/>
    <w:pPr>
      <w:widowControl/>
      <w:tabs>
        <w:tab w:val="left" w:pos="822"/>
      </w:tabs>
      <w:snapToGrid w:val="0"/>
      <w:spacing w:before="40" w:after="40" w:line="300" w:lineRule="atLeast"/>
      <w:ind w:left="2940" w:hanging="420"/>
    </w:pPr>
    <w:rPr>
      <w:rFonts w:ascii="Arial" w:hAnsi="Arial"/>
      <w:kern w:val="0"/>
      <w:szCs w:val="20"/>
    </w:rPr>
  </w:style>
  <w:style w:type="paragraph" w:customStyle="1" w:styleId="29">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30">
    <w:name w:val="页眉 Char"/>
    <w:link w:val="14"/>
    <w:qFormat/>
    <w:uiPriority w:val="0"/>
    <w:rPr>
      <w:kern w:val="2"/>
      <w:sz w:val="18"/>
      <w:szCs w:val="18"/>
    </w:rPr>
  </w:style>
  <w:style w:type="character" w:customStyle="1" w:styleId="31">
    <w:name w:val="页脚 Char"/>
    <w:link w:val="13"/>
    <w:qFormat/>
    <w:uiPriority w:val="99"/>
    <w:rPr>
      <w:kern w:val="2"/>
      <w:sz w:val="18"/>
      <w:szCs w:val="18"/>
    </w:rPr>
  </w:style>
  <w:style w:type="paragraph" w:styleId="32">
    <w:name w:val="List Paragraph"/>
    <w:basedOn w:val="1"/>
    <w:qFormat/>
    <w:uiPriority w:val="99"/>
    <w:pPr>
      <w:ind w:firstLine="420" w:firstLineChars="200"/>
    </w:pPr>
    <w:rPr>
      <w:rFonts w:ascii="Calibri" w:hAnsi="Calibri"/>
      <w:szCs w:val="22"/>
    </w:rPr>
  </w:style>
  <w:style w:type="paragraph" w:customStyle="1" w:styleId="33">
    <w:name w:val="Char"/>
    <w:basedOn w:val="1"/>
    <w:qFormat/>
    <w:uiPriority w:val="0"/>
    <w:pPr>
      <w:spacing w:line="360" w:lineRule="auto"/>
      <w:ind w:firstLine="200" w:firstLineChars="200"/>
    </w:pPr>
    <w:rPr>
      <w:rFonts w:ascii="宋体" w:hAnsi="宋体" w:cs="宋体"/>
      <w:sz w:val="24"/>
    </w:rPr>
  </w:style>
  <w:style w:type="paragraph" w:customStyle="1" w:styleId="34">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apple-style-span"/>
    <w:basedOn w:val="23"/>
    <w:qFormat/>
    <w:uiPriority w:val="0"/>
  </w:style>
  <w:style w:type="paragraph" w:customStyle="1" w:styleId="36">
    <w:name w:val="列出段落1"/>
    <w:basedOn w:val="1"/>
    <w:qFormat/>
    <w:uiPriority w:val="0"/>
    <w:pPr>
      <w:ind w:firstLine="420" w:firstLineChars="200"/>
    </w:pPr>
  </w:style>
  <w:style w:type="character" w:customStyle="1" w:styleId="37">
    <w:name w:val="bumpedfont20"/>
    <w:basedOn w:val="23"/>
    <w:qFormat/>
    <w:uiPriority w:val="0"/>
  </w:style>
  <w:style w:type="character" w:customStyle="1" w:styleId="38">
    <w:name w:val="纯文本 Char"/>
    <w:link w:val="11"/>
    <w:qFormat/>
    <w:uiPriority w:val="0"/>
    <w:rPr>
      <w:rFonts w:ascii="宋体" w:hAnsi="Courier New"/>
      <w:kern w:val="2"/>
      <w:sz w:val="21"/>
    </w:rPr>
  </w:style>
  <w:style w:type="paragraph" w:styleId="39">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40">
    <w:name w:val="正文文本缩进 Char"/>
    <w:link w:val="9"/>
    <w:qFormat/>
    <w:uiPriority w:val="0"/>
    <w:rPr>
      <w:rFonts w:eastAsia="PMingLiU"/>
      <w:sz w:val="24"/>
      <w:lang w:val="en-GB" w:eastAsia="en-US"/>
    </w:rPr>
  </w:style>
  <w:style w:type="character" w:customStyle="1" w:styleId="41">
    <w:name w:val="正文文本 Char"/>
    <w:link w:val="7"/>
    <w:qFormat/>
    <w:uiPriority w:val="0"/>
    <w:rPr>
      <w:rFonts w:eastAsia="PMingLiU"/>
      <w:sz w:val="24"/>
      <w:lang w:eastAsia="en-US"/>
    </w:rPr>
  </w:style>
  <w:style w:type="character" w:customStyle="1" w:styleId="42">
    <w:name w:val="short_text"/>
    <w:qFormat/>
    <w:uiPriority w:val="0"/>
  </w:style>
  <w:style w:type="character" w:customStyle="1" w:styleId="43">
    <w:name w:val="st1"/>
    <w:qFormat/>
    <w:uiPriority w:val="0"/>
  </w:style>
  <w:style w:type="character" w:customStyle="1" w:styleId="44">
    <w:name w:val="apple-converted-space"/>
    <w:basedOn w:val="23"/>
    <w:qFormat/>
    <w:uiPriority w:val="99"/>
  </w:style>
  <w:style w:type="paragraph" w:customStyle="1" w:styleId="45">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46">
    <w:name w:val="网格型1"/>
    <w:basedOn w:val="21"/>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47">
    <w:name w:val="_Style 2"/>
    <w:basedOn w:val="1"/>
    <w:qFormat/>
    <w:uiPriority w:val="34"/>
    <w:pPr>
      <w:ind w:firstLine="420" w:firstLineChars="200"/>
    </w:pPr>
  </w:style>
  <w:style w:type="character" w:customStyle="1" w:styleId="48">
    <w:name w:val="标题 1 Char"/>
    <w:basedOn w:val="23"/>
    <w:link w:val="2"/>
    <w:qFormat/>
    <w:uiPriority w:val="9"/>
    <w:rPr>
      <w:rFonts w:asciiTheme="minorHAnsi" w:hAnsiTheme="minorHAnsi" w:eastAsiaTheme="minorEastAsia" w:cstheme="minorBidi"/>
      <w:b/>
      <w:bCs/>
      <w:kern w:val="44"/>
      <w:sz w:val="44"/>
      <w:szCs w:val="44"/>
    </w:rPr>
  </w:style>
  <w:style w:type="paragraph" w:customStyle="1" w:styleId="49">
    <w:name w:val="列出段落2"/>
    <w:basedOn w:val="1"/>
    <w:qFormat/>
    <w:uiPriority w:val="0"/>
    <w:pPr>
      <w:ind w:firstLine="420" w:firstLineChars="200"/>
    </w:pPr>
    <w:rPr>
      <w:rFonts w:ascii="Calibri" w:hAnsi="Calibri"/>
      <w:szCs w:val="22"/>
    </w:rPr>
  </w:style>
  <w:style w:type="character" w:customStyle="1" w:styleId="50">
    <w:name w:val="批注文字 Char"/>
    <w:basedOn w:val="23"/>
    <w:link w:val="6"/>
    <w:semiHidden/>
    <w:qFormat/>
    <w:uiPriority w:val="0"/>
    <w:rPr>
      <w:kern w:val="2"/>
      <w:sz w:val="21"/>
      <w:szCs w:val="24"/>
    </w:rPr>
  </w:style>
  <w:style w:type="character" w:customStyle="1" w:styleId="51">
    <w:name w:val="批注主题 Char"/>
    <w:basedOn w:val="50"/>
    <w:link w:val="20"/>
    <w:semiHidden/>
    <w:qFormat/>
    <w:uiPriority w:val="0"/>
    <w:rPr>
      <w:b/>
      <w:bCs/>
      <w:kern w:val="2"/>
      <w:sz w:val="21"/>
      <w:szCs w:val="24"/>
    </w:rPr>
  </w:style>
  <w:style w:type="table" w:customStyle="1" w:styleId="52">
    <w:name w:val="网格型2"/>
    <w:basedOn w:val="21"/>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
    <w:name w:val="修订1"/>
    <w:hidden/>
    <w:semiHidden/>
    <w:unhideWhenUsed/>
    <w:qFormat/>
    <w:uiPriority w:val="99"/>
    <w:rPr>
      <w:rFonts w:ascii="Times New Roman" w:hAnsi="Times New Roman" w:eastAsia="宋体" w:cs="Times New Roman"/>
      <w:kern w:val="2"/>
      <w:sz w:val="21"/>
      <w:szCs w:val="24"/>
      <w:lang w:val="en-US" w:eastAsia="zh-CN" w:bidi="ar-SA"/>
    </w:rPr>
  </w:style>
  <w:style w:type="paragraph" w:customStyle="1" w:styleId="54">
    <w:name w:val="正文文字"/>
    <w:basedOn w:val="1"/>
    <w:qFormat/>
    <w:uiPriority w:val="0"/>
    <w:pPr>
      <w:widowControl/>
      <w:spacing w:line="952" w:lineRule="atLeast"/>
      <w:ind w:firstLine="419"/>
      <w:textAlignment w:val="baseline"/>
    </w:pPr>
    <w:rPr>
      <w:b/>
      <w:color w:val="000000"/>
      <w:kern w:val="0"/>
      <w:sz w:val="44"/>
      <w:szCs w:val="20"/>
      <w:u w:color="000000"/>
    </w:rPr>
  </w:style>
  <w:style w:type="paragraph" w:customStyle="1" w:styleId="55">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 w:type="character" w:customStyle="1" w:styleId="56">
    <w:name w:val="标题 Char"/>
    <w:basedOn w:val="23"/>
    <w:link w:val="19"/>
    <w:qFormat/>
    <w:uiPriority w:val="0"/>
    <w:rPr>
      <w:rFonts w:asciiTheme="majorHAnsi" w:hAnsiTheme="majorHAnsi" w:cstheme="majorBidi"/>
      <w:b/>
      <w:bCs/>
      <w:kern w:val="2"/>
      <w:sz w:val="32"/>
      <w:szCs w:val="32"/>
    </w:rPr>
  </w:style>
  <w:style w:type="paragraph" w:customStyle="1" w:styleId="57">
    <w:name w:val="Body Text Indent 31"/>
    <w:basedOn w:val="1"/>
    <w:qFormat/>
    <w:uiPriority w:val="0"/>
    <w:pPr>
      <w:spacing w:line="300" w:lineRule="auto"/>
      <w:ind w:firstLine="600"/>
    </w:pPr>
    <w:rPr>
      <w:rFonts w:ascii="仿宋_GB2312" w:eastAsia="仿宋_GB2312"/>
      <w:b/>
      <w:spacing w:val="4"/>
      <w:kern w:val="0"/>
      <w:sz w:val="28"/>
      <w:szCs w:val="20"/>
    </w:rPr>
  </w:style>
  <w:style w:type="paragraph" w:customStyle="1" w:styleId="58">
    <w:name w:val="我的正文"/>
    <w:basedOn w:val="1"/>
    <w:qFormat/>
    <w:uiPriority w:val="0"/>
    <w:pPr>
      <w:widowControl/>
      <w:adjustRightInd w:val="0"/>
      <w:snapToGrid w:val="0"/>
      <w:ind w:firstLine="200" w:firstLineChars="200"/>
      <w:jc w:val="left"/>
    </w:pPr>
    <w:rPr>
      <w:rFonts w:ascii="仿宋" w:hAnsi="仿宋" w:eastAsia="仿宋"/>
      <w:kern w:val="0"/>
      <w:sz w:val="24"/>
      <w:szCs w:val="30"/>
      <w:lang w:val="zh-CN"/>
    </w:rPr>
  </w:style>
  <w:style w:type="paragraph" w:customStyle="1" w:styleId="59">
    <w:name w:val="p1"/>
    <w:basedOn w:val="1"/>
    <w:qFormat/>
    <w:uiPriority w:val="0"/>
    <w:pPr>
      <w:jc w:val="left"/>
    </w:pPr>
    <w:rPr>
      <w:rFonts w:ascii="Helvetica" w:hAnsi="Helvetica" w:eastAsia="Helvetica"/>
      <w:kern w:val="0"/>
      <w:sz w:val="24"/>
    </w:rPr>
  </w:style>
  <w:style w:type="paragraph" w:customStyle="1" w:styleId="60">
    <w:name w:val="Table Paragraph"/>
    <w:basedOn w:val="1"/>
    <w:unhideWhenUsed/>
    <w:qFormat/>
    <w:uiPriority w:val="1"/>
    <w:rPr>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微软公司</Company>
  <Pages>22</Pages>
  <Words>9149</Words>
  <Characters>9466</Characters>
  <Lines>60</Lines>
  <Paragraphs>16</Paragraphs>
  <TotalTime>10</TotalTime>
  <ScaleCrop>false</ScaleCrop>
  <LinksUpToDate>false</LinksUpToDate>
  <CharactersWithSpaces>9684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2020-08-03T07:24:00Z</dcterms:created>
  <dc:creator>jolin</dc:creator>
  <cp:lastModifiedBy>周琳颖</cp:lastModifiedBy>
  <cp:lastPrinted>2026-06-25T02:12:00Z</cp:lastPrinted>
  <dcterms:modified xsi:type="dcterms:W3CDTF">2026-09-16T00:15:00Z</dcterms:modified>
  <cp:revision>670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58E5C2A9DD7A4340B35AEBFC7DE98184_13</vt:lpwstr>
  </property>
  <property fmtid="{D5CDD505-2E9C-101B-9397-08002B2CF9AE}" pid="4" name="KSOTemplateDocerSaveRecord">
    <vt:lpwstr>eyJoZGlkIjoiYTYwMmM2YTUyODc3MGZhODIyZTQ5MTVkYzcwMjY2YTQiLCJ1c2VySWQiOiIxODA2ODM5NjI4In0=</vt:lpwstr>
  </property>
</Properties>
</file>