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4405FF">
      <w:pPr>
        <w:pStyle w:val="54"/>
        <w:widowControl w:val="0"/>
        <w:snapToGrid w:val="0"/>
        <w:spacing w:line="360" w:lineRule="auto"/>
        <w:ind w:firstLine="418" w:firstLineChars="52"/>
        <w:jc w:val="center"/>
        <w:rPr>
          <w:rFonts w:ascii="宋体" w:hAnsi="宋体"/>
          <w:color w:val="auto"/>
          <w:sz w:val="80"/>
          <w:szCs w:val="80"/>
        </w:rPr>
      </w:pPr>
    </w:p>
    <w:p w14:paraId="19993E5F">
      <w:pPr>
        <w:pStyle w:val="54"/>
        <w:widowControl w:val="0"/>
        <w:snapToGrid w:val="0"/>
        <w:spacing w:line="360" w:lineRule="auto"/>
        <w:ind w:firstLine="418" w:firstLineChars="52"/>
        <w:jc w:val="center"/>
        <w:rPr>
          <w:rFonts w:ascii="宋体" w:hAnsi="宋体"/>
          <w:color w:val="auto"/>
          <w:sz w:val="80"/>
          <w:szCs w:val="80"/>
        </w:rPr>
      </w:pPr>
    </w:p>
    <w:p w14:paraId="28E57A2D">
      <w:pPr>
        <w:pStyle w:val="54"/>
        <w:widowControl w:val="0"/>
        <w:snapToGrid w:val="0"/>
        <w:spacing w:line="360" w:lineRule="auto"/>
        <w:ind w:firstLine="418" w:firstLineChars="52"/>
        <w:jc w:val="center"/>
        <w:rPr>
          <w:rFonts w:ascii="宋体" w:hAnsi="宋体"/>
          <w:color w:val="auto"/>
          <w:sz w:val="80"/>
          <w:szCs w:val="80"/>
        </w:rPr>
      </w:pPr>
      <w:r>
        <w:rPr>
          <w:rFonts w:hint="eastAsia" w:ascii="宋体" w:hAnsi="宋体"/>
          <w:color w:val="auto"/>
          <w:sz w:val="80"/>
          <w:szCs w:val="80"/>
        </w:rPr>
        <w:t>院内采购文件</w:t>
      </w:r>
    </w:p>
    <w:p w14:paraId="73D62895">
      <w:pPr>
        <w:pStyle w:val="54"/>
        <w:widowControl w:val="0"/>
        <w:snapToGrid w:val="0"/>
        <w:spacing w:line="360" w:lineRule="auto"/>
        <w:ind w:firstLine="0"/>
        <w:jc w:val="center"/>
        <w:rPr>
          <w:bCs/>
          <w:color w:val="auto"/>
          <w:kern w:val="2"/>
          <w:sz w:val="32"/>
          <w:szCs w:val="32"/>
        </w:rPr>
      </w:pPr>
    </w:p>
    <w:p w14:paraId="4822E8B8">
      <w:pPr>
        <w:pStyle w:val="54"/>
        <w:widowControl w:val="0"/>
        <w:snapToGrid w:val="0"/>
        <w:spacing w:line="360" w:lineRule="auto"/>
        <w:ind w:firstLine="0"/>
        <w:jc w:val="center"/>
        <w:rPr>
          <w:bCs/>
          <w:color w:val="auto"/>
          <w:kern w:val="2"/>
          <w:sz w:val="32"/>
          <w:szCs w:val="32"/>
        </w:rPr>
      </w:pPr>
    </w:p>
    <w:p w14:paraId="60CEAD87">
      <w:pPr>
        <w:pStyle w:val="54"/>
        <w:widowControl w:val="0"/>
        <w:snapToGrid w:val="0"/>
        <w:spacing w:line="360" w:lineRule="auto"/>
        <w:ind w:firstLine="0"/>
        <w:jc w:val="center"/>
        <w:rPr>
          <w:bCs/>
          <w:color w:val="auto"/>
          <w:kern w:val="2"/>
          <w:sz w:val="32"/>
          <w:szCs w:val="32"/>
        </w:rPr>
      </w:pPr>
    </w:p>
    <w:p w14:paraId="0376E400">
      <w:pPr>
        <w:pStyle w:val="54"/>
        <w:widowControl w:val="0"/>
        <w:snapToGrid w:val="0"/>
        <w:spacing w:line="360" w:lineRule="auto"/>
        <w:ind w:firstLine="0"/>
        <w:jc w:val="center"/>
        <w:rPr>
          <w:bCs/>
          <w:color w:val="auto"/>
          <w:kern w:val="2"/>
          <w:sz w:val="32"/>
          <w:szCs w:val="32"/>
        </w:rPr>
      </w:pPr>
    </w:p>
    <w:p w14:paraId="7B18D745">
      <w:pPr>
        <w:pStyle w:val="54"/>
        <w:widowControl w:val="0"/>
        <w:snapToGrid w:val="0"/>
        <w:spacing w:line="360" w:lineRule="auto"/>
        <w:ind w:firstLine="0"/>
        <w:jc w:val="center"/>
        <w:rPr>
          <w:rFonts w:hint="eastAsia" w:eastAsia="宋体"/>
          <w:bCs/>
          <w:color w:val="auto"/>
          <w:kern w:val="2"/>
          <w:sz w:val="32"/>
          <w:szCs w:val="32"/>
          <w:lang w:eastAsia="zh-CN"/>
        </w:rPr>
      </w:pPr>
      <w:r>
        <w:rPr>
          <w:rFonts w:hint="eastAsia"/>
          <w:bCs/>
          <w:color w:val="auto"/>
          <w:kern w:val="2"/>
          <w:sz w:val="32"/>
          <w:szCs w:val="32"/>
        </w:rPr>
        <w:t>项目名称：</w:t>
      </w:r>
      <w:r>
        <w:rPr>
          <w:rFonts w:hint="eastAsia"/>
          <w:bCs/>
          <w:color w:val="auto"/>
          <w:kern w:val="2"/>
          <w:sz w:val="32"/>
          <w:szCs w:val="32"/>
          <w:lang w:eastAsia="zh-CN"/>
        </w:rPr>
        <w:t>合理用药系统维保服务</w:t>
      </w:r>
    </w:p>
    <w:p w14:paraId="77C7A350">
      <w:pPr>
        <w:spacing w:line="360" w:lineRule="auto"/>
        <w:jc w:val="center"/>
        <w:rPr>
          <w:rFonts w:hint="eastAsia" w:ascii="宋体" w:hAnsi="宋体" w:eastAsia="宋体"/>
          <w:b/>
          <w:bCs/>
          <w:color w:val="auto"/>
          <w:sz w:val="32"/>
          <w:szCs w:val="32"/>
          <w:u w:val="single"/>
          <w:lang w:val="en-US" w:eastAsia="zh-CN"/>
        </w:rPr>
      </w:pPr>
      <w:r>
        <w:rPr>
          <w:b/>
          <w:bCs/>
          <w:color w:val="auto"/>
          <w:sz w:val="32"/>
          <w:szCs w:val="32"/>
        </w:rPr>
        <w:t>项目编号：</w:t>
      </w:r>
      <w:r>
        <w:rPr>
          <w:rFonts w:hint="eastAsia"/>
          <w:b/>
          <w:bCs/>
          <w:color w:val="auto"/>
          <w:sz w:val="32"/>
          <w:szCs w:val="32"/>
        </w:rPr>
        <w:t xml:space="preserve">CGZX-XXXM-20260902 </w:t>
      </w:r>
    </w:p>
    <w:p w14:paraId="0BF5319E">
      <w:pPr>
        <w:pStyle w:val="54"/>
        <w:widowControl w:val="0"/>
        <w:snapToGrid w:val="0"/>
        <w:spacing w:line="360" w:lineRule="auto"/>
        <w:ind w:firstLine="0"/>
        <w:jc w:val="center"/>
        <w:rPr>
          <w:rFonts w:ascii="宋体" w:hAnsi="宋体"/>
          <w:color w:val="auto"/>
        </w:rPr>
      </w:pPr>
    </w:p>
    <w:p w14:paraId="61CDDF59">
      <w:pPr>
        <w:pStyle w:val="54"/>
        <w:spacing w:line="360" w:lineRule="auto"/>
        <w:ind w:firstLine="0"/>
        <w:jc w:val="center"/>
        <w:rPr>
          <w:rFonts w:ascii="宋体" w:hAnsi="宋体"/>
          <w:color w:val="auto"/>
          <w:sz w:val="32"/>
          <w:szCs w:val="32"/>
        </w:rPr>
      </w:pPr>
    </w:p>
    <w:p w14:paraId="462C0814">
      <w:pPr>
        <w:pStyle w:val="54"/>
        <w:spacing w:line="360" w:lineRule="auto"/>
        <w:ind w:firstLine="0"/>
        <w:jc w:val="center"/>
        <w:rPr>
          <w:rFonts w:ascii="宋体" w:hAnsi="宋体"/>
          <w:color w:val="auto"/>
          <w:sz w:val="32"/>
          <w:szCs w:val="32"/>
        </w:rPr>
      </w:pPr>
    </w:p>
    <w:p w14:paraId="3F387C41">
      <w:pPr>
        <w:pStyle w:val="54"/>
        <w:spacing w:line="360" w:lineRule="auto"/>
        <w:ind w:firstLine="0"/>
        <w:jc w:val="center"/>
        <w:rPr>
          <w:rFonts w:ascii="宋体" w:hAnsi="宋体"/>
          <w:color w:val="auto"/>
          <w:sz w:val="32"/>
          <w:szCs w:val="32"/>
        </w:rPr>
      </w:pPr>
    </w:p>
    <w:p w14:paraId="0088C1D9">
      <w:pPr>
        <w:pStyle w:val="54"/>
        <w:spacing w:line="360" w:lineRule="auto"/>
        <w:ind w:firstLine="0"/>
        <w:jc w:val="center"/>
        <w:rPr>
          <w:rFonts w:ascii="宋体" w:hAnsi="宋体"/>
          <w:color w:val="auto"/>
          <w:sz w:val="32"/>
          <w:szCs w:val="32"/>
        </w:rPr>
      </w:pPr>
    </w:p>
    <w:p w14:paraId="272A1544">
      <w:pPr>
        <w:pStyle w:val="54"/>
        <w:spacing w:line="360" w:lineRule="auto"/>
        <w:ind w:firstLine="0"/>
        <w:jc w:val="center"/>
        <w:rPr>
          <w:rFonts w:ascii="宋体" w:hAnsi="宋体"/>
          <w:color w:val="auto"/>
          <w:sz w:val="32"/>
          <w:szCs w:val="32"/>
        </w:rPr>
      </w:pPr>
    </w:p>
    <w:p w14:paraId="7E9D4433">
      <w:pPr>
        <w:pStyle w:val="54"/>
        <w:spacing w:line="360" w:lineRule="auto"/>
        <w:ind w:firstLine="0"/>
        <w:jc w:val="center"/>
        <w:rPr>
          <w:rFonts w:ascii="宋体" w:hAnsi="宋体"/>
          <w:color w:val="auto"/>
          <w:sz w:val="32"/>
          <w:szCs w:val="32"/>
        </w:rPr>
      </w:pPr>
      <w:r>
        <w:rPr>
          <w:rFonts w:hint="eastAsia" w:ascii="宋体" w:hAnsi="宋体"/>
          <w:color w:val="auto"/>
          <w:sz w:val="32"/>
          <w:szCs w:val="32"/>
        </w:rPr>
        <w:t>采购单位：浙江大学医学院附属妇产科医院</w:t>
      </w:r>
    </w:p>
    <w:p w14:paraId="7FC64468">
      <w:pPr>
        <w:pStyle w:val="54"/>
        <w:spacing w:line="360" w:lineRule="auto"/>
        <w:ind w:firstLine="0"/>
        <w:jc w:val="center"/>
        <w:rPr>
          <w:rFonts w:ascii="宋体" w:hAnsi="宋体"/>
          <w:color w:val="auto"/>
          <w:sz w:val="32"/>
          <w:szCs w:val="32"/>
        </w:rPr>
      </w:pPr>
      <w:r>
        <w:rPr>
          <w:rFonts w:hint="eastAsia" w:ascii="宋体" w:hAnsi="宋体"/>
          <w:color w:val="auto"/>
          <w:sz w:val="32"/>
          <w:szCs w:val="32"/>
        </w:rPr>
        <w:t>二〇二</w:t>
      </w:r>
      <w:r>
        <w:rPr>
          <w:rFonts w:hint="eastAsia" w:ascii="宋体" w:hAnsi="宋体"/>
          <w:color w:val="auto"/>
          <w:sz w:val="32"/>
          <w:szCs w:val="32"/>
          <w:lang w:val="en-US" w:eastAsia="zh-CN"/>
        </w:rPr>
        <w:t>六</w:t>
      </w:r>
      <w:r>
        <w:rPr>
          <w:rFonts w:ascii="宋体" w:hAnsi="宋体"/>
          <w:color w:val="auto"/>
          <w:sz w:val="32"/>
          <w:szCs w:val="32"/>
        </w:rPr>
        <w:t>年</w:t>
      </w:r>
      <w:r>
        <w:rPr>
          <w:rFonts w:hint="eastAsia" w:ascii="宋体" w:hAnsi="宋体"/>
          <w:color w:val="auto"/>
          <w:sz w:val="32"/>
          <w:szCs w:val="32"/>
          <w:lang w:val="en-US" w:eastAsia="zh-CN"/>
        </w:rPr>
        <w:t>九</w:t>
      </w:r>
      <w:r>
        <w:rPr>
          <w:rFonts w:ascii="宋体" w:hAnsi="宋体"/>
          <w:color w:val="auto"/>
          <w:sz w:val="32"/>
          <w:szCs w:val="32"/>
        </w:rPr>
        <w:t>月</w:t>
      </w:r>
    </w:p>
    <w:p w14:paraId="0330AC62">
      <w:pPr>
        <w:jc w:val="center"/>
        <w:rPr>
          <w:b/>
          <w:bCs/>
          <w:color w:val="auto"/>
          <w:sz w:val="32"/>
        </w:rPr>
      </w:pPr>
    </w:p>
    <w:p w14:paraId="61665D89">
      <w:pPr>
        <w:widowControl/>
        <w:jc w:val="center"/>
        <w:rPr>
          <w:b/>
          <w:bCs/>
          <w:color w:val="auto"/>
          <w:sz w:val="48"/>
          <w:szCs w:val="48"/>
        </w:rPr>
      </w:pPr>
      <w:r>
        <w:rPr>
          <w:rFonts w:hint="eastAsia"/>
          <w:b/>
          <w:bCs/>
          <w:color w:val="auto"/>
          <w:sz w:val="48"/>
          <w:szCs w:val="48"/>
        </w:rPr>
        <w:t>目  录</w:t>
      </w:r>
    </w:p>
    <w:p w14:paraId="08DBA348">
      <w:pPr>
        <w:jc w:val="center"/>
        <w:rPr>
          <w:b/>
          <w:bCs/>
          <w:color w:val="auto"/>
          <w:sz w:val="32"/>
        </w:rPr>
      </w:pPr>
    </w:p>
    <w:sdt>
      <w:sdtPr>
        <w:rPr>
          <w:rFonts w:ascii="Times New Roman" w:hAnsi="Times New Roman" w:eastAsia="宋体" w:cs="Times New Roman"/>
          <w:color w:val="auto"/>
          <w:kern w:val="2"/>
          <w:sz w:val="21"/>
          <w:szCs w:val="24"/>
          <w:lang w:val="zh-CN"/>
        </w:rPr>
        <w:id w:val="1608002201"/>
        <w:docPartObj>
          <w:docPartGallery w:val="Table of Contents"/>
          <w:docPartUnique/>
        </w:docPartObj>
      </w:sdtPr>
      <w:sdtEndPr>
        <w:rPr>
          <w:rFonts w:cs="Times New Roman" w:asciiTheme="minorEastAsia" w:hAnsiTheme="minorEastAsia" w:eastAsiaTheme="minorEastAsia"/>
          <w:b/>
          <w:bCs/>
          <w:color w:val="auto"/>
          <w:kern w:val="2"/>
          <w:sz w:val="30"/>
          <w:szCs w:val="30"/>
          <w:lang w:val="zh-CN"/>
        </w:rPr>
      </w:sdtEndPr>
      <w:sdtContent>
        <w:p w14:paraId="221F0AB2">
          <w:pPr>
            <w:pStyle w:val="55"/>
            <w:rPr>
              <w:color w:val="auto"/>
              <w:sz w:val="28"/>
              <w:szCs w:val="28"/>
            </w:rPr>
          </w:pPr>
        </w:p>
        <w:p w14:paraId="00CE5C87">
          <w:pPr>
            <w:pStyle w:val="15"/>
            <w:tabs>
              <w:tab w:val="right" w:leader="dot" w:pos="8306"/>
            </w:tabs>
            <w:rPr>
              <w:color w:val="auto"/>
              <w:sz w:val="28"/>
              <w:szCs w:val="28"/>
            </w:rPr>
          </w:pPr>
          <w:r>
            <w:rPr>
              <w:rFonts w:asciiTheme="minorEastAsia" w:hAnsiTheme="minorEastAsia" w:eastAsiaTheme="minorEastAsia"/>
              <w:b/>
              <w:color w:val="auto"/>
              <w:sz w:val="28"/>
              <w:szCs w:val="28"/>
            </w:rPr>
            <w:fldChar w:fldCharType="begin"/>
          </w:r>
          <w:r>
            <w:rPr>
              <w:rFonts w:asciiTheme="minorEastAsia" w:hAnsiTheme="minorEastAsia" w:eastAsiaTheme="minorEastAsia"/>
              <w:b/>
              <w:color w:val="auto"/>
              <w:sz w:val="28"/>
              <w:szCs w:val="28"/>
            </w:rPr>
            <w:instrText xml:space="preserve"> TOC \o "1-3" \h \z \u </w:instrText>
          </w:r>
          <w:r>
            <w:rPr>
              <w:rFonts w:asciiTheme="minorEastAsia" w:hAnsiTheme="minorEastAsia" w:eastAsiaTheme="minorEastAsia"/>
              <w:b/>
              <w:color w:val="auto"/>
              <w:sz w:val="28"/>
              <w:szCs w:val="28"/>
            </w:rPr>
            <w:fldChar w:fldCharType="separate"/>
          </w:r>
          <w:r>
            <w:rPr>
              <w:rFonts w:asciiTheme="minorEastAsia" w:hAnsiTheme="minorEastAsia" w:eastAsiaTheme="minorEastAsia"/>
              <w:color w:val="auto"/>
              <w:sz w:val="28"/>
              <w:szCs w:val="28"/>
            </w:rPr>
            <w:fldChar w:fldCharType="begin"/>
          </w:r>
          <w:r>
            <w:rPr>
              <w:rFonts w:asciiTheme="minorEastAsia" w:hAnsiTheme="minorEastAsia" w:eastAsiaTheme="minorEastAsia"/>
              <w:color w:val="auto"/>
              <w:sz w:val="28"/>
              <w:szCs w:val="28"/>
            </w:rPr>
            <w:instrText xml:space="preserve"> HYPERLINK \l _Toc16023 </w:instrText>
          </w:r>
          <w:r>
            <w:rPr>
              <w:rFonts w:asciiTheme="minorEastAsia" w:hAnsiTheme="minorEastAsia" w:eastAsiaTheme="minorEastAsia"/>
              <w:color w:val="auto"/>
              <w:sz w:val="28"/>
              <w:szCs w:val="28"/>
            </w:rPr>
            <w:fldChar w:fldCharType="separate"/>
          </w:r>
          <w:r>
            <w:rPr>
              <w:rFonts w:hint="eastAsia"/>
              <w:color w:val="auto"/>
              <w:sz w:val="28"/>
              <w:szCs w:val="28"/>
            </w:rPr>
            <w:t xml:space="preserve">第一章 </w:t>
          </w:r>
          <w:r>
            <w:rPr>
              <w:color w:val="auto"/>
              <w:sz w:val="28"/>
              <w:szCs w:val="28"/>
            </w:rPr>
            <w:t>采购公告</w:t>
          </w:r>
          <w:r>
            <w:rPr>
              <w:color w:val="auto"/>
              <w:sz w:val="28"/>
              <w:szCs w:val="28"/>
            </w:rPr>
            <w:tab/>
          </w:r>
          <w:r>
            <w:rPr>
              <w:color w:val="auto"/>
              <w:sz w:val="28"/>
              <w:szCs w:val="28"/>
            </w:rPr>
            <w:fldChar w:fldCharType="begin"/>
          </w:r>
          <w:r>
            <w:rPr>
              <w:color w:val="auto"/>
              <w:sz w:val="28"/>
              <w:szCs w:val="28"/>
            </w:rPr>
            <w:instrText xml:space="preserve"> PAGEREF _Toc16023 \h </w:instrText>
          </w:r>
          <w:r>
            <w:rPr>
              <w:color w:val="auto"/>
              <w:sz w:val="28"/>
              <w:szCs w:val="28"/>
            </w:rPr>
            <w:fldChar w:fldCharType="separate"/>
          </w:r>
          <w:r>
            <w:rPr>
              <w:color w:val="auto"/>
              <w:sz w:val="28"/>
              <w:szCs w:val="28"/>
            </w:rPr>
            <w:t>- 1 -</w:t>
          </w:r>
          <w:r>
            <w:rPr>
              <w:color w:val="auto"/>
              <w:sz w:val="28"/>
              <w:szCs w:val="28"/>
            </w:rPr>
            <w:fldChar w:fldCharType="end"/>
          </w:r>
          <w:r>
            <w:rPr>
              <w:rFonts w:asciiTheme="minorEastAsia" w:hAnsiTheme="minorEastAsia" w:eastAsiaTheme="minorEastAsia"/>
              <w:color w:val="auto"/>
              <w:sz w:val="28"/>
              <w:szCs w:val="28"/>
            </w:rPr>
            <w:fldChar w:fldCharType="end"/>
          </w:r>
        </w:p>
        <w:p w14:paraId="5DCAD125">
          <w:pPr>
            <w:pStyle w:val="15"/>
            <w:tabs>
              <w:tab w:val="right" w:leader="dot" w:pos="8306"/>
            </w:tabs>
            <w:rPr>
              <w:color w:val="auto"/>
              <w:sz w:val="28"/>
              <w:szCs w:val="28"/>
            </w:rPr>
          </w:pPr>
          <w:r>
            <w:rPr>
              <w:rFonts w:asciiTheme="minorEastAsia" w:hAnsiTheme="minorEastAsia" w:eastAsiaTheme="minorEastAsia"/>
              <w:bCs/>
              <w:color w:val="auto"/>
              <w:sz w:val="28"/>
              <w:szCs w:val="28"/>
              <w:lang w:val="zh-CN"/>
            </w:rPr>
            <w:fldChar w:fldCharType="begin"/>
          </w:r>
          <w:r>
            <w:rPr>
              <w:rFonts w:asciiTheme="minorEastAsia" w:hAnsiTheme="minorEastAsia" w:eastAsiaTheme="minorEastAsia"/>
              <w:bCs/>
              <w:color w:val="auto"/>
              <w:sz w:val="28"/>
              <w:szCs w:val="28"/>
              <w:lang w:val="zh-CN"/>
            </w:rPr>
            <w:instrText xml:space="preserve"> HYPERLINK \l _Toc9951 </w:instrText>
          </w:r>
          <w:r>
            <w:rPr>
              <w:rFonts w:asciiTheme="minorEastAsia" w:hAnsiTheme="minorEastAsia" w:eastAsiaTheme="minorEastAsia"/>
              <w:bCs/>
              <w:color w:val="auto"/>
              <w:sz w:val="28"/>
              <w:szCs w:val="28"/>
              <w:lang w:val="zh-CN"/>
            </w:rPr>
            <w:fldChar w:fldCharType="separate"/>
          </w:r>
          <w:r>
            <w:rPr>
              <w:rFonts w:hint="eastAsia"/>
              <w:color w:val="auto"/>
              <w:sz w:val="28"/>
              <w:szCs w:val="28"/>
            </w:rPr>
            <w:t xml:space="preserve">第二章 </w:t>
          </w:r>
          <w:r>
            <w:rPr>
              <w:color w:val="auto"/>
              <w:sz w:val="28"/>
              <w:szCs w:val="28"/>
            </w:rPr>
            <w:t>采购内容</w:t>
          </w:r>
          <w:r>
            <w:rPr>
              <w:rFonts w:hint="eastAsia"/>
              <w:color w:val="auto"/>
              <w:sz w:val="28"/>
              <w:szCs w:val="28"/>
            </w:rPr>
            <w:t>及</w:t>
          </w:r>
          <w:r>
            <w:rPr>
              <w:color w:val="auto"/>
              <w:sz w:val="28"/>
              <w:szCs w:val="28"/>
            </w:rPr>
            <w:t>需求</w:t>
          </w:r>
          <w:r>
            <w:rPr>
              <w:color w:val="auto"/>
              <w:sz w:val="28"/>
              <w:szCs w:val="28"/>
            </w:rPr>
            <w:tab/>
          </w:r>
          <w:r>
            <w:rPr>
              <w:color w:val="auto"/>
              <w:sz w:val="28"/>
              <w:szCs w:val="28"/>
            </w:rPr>
            <w:fldChar w:fldCharType="begin"/>
          </w:r>
          <w:r>
            <w:rPr>
              <w:color w:val="auto"/>
              <w:sz w:val="28"/>
              <w:szCs w:val="28"/>
            </w:rPr>
            <w:instrText xml:space="preserve"> PAGEREF _Toc9951 \h </w:instrText>
          </w:r>
          <w:r>
            <w:rPr>
              <w:color w:val="auto"/>
              <w:sz w:val="28"/>
              <w:szCs w:val="28"/>
            </w:rPr>
            <w:fldChar w:fldCharType="separate"/>
          </w:r>
          <w:r>
            <w:rPr>
              <w:color w:val="auto"/>
              <w:sz w:val="28"/>
              <w:szCs w:val="28"/>
            </w:rPr>
            <w:t>- 2 -</w:t>
          </w:r>
          <w:r>
            <w:rPr>
              <w:color w:val="auto"/>
              <w:sz w:val="28"/>
              <w:szCs w:val="28"/>
            </w:rPr>
            <w:fldChar w:fldCharType="end"/>
          </w:r>
          <w:r>
            <w:rPr>
              <w:rFonts w:asciiTheme="minorEastAsia" w:hAnsiTheme="minorEastAsia" w:eastAsiaTheme="minorEastAsia"/>
              <w:bCs/>
              <w:color w:val="auto"/>
              <w:sz w:val="28"/>
              <w:szCs w:val="28"/>
              <w:lang w:val="zh-CN"/>
            </w:rPr>
            <w:fldChar w:fldCharType="end"/>
          </w:r>
        </w:p>
        <w:p w14:paraId="04942EA9">
          <w:pPr>
            <w:pStyle w:val="15"/>
            <w:tabs>
              <w:tab w:val="right" w:leader="dot" w:pos="8306"/>
            </w:tabs>
            <w:rPr>
              <w:color w:val="auto"/>
              <w:sz w:val="28"/>
              <w:szCs w:val="28"/>
            </w:rPr>
          </w:pPr>
          <w:r>
            <w:rPr>
              <w:rFonts w:asciiTheme="minorEastAsia" w:hAnsiTheme="minorEastAsia" w:eastAsiaTheme="minorEastAsia"/>
              <w:bCs/>
              <w:color w:val="auto"/>
              <w:sz w:val="28"/>
              <w:szCs w:val="28"/>
              <w:lang w:val="zh-CN"/>
            </w:rPr>
            <w:fldChar w:fldCharType="begin"/>
          </w:r>
          <w:r>
            <w:rPr>
              <w:rFonts w:asciiTheme="minorEastAsia" w:hAnsiTheme="minorEastAsia" w:eastAsiaTheme="minorEastAsia"/>
              <w:bCs/>
              <w:color w:val="auto"/>
              <w:sz w:val="28"/>
              <w:szCs w:val="28"/>
              <w:lang w:val="zh-CN"/>
            </w:rPr>
            <w:instrText xml:space="preserve"> HYPERLINK \l _Toc30692 </w:instrText>
          </w:r>
          <w:r>
            <w:rPr>
              <w:rFonts w:asciiTheme="minorEastAsia" w:hAnsiTheme="minorEastAsia" w:eastAsiaTheme="minorEastAsia"/>
              <w:bCs/>
              <w:color w:val="auto"/>
              <w:sz w:val="28"/>
              <w:szCs w:val="28"/>
              <w:lang w:val="zh-CN"/>
            </w:rPr>
            <w:fldChar w:fldCharType="separate"/>
          </w:r>
          <w:r>
            <w:rPr>
              <w:rFonts w:hint="eastAsia" w:eastAsia="宋体"/>
              <w:color w:val="auto"/>
              <w:sz w:val="28"/>
              <w:szCs w:val="28"/>
            </w:rPr>
            <w:t>第三章 评审办法</w:t>
          </w:r>
          <w:r>
            <w:rPr>
              <w:color w:val="auto"/>
              <w:sz w:val="28"/>
              <w:szCs w:val="28"/>
            </w:rPr>
            <w:tab/>
          </w:r>
          <w:r>
            <w:rPr>
              <w:color w:val="auto"/>
              <w:sz w:val="28"/>
              <w:szCs w:val="28"/>
            </w:rPr>
            <w:fldChar w:fldCharType="begin"/>
          </w:r>
          <w:r>
            <w:rPr>
              <w:color w:val="auto"/>
              <w:sz w:val="28"/>
              <w:szCs w:val="28"/>
            </w:rPr>
            <w:instrText xml:space="preserve"> PAGEREF _Toc30692 \h </w:instrText>
          </w:r>
          <w:r>
            <w:rPr>
              <w:color w:val="auto"/>
              <w:sz w:val="28"/>
              <w:szCs w:val="28"/>
            </w:rPr>
            <w:fldChar w:fldCharType="separate"/>
          </w:r>
          <w:r>
            <w:rPr>
              <w:color w:val="auto"/>
              <w:sz w:val="28"/>
              <w:szCs w:val="28"/>
            </w:rPr>
            <w:t>- 6 -</w:t>
          </w:r>
          <w:r>
            <w:rPr>
              <w:color w:val="auto"/>
              <w:sz w:val="28"/>
              <w:szCs w:val="28"/>
            </w:rPr>
            <w:fldChar w:fldCharType="end"/>
          </w:r>
          <w:r>
            <w:rPr>
              <w:rFonts w:asciiTheme="minorEastAsia" w:hAnsiTheme="minorEastAsia" w:eastAsiaTheme="minorEastAsia"/>
              <w:bCs/>
              <w:color w:val="auto"/>
              <w:sz w:val="28"/>
              <w:szCs w:val="28"/>
              <w:lang w:val="zh-CN"/>
            </w:rPr>
            <w:fldChar w:fldCharType="end"/>
          </w:r>
        </w:p>
        <w:p w14:paraId="48E562D3">
          <w:pPr>
            <w:pStyle w:val="15"/>
            <w:tabs>
              <w:tab w:val="right" w:leader="dot" w:pos="8306"/>
            </w:tabs>
            <w:rPr>
              <w:color w:val="auto"/>
              <w:sz w:val="28"/>
              <w:szCs w:val="28"/>
            </w:rPr>
          </w:pPr>
          <w:r>
            <w:rPr>
              <w:rFonts w:asciiTheme="minorEastAsia" w:hAnsiTheme="minorEastAsia" w:eastAsiaTheme="minorEastAsia"/>
              <w:bCs/>
              <w:color w:val="auto"/>
              <w:sz w:val="28"/>
              <w:szCs w:val="28"/>
              <w:lang w:val="zh-CN"/>
            </w:rPr>
            <w:fldChar w:fldCharType="begin"/>
          </w:r>
          <w:r>
            <w:rPr>
              <w:rFonts w:asciiTheme="minorEastAsia" w:hAnsiTheme="minorEastAsia" w:eastAsiaTheme="minorEastAsia"/>
              <w:bCs/>
              <w:color w:val="auto"/>
              <w:sz w:val="28"/>
              <w:szCs w:val="28"/>
              <w:lang w:val="zh-CN"/>
            </w:rPr>
            <w:instrText xml:space="preserve"> HYPERLINK \l _Toc31724 </w:instrText>
          </w:r>
          <w:r>
            <w:rPr>
              <w:rFonts w:asciiTheme="minorEastAsia" w:hAnsiTheme="minorEastAsia" w:eastAsiaTheme="minorEastAsia"/>
              <w:bCs/>
              <w:color w:val="auto"/>
              <w:sz w:val="28"/>
              <w:szCs w:val="28"/>
              <w:lang w:val="zh-CN"/>
            </w:rPr>
            <w:fldChar w:fldCharType="separate"/>
          </w:r>
          <w:r>
            <w:rPr>
              <w:rFonts w:hint="eastAsia" w:eastAsia="宋体"/>
              <w:color w:val="auto"/>
              <w:sz w:val="28"/>
              <w:szCs w:val="28"/>
            </w:rPr>
            <w:t>第四章 响应文件格式</w:t>
          </w:r>
          <w:r>
            <w:rPr>
              <w:color w:val="auto"/>
              <w:sz w:val="28"/>
              <w:szCs w:val="28"/>
            </w:rPr>
            <w:tab/>
          </w:r>
          <w:r>
            <w:rPr>
              <w:color w:val="auto"/>
              <w:sz w:val="28"/>
              <w:szCs w:val="28"/>
            </w:rPr>
            <w:fldChar w:fldCharType="begin"/>
          </w:r>
          <w:r>
            <w:rPr>
              <w:color w:val="auto"/>
              <w:sz w:val="28"/>
              <w:szCs w:val="28"/>
            </w:rPr>
            <w:instrText xml:space="preserve"> PAGEREF _Toc31724 \h </w:instrText>
          </w:r>
          <w:r>
            <w:rPr>
              <w:color w:val="auto"/>
              <w:sz w:val="28"/>
              <w:szCs w:val="28"/>
            </w:rPr>
            <w:fldChar w:fldCharType="separate"/>
          </w:r>
          <w:r>
            <w:rPr>
              <w:color w:val="auto"/>
              <w:sz w:val="28"/>
              <w:szCs w:val="28"/>
            </w:rPr>
            <w:t>- 7 -</w:t>
          </w:r>
          <w:r>
            <w:rPr>
              <w:color w:val="auto"/>
              <w:sz w:val="28"/>
              <w:szCs w:val="28"/>
            </w:rPr>
            <w:fldChar w:fldCharType="end"/>
          </w:r>
          <w:r>
            <w:rPr>
              <w:rFonts w:asciiTheme="minorEastAsia" w:hAnsiTheme="minorEastAsia" w:eastAsiaTheme="minorEastAsia"/>
              <w:bCs/>
              <w:color w:val="auto"/>
              <w:sz w:val="28"/>
              <w:szCs w:val="28"/>
              <w:lang w:val="zh-CN"/>
            </w:rPr>
            <w:fldChar w:fldCharType="end"/>
          </w:r>
        </w:p>
        <w:p w14:paraId="24E9A4ED">
          <w:pPr>
            <w:pStyle w:val="15"/>
            <w:tabs>
              <w:tab w:val="right" w:leader="dot" w:pos="8306"/>
            </w:tabs>
            <w:rPr>
              <w:color w:val="auto"/>
              <w:sz w:val="28"/>
              <w:szCs w:val="28"/>
            </w:rPr>
          </w:pPr>
          <w:r>
            <w:rPr>
              <w:rFonts w:asciiTheme="minorEastAsia" w:hAnsiTheme="minorEastAsia" w:eastAsiaTheme="minorEastAsia"/>
              <w:bCs/>
              <w:color w:val="auto"/>
              <w:sz w:val="28"/>
              <w:szCs w:val="28"/>
              <w:lang w:val="zh-CN"/>
            </w:rPr>
            <w:fldChar w:fldCharType="begin"/>
          </w:r>
          <w:r>
            <w:rPr>
              <w:rFonts w:asciiTheme="minorEastAsia" w:hAnsiTheme="minorEastAsia" w:eastAsiaTheme="minorEastAsia"/>
              <w:bCs/>
              <w:color w:val="auto"/>
              <w:sz w:val="28"/>
              <w:szCs w:val="28"/>
              <w:lang w:val="zh-CN"/>
            </w:rPr>
            <w:instrText xml:space="preserve"> HYPERLINK \l _Toc3195 </w:instrText>
          </w:r>
          <w:r>
            <w:rPr>
              <w:rFonts w:asciiTheme="minorEastAsia" w:hAnsiTheme="minorEastAsia" w:eastAsiaTheme="minorEastAsia"/>
              <w:bCs/>
              <w:color w:val="auto"/>
              <w:sz w:val="28"/>
              <w:szCs w:val="28"/>
              <w:lang w:val="zh-CN"/>
            </w:rPr>
            <w:fldChar w:fldCharType="separate"/>
          </w:r>
          <w:r>
            <w:rPr>
              <w:rFonts w:hint="eastAsia" w:eastAsia="宋体"/>
              <w:color w:val="auto"/>
              <w:sz w:val="28"/>
              <w:szCs w:val="28"/>
            </w:rPr>
            <w:t>第五章 合同主要条款</w:t>
          </w:r>
          <w:r>
            <w:rPr>
              <w:color w:val="auto"/>
              <w:sz w:val="28"/>
              <w:szCs w:val="28"/>
            </w:rPr>
            <w:tab/>
          </w:r>
          <w:r>
            <w:rPr>
              <w:color w:val="auto"/>
              <w:sz w:val="28"/>
              <w:szCs w:val="28"/>
            </w:rPr>
            <w:fldChar w:fldCharType="begin"/>
          </w:r>
          <w:r>
            <w:rPr>
              <w:color w:val="auto"/>
              <w:sz w:val="28"/>
              <w:szCs w:val="28"/>
            </w:rPr>
            <w:instrText xml:space="preserve"> PAGEREF _Toc3195 \h </w:instrText>
          </w:r>
          <w:r>
            <w:rPr>
              <w:color w:val="auto"/>
              <w:sz w:val="28"/>
              <w:szCs w:val="28"/>
            </w:rPr>
            <w:fldChar w:fldCharType="separate"/>
          </w:r>
          <w:r>
            <w:rPr>
              <w:color w:val="auto"/>
              <w:sz w:val="28"/>
              <w:szCs w:val="28"/>
            </w:rPr>
            <w:t>- 13 -</w:t>
          </w:r>
          <w:r>
            <w:rPr>
              <w:color w:val="auto"/>
              <w:sz w:val="28"/>
              <w:szCs w:val="28"/>
            </w:rPr>
            <w:fldChar w:fldCharType="end"/>
          </w:r>
          <w:r>
            <w:rPr>
              <w:rFonts w:asciiTheme="minorEastAsia" w:hAnsiTheme="minorEastAsia" w:eastAsiaTheme="minorEastAsia"/>
              <w:bCs/>
              <w:color w:val="auto"/>
              <w:sz w:val="28"/>
              <w:szCs w:val="28"/>
              <w:lang w:val="zh-CN"/>
            </w:rPr>
            <w:fldChar w:fldCharType="end"/>
          </w:r>
        </w:p>
        <w:p w14:paraId="4A9EA5C9">
          <w:pPr>
            <w:rPr>
              <w:rFonts w:asciiTheme="minorEastAsia" w:hAnsiTheme="minorEastAsia" w:eastAsiaTheme="minorEastAsia"/>
              <w:b/>
              <w:color w:val="auto"/>
              <w:sz w:val="30"/>
              <w:szCs w:val="30"/>
            </w:rPr>
          </w:pPr>
          <w:r>
            <w:rPr>
              <w:rFonts w:asciiTheme="minorEastAsia" w:hAnsiTheme="minorEastAsia" w:eastAsiaTheme="minorEastAsia"/>
              <w:bCs/>
              <w:color w:val="auto"/>
              <w:sz w:val="28"/>
              <w:szCs w:val="28"/>
              <w:lang w:val="zh-CN"/>
            </w:rPr>
            <w:fldChar w:fldCharType="end"/>
          </w:r>
        </w:p>
      </w:sdtContent>
    </w:sdt>
    <w:p w14:paraId="27904725">
      <w:pPr>
        <w:jc w:val="left"/>
        <w:rPr>
          <w:b/>
          <w:bCs/>
          <w:color w:val="auto"/>
          <w:sz w:val="32"/>
        </w:rPr>
      </w:pPr>
    </w:p>
    <w:p w14:paraId="593D9252">
      <w:pPr>
        <w:jc w:val="center"/>
        <w:rPr>
          <w:b/>
          <w:bCs/>
          <w:color w:val="auto"/>
          <w:sz w:val="32"/>
        </w:rPr>
      </w:pPr>
    </w:p>
    <w:p w14:paraId="284284E2">
      <w:pPr>
        <w:widowControl/>
        <w:jc w:val="left"/>
        <w:rPr>
          <w:b/>
          <w:bCs/>
          <w:color w:val="auto"/>
          <w:sz w:val="32"/>
        </w:rPr>
      </w:pPr>
      <w:r>
        <w:rPr>
          <w:b/>
          <w:bCs/>
          <w:color w:val="auto"/>
          <w:sz w:val="32"/>
        </w:rPr>
        <w:br w:type="page"/>
      </w:r>
    </w:p>
    <w:p w14:paraId="6056877C">
      <w:pPr>
        <w:pStyle w:val="19"/>
        <w:rPr>
          <w:color w:val="auto"/>
        </w:rPr>
        <w:sectPr>
          <w:footerReference r:id="rId3" w:type="default"/>
          <w:pgSz w:w="11906" w:h="16838"/>
          <w:pgMar w:top="1440" w:right="1800" w:bottom="1440" w:left="1800" w:header="851" w:footer="992" w:gutter="0"/>
          <w:cols w:space="425" w:num="1"/>
          <w:docGrid w:type="lines" w:linePitch="312" w:charSpace="0"/>
        </w:sectPr>
      </w:pPr>
    </w:p>
    <w:p w14:paraId="7BE579F9">
      <w:pPr>
        <w:pStyle w:val="19"/>
        <w:rPr>
          <w:color w:val="auto"/>
        </w:rPr>
      </w:pPr>
      <w:bookmarkStart w:id="0" w:name="_Toc16023"/>
      <w:r>
        <w:rPr>
          <w:rFonts w:hint="eastAsia"/>
          <w:color w:val="auto"/>
        </w:rPr>
        <w:t xml:space="preserve">第一章 </w:t>
      </w:r>
      <w:r>
        <w:rPr>
          <w:color w:val="auto"/>
        </w:rPr>
        <w:t>采购公告</w:t>
      </w:r>
      <w:bookmarkEnd w:id="0"/>
    </w:p>
    <w:p w14:paraId="4260B1BF">
      <w:pPr>
        <w:spacing w:line="360" w:lineRule="auto"/>
        <w:ind w:firstLine="482" w:firstLineChars="200"/>
        <w:rPr>
          <w:b/>
          <w:color w:val="auto"/>
          <w:sz w:val="24"/>
        </w:rPr>
      </w:pPr>
    </w:p>
    <w:p w14:paraId="78A1BF9C">
      <w:pPr>
        <w:spacing w:line="360" w:lineRule="auto"/>
        <w:jc w:val="center"/>
        <w:rPr>
          <w:b/>
          <w:color w:val="auto"/>
          <w:sz w:val="24"/>
        </w:rPr>
      </w:pPr>
      <w:r>
        <w:rPr>
          <w:rFonts w:hint="eastAsia"/>
          <w:b/>
          <w:color w:val="auto"/>
          <w:sz w:val="24"/>
        </w:rPr>
        <w:t>浙大</w:t>
      </w:r>
      <w:r>
        <w:rPr>
          <w:b/>
          <w:color w:val="auto"/>
          <w:sz w:val="24"/>
        </w:rPr>
        <w:t>妇院</w:t>
      </w:r>
      <w:r>
        <w:rPr>
          <w:rFonts w:hint="eastAsia"/>
          <w:b/>
          <w:color w:val="auto"/>
          <w:sz w:val="24"/>
        </w:rPr>
        <w:t>院内</w:t>
      </w:r>
      <w:r>
        <w:rPr>
          <w:b/>
          <w:color w:val="auto"/>
          <w:sz w:val="24"/>
        </w:rPr>
        <w:t>采购公告（</w:t>
      </w:r>
      <w:r>
        <w:rPr>
          <w:rFonts w:hint="eastAsia"/>
          <w:b/>
          <w:color w:val="auto"/>
          <w:sz w:val="24"/>
        </w:rPr>
        <w:t>项目编号：CGZX-XXXM-20260902</w:t>
      </w:r>
      <w:bookmarkStart w:id="17" w:name="_GoBack"/>
      <w:bookmarkEnd w:id="17"/>
      <w:r>
        <w:rPr>
          <w:rFonts w:hint="eastAsia"/>
          <w:b/>
          <w:color w:val="auto"/>
          <w:sz w:val="24"/>
        </w:rPr>
        <w:t>）</w:t>
      </w:r>
    </w:p>
    <w:p w14:paraId="175BB690">
      <w:pPr>
        <w:spacing w:line="360" w:lineRule="auto"/>
        <w:ind w:firstLine="482" w:firstLineChars="200"/>
        <w:rPr>
          <w:b/>
          <w:color w:val="auto"/>
          <w:sz w:val="24"/>
        </w:rPr>
      </w:pPr>
    </w:p>
    <w:p w14:paraId="3E2BC169">
      <w:pPr>
        <w:spacing w:line="360" w:lineRule="auto"/>
        <w:ind w:firstLine="480" w:firstLineChars="200"/>
        <w:rPr>
          <w:color w:val="auto"/>
          <w:sz w:val="24"/>
        </w:rPr>
      </w:pPr>
      <w:r>
        <w:rPr>
          <w:color w:val="auto"/>
          <w:sz w:val="24"/>
        </w:rPr>
        <w:t>根据国家及浙江省有关文件精神和医院有关政策，我们坚持公开、公平、公正和诚信的原则，欢迎满足要求的供应商前来参与本项目采购</w:t>
      </w:r>
      <w:r>
        <w:rPr>
          <w:rFonts w:hint="eastAsia"/>
          <w:color w:val="auto"/>
          <w:sz w:val="24"/>
        </w:rPr>
        <w:t>（采购文件详见附件）</w:t>
      </w:r>
      <w:r>
        <w:rPr>
          <w:color w:val="auto"/>
          <w:sz w:val="24"/>
        </w:rPr>
        <w:t>。</w:t>
      </w:r>
    </w:p>
    <w:p w14:paraId="787B9291">
      <w:pPr>
        <w:spacing w:line="360" w:lineRule="auto"/>
        <w:rPr>
          <w:color w:val="auto"/>
          <w:sz w:val="24"/>
        </w:rPr>
      </w:pPr>
      <w:r>
        <w:rPr>
          <w:rFonts w:hint="eastAsia"/>
          <w:b/>
          <w:bCs/>
          <w:color w:val="auto"/>
          <w:sz w:val="24"/>
        </w:rPr>
        <w:t>项目概况：</w:t>
      </w:r>
      <w:r>
        <w:rPr>
          <w:rFonts w:hint="eastAsia"/>
          <w:color w:val="FF0000"/>
          <w:sz w:val="24"/>
          <w:lang w:eastAsia="zh-CN"/>
        </w:rPr>
        <w:t>合理用药系统维保服务</w:t>
      </w:r>
      <w:r>
        <w:rPr>
          <w:rFonts w:hint="eastAsia"/>
          <w:color w:val="FF0000"/>
          <w:sz w:val="24"/>
        </w:rPr>
        <w:t>，预算金额</w:t>
      </w:r>
      <w:r>
        <w:rPr>
          <w:rFonts w:hint="eastAsia"/>
          <w:color w:val="FF0000"/>
          <w:sz w:val="24"/>
          <w:lang w:val="en-US" w:eastAsia="zh-CN"/>
        </w:rPr>
        <w:t>5</w:t>
      </w:r>
      <w:r>
        <w:rPr>
          <w:rFonts w:hint="eastAsia"/>
          <w:color w:val="FF0000"/>
          <w:sz w:val="24"/>
        </w:rPr>
        <w:t>万元。</w:t>
      </w:r>
    </w:p>
    <w:p w14:paraId="27692C3D">
      <w:pPr>
        <w:spacing w:line="360" w:lineRule="auto"/>
        <w:ind w:firstLine="480" w:firstLineChars="200"/>
        <w:rPr>
          <w:color w:val="auto"/>
          <w:sz w:val="24"/>
        </w:rPr>
      </w:pPr>
    </w:p>
    <w:p w14:paraId="4C54DBDA">
      <w:pPr>
        <w:spacing w:line="360" w:lineRule="auto"/>
        <w:rPr>
          <w:b/>
          <w:bCs/>
          <w:color w:val="auto"/>
          <w:sz w:val="24"/>
        </w:rPr>
      </w:pPr>
      <w:r>
        <w:rPr>
          <w:b/>
          <w:bCs/>
          <w:color w:val="auto"/>
          <w:sz w:val="24"/>
        </w:rPr>
        <w:t>响应要求：</w:t>
      </w:r>
    </w:p>
    <w:p w14:paraId="75CD533F">
      <w:pPr>
        <w:spacing w:line="360" w:lineRule="auto"/>
        <w:rPr>
          <w:color w:val="auto"/>
          <w:sz w:val="24"/>
        </w:rPr>
      </w:pPr>
      <w:r>
        <w:rPr>
          <w:color w:val="auto"/>
          <w:sz w:val="24"/>
        </w:rPr>
        <w:t>1、提供有效的营业执照复印件并加盖公司公章。</w:t>
      </w:r>
    </w:p>
    <w:p w14:paraId="39EA05C7">
      <w:pPr>
        <w:spacing w:line="360" w:lineRule="auto"/>
        <w:rPr>
          <w:color w:val="auto"/>
          <w:sz w:val="24"/>
        </w:rPr>
      </w:pPr>
      <w:r>
        <w:rPr>
          <w:color w:val="auto"/>
          <w:sz w:val="24"/>
        </w:rPr>
        <w:t>2、提供自采购公告发布之日起至公告截止日内任意时间的“信用中国”网站（www.creditchina.gov.cn）的响应供应商信用查询网页截图。</w:t>
      </w:r>
    </w:p>
    <w:p w14:paraId="7AFA2735">
      <w:pPr>
        <w:spacing w:line="360" w:lineRule="auto"/>
        <w:rPr>
          <w:color w:val="auto"/>
          <w:sz w:val="24"/>
        </w:rPr>
      </w:pPr>
      <w:r>
        <w:rPr>
          <w:rFonts w:hint="eastAsia"/>
          <w:color w:val="auto"/>
          <w:sz w:val="24"/>
        </w:rPr>
        <w:t>3</w:t>
      </w:r>
      <w:r>
        <w:rPr>
          <w:color w:val="auto"/>
          <w:sz w:val="24"/>
        </w:rPr>
        <w:t>、参与公司必须承诺所有数据要求真实可靠</w:t>
      </w:r>
      <w:r>
        <w:rPr>
          <w:rFonts w:hint="eastAsia"/>
          <w:color w:val="auto"/>
          <w:sz w:val="24"/>
        </w:rPr>
        <w:t>，如发生所供产品与合同、采购文件要求不符，甲方（使用方）有权拒绝收货或退货并终止合同，由此产生的一切责任和后果由乙方承担</w:t>
      </w:r>
      <w:r>
        <w:rPr>
          <w:color w:val="auto"/>
          <w:sz w:val="24"/>
        </w:rPr>
        <w:t>。</w:t>
      </w:r>
    </w:p>
    <w:p w14:paraId="4AA54859">
      <w:pPr>
        <w:spacing w:line="360" w:lineRule="auto"/>
        <w:rPr>
          <w:color w:val="auto"/>
          <w:sz w:val="24"/>
        </w:rPr>
      </w:pPr>
      <w:r>
        <w:rPr>
          <w:rFonts w:hint="eastAsia"/>
          <w:color w:val="auto"/>
          <w:sz w:val="24"/>
        </w:rPr>
        <w:t>4</w:t>
      </w:r>
      <w:r>
        <w:rPr>
          <w:color w:val="auto"/>
          <w:sz w:val="24"/>
        </w:rPr>
        <w:t>、不接受联合体响应，不允许分包和转包。</w:t>
      </w:r>
    </w:p>
    <w:p w14:paraId="0074DEB7">
      <w:pPr>
        <w:spacing w:line="360" w:lineRule="auto"/>
        <w:rPr>
          <w:color w:val="auto"/>
          <w:sz w:val="24"/>
        </w:rPr>
      </w:pPr>
      <w:r>
        <w:rPr>
          <w:rFonts w:hint="eastAsia"/>
          <w:color w:val="auto"/>
          <w:sz w:val="24"/>
        </w:rPr>
        <w:t>5</w:t>
      </w:r>
      <w:r>
        <w:rPr>
          <w:color w:val="auto"/>
          <w:sz w:val="24"/>
        </w:rPr>
        <w:t>、响应文件一正三副（固定装订，不强制要求胶装），必须档案袋密封于</w:t>
      </w:r>
      <w:r>
        <w:rPr>
          <w:rFonts w:hint="eastAsia"/>
          <w:color w:val="auto"/>
          <w:sz w:val="24"/>
        </w:rPr>
        <w:t>采购</w:t>
      </w:r>
      <w:r>
        <w:rPr>
          <w:color w:val="auto"/>
          <w:sz w:val="24"/>
        </w:rPr>
        <w:t>现场统一递交，一个</w:t>
      </w:r>
      <w:r>
        <w:rPr>
          <w:rFonts w:hint="eastAsia"/>
          <w:color w:val="auto"/>
          <w:sz w:val="24"/>
        </w:rPr>
        <w:t>项目</w:t>
      </w:r>
      <w:r>
        <w:rPr>
          <w:color w:val="auto"/>
          <w:sz w:val="24"/>
        </w:rPr>
        <w:t>对应一个档案袋。</w:t>
      </w:r>
    </w:p>
    <w:p w14:paraId="62FD4E73">
      <w:pPr>
        <w:spacing w:line="360" w:lineRule="auto"/>
        <w:rPr>
          <w:color w:val="auto"/>
          <w:sz w:val="24"/>
        </w:rPr>
      </w:pPr>
      <w:r>
        <w:rPr>
          <w:rFonts w:hint="eastAsia"/>
          <w:color w:val="auto"/>
          <w:sz w:val="24"/>
        </w:rPr>
        <w:t>6</w:t>
      </w:r>
      <w:r>
        <w:rPr>
          <w:color w:val="auto"/>
          <w:sz w:val="24"/>
        </w:rPr>
        <w:t>、</w:t>
      </w:r>
      <w:r>
        <w:rPr>
          <w:rFonts w:hint="eastAsia"/>
          <w:color w:val="auto"/>
          <w:sz w:val="24"/>
          <w:lang w:val="en-US" w:eastAsia="zh-CN"/>
        </w:rPr>
        <w:t>采购时间初步定于</w:t>
      </w:r>
      <w:r>
        <w:rPr>
          <w:rFonts w:hint="eastAsia"/>
          <w:b/>
          <w:bCs/>
          <w:color w:val="auto"/>
          <w:sz w:val="24"/>
          <w:lang w:val="en-US" w:eastAsia="zh-CN"/>
        </w:rPr>
        <w:t>2026年09月10日下午15点</w:t>
      </w:r>
      <w:r>
        <w:rPr>
          <w:rFonts w:hint="eastAsia"/>
          <w:color w:val="auto"/>
          <w:sz w:val="24"/>
          <w:lang w:val="en-US" w:eastAsia="zh-CN"/>
        </w:rPr>
        <w:t xml:space="preserve">，地点：浙江大学医学院附属妇产科医院（杭州市学士路1号） </w:t>
      </w:r>
      <w:r>
        <w:rPr>
          <w:rFonts w:hint="eastAsia"/>
          <w:b/>
          <w:bCs/>
          <w:color w:val="auto"/>
          <w:sz w:val="24"/>
          <w:lang w:val="en-US" w:eastAsia="zh-CN"/>
        </w:rPr>
        <w:t>1号楼13楼1305会议室</w:t>
      </w:r>
      <w:r>
        <w:rPr>
          <w:rFonts w:hint="eastAsia"/>
          <w:b/>
          <w:bCs/>
          <w:color w:val="auto"/>
          <w:sz w:val="24"/>
        </w:rPr>
        <w:t>，</w:t>
      </w:r>
      <w:r>
        <w:rPr>
          <w:b/>
          <w:bCs/>
          <w:color w:val="auto"/>
          <w:sz w:val="24"/>
        </w:rPr>
        <w:t>报名截</w:t>
      </w:r>
      <w:r>
        <w:rPr>
          <w:b/>
          <w:color w:val="auto"/>
          <w:sz w:val="24"/>
        </w:rPr>
        <w:t>止</w:t>
      </w:r>
      <w:r>
        <w:rPr>
          <w:rFonts w:hint="eastAsia"/>
          <w:b/>
          <w:color w:val="auto"/>
          <w:sz w:val="24"/>
          <w:lang w:val="en-US" w:eastAsia="zh-CN"/>
        </w:rPr>
        <w:t>时间2026年09月09日 16:00</w:t>
      </w:r>
      <w:r>
        <w:rPr>
          <w:color w:val="auto"/>
          <w:sz w:val="24"/>
        </w:rPr>
        <w:t>（报名以邮件为准，</w:t>
      </w:r>
      <w:r>
        <w:rPr>
          <w:b/>
          <w:bCs/>
          <w:color w:val="auto"/>
          <w:sz w:val="24"/>
        </w:rPr>
        <w:t>邮件标题</w:t>
      </w:r>
      <w:r>
        <w:rPr>
          <w:rFonts w:hint="eastAsia"/>
          <w:b/>
          <w:bCs/>
          <w:color w:val="auto"/>
          <w:sz w:val="24"/>
          <w:lang w:val="en-US" w:eastAsia="zh-CN"/>
        </w:rPr>
        <w:t>统一为：公告项目</w:t>
      </w:r>
      <w:r>
        <w:rPr>
          <w:b/>
          <w:bCs/>
          <w:color w:val="auto"/>
          <w:sz w:val="24"/>
        </w:rPr>
        <w:t>编号</w:t>
      </w:r>
      <w:r>
        <w:rPr>
          <w:rFonts w:hint="eastAsia"/>
          <w:b/>
          <w:bCs/>
          <w:color w:val="auto"/>
          <w:sz w:val="24"/>
          <w:lang w:val="en-US" w:eastAsia="zh-CN"/>
        </w:rPr>
        <w:t>+</w:t>
      </w:r>
      <w:r>
        <w:rPr>
          <w:rFonts w:hint="eastAsia"/>
          <w:b/>
          <w:bCs/>
          <w:color w:val="auto"/>
          <w:sz w:val="24"/>
        </w:rPr>
        <w:t>项目名称</w:t>
      </w:r>
      <w:r>
        <w:rPr>
          <w:rFonts w:hint="eastAsia"/>
          <w:b/>
          <w:bCs/>
          <w:color w:val="auto"/>
          <w:sz w:val="24"/>
          <w:lang w:val="en-US" w:eastAsia="zh-CN"/>
        </w:rPr>
        <w:t>+</w:t>
      </w:r>
      <w:r>
        <w:rPr>
          <w:rFonts w:hint="eastAsia"/>
          <w:b/>
          <w:bCs/>
          <w:color w:val="auto"/>
          <w:sz w:val="24"/>
        </w:rPr>
        <w:t>响应</w:t>
      </w:r>
      <w:r>
        <w:rPr>
          <w:b/>
          <w:bCs/>
          <w:color w:val="auto"/>
          <w:sz w:val="24"/>
        </w:rPr>
        <w:t>公司名称</w:t>
      </w:r>
      <w:r>
        <w:rPr>
          <w:rFonts w:hint="eastAsia"/>
          <w:color w:val="auto"/>
          <w:sz w:val="24"/>
          <w:lang w:eastAsia="zh-CN"/>
        </w:rPr>
        <w:t>，</w:t>
      </w:r>
      <w:r>
        <w:rPr>
          <w:rFonts w:hint="eastAsia"/>
          <w:color w:val="auto"/>
          <w:sz w:val="24"/>
          <w:lang w:val="en-US" w:eastAsia="zh-CN"/>
        </w:rPr>
        <w:t>邮件内容注明响应公司名称、</w:t>
      </w:r>
      <w:r>
        <w:rPr>
          <w:rFonts w:hint="eastAsia"/>
          <w:color w:val="auto"/>
          <w:sz w:val="24"/>
        </w:rPr>
        <w:t>授权</w:t>
      </w:r>
      <w:r>
        <w:rPr>
          <w:color w:val="auto"/>
          <w:sz w:val="24"/>
        </w:rPr>
        <w:t>人姓名</w:t>
      </w:r>
      <w:r>
        <w:rPr>
          <w:rFonts w:hint="eastAsia"/>
          <w:color w:val="auto"/>
          <w:sz w:val="24"/>
          <w:lang w:val="en-US" w:eastAsia="zh-CN"/>
        </w:rPr>
        <w:t>、</w:t>
      </w:r>
      <w:r>
        <w:rPr>
          <w:color w:val="auto"/>
          <w:sz w:val="24"/>
        </w:rPr>
        <w:t>联系方式等）</w:t>
      </w:r>
      <w:r>
        <w:rPr>
          <w:rFonts w:hint="eastAsia"/>
          <w:color w:val="auto"/>
          <w:sz w:val="24"/>
        </w:rPr>
        <w:t>。</w:t>
      </w:r>
    </w:p>
    <w:p w14:paraId="4AE81EEF">
      <w:pPr>
        <w:spacing w:line="360" w:lineRule="auto"/>
        <w:rPr>
          <w:color w:val="auto"/>
          <w:sz w:val="24"/>
        </w:rPr>
      </w:pPr>
      <w:r>
        <w:rPr>
          <w:rFonts w:hint="eastAsia"/>
          <w:color w:val="auto"/>
          <w:sz w:val="24"/>
        </w:rPr>
        <w:t>7</w:t>
      </w:r>
      <w:r>
        <w:rPr>
          <w:color w:val="auto"/>
          <w:sz w:val="24"/>
        </w:rPr>
        <w:t>、以上事项均为必须项，任何一项不满足均取消响应资格。</w:t>
      </w:r>
    </w:p>
    <w:p w14:paraId="31F05445">
      <w:pPr>
        <w:spacing w:line="360" w:lineRule="auto"/>
        <w:rPr>
          <w:b/>
          <w:bCs/>
          <w:color w:val="auto"/>
          <w:sz w:val="24"/>
        </w:rPr>
      </w:pPr>
    </w:p>
    <w:p w14:paraId="649E61BF">
      <w:pPr>
        <w:spacing w:line="360" w:lineRule="auto"/>
        <w:rPr>
          <w:b/>
          <w:bCs/>
          <w:color w:val="auto"/>
          <w:sz w:val="24"/>
        </w:rPr>
      </w:pPr>
    </w:p>
    <w:p w14:paraId="665A8BFA">
      <w:pPr>
        <w:spacing w:line="360" w:lineRule="auto"/>
        <w:rPr>
          <w:b/>
          <w:bCs/>
          <w:color w:val="auto"/>
          <w:sz w:val="24"/>
        </w:rPr>
      </w:pPr>
      <w:r>
        <w:rPr>
          <w:b/>
          <w:bCs/>
          <w:color w:val="auto"/>
          <w:sz w:val="24"/>
        </w:rPr>
        <w:t>其他事项：</w:t>
      </w:r>
    </w:p>
    <w:p w14:paraId="2F60F6BE">
      <w:pPr>
        <w:rPr>
          <w:color w:val="auto"/>
          <w:sz w:val="24"/>
        </w:rPr>
      </w:pPr>
      <w:r>
        <w:rPr>
          <w:color w:val="auto"/>
          <w:sz w:val="24"/>
        </w:rPr>
        <w:t>咨询、报名电话：</w:t>
      </w:r>
      <w:r>
        <w:rPr>
          <w:rFonts w:hint="eastAsia"/>
          <w:color w:val="auto"/>
          <w:sz w:val="24"/>
        </w:rPr>
        <w:t>周老师89991090</w:t>
      </w:r>
      <w:r>
        <w:rPr>
          <w:color w:val="auto"/>
          <w:sz w:val="24"/>
        </w:rPr>
        <w:t>。EMAIL：</w:t>
      </w:r>
      <w:r>
        <w:rPr>
          <w:color w:val="auto"/>
        </w:rPr>
        <w:fldChar w:fldCharType="begin"/>
      </w:r>
      <w:r>
        <w:rPr>
          <w:color w:val="auto"/>
        </w:rPr>
        <w:instrText xml:space="preserve"> HYPERLINK "mailto:sfbsbk@zju.edu.cn" </w:instrText>
      </w:r>
      <w:r>
        <w:rPr>
          <w:color w:val="auto"/>
        </w:rPr>
        <w:fldChar w:fldCharType="separate"/>
      </w:r>
      <w:r>
        <w:rPr>
          <w:rStyle w:val="26"/>
          <w:rFonts w:hint="eastAsia"/>
          <w:color w:val="auto"/>
          <w:sz w:val="24"/>
        </w:rPr>
        <w:t>5518003</w:t>
      </w:r>
      <w:r>
        <w:rPr>
          <w:rStyle w:val="26"/>
          <w:color w:val="auto"/>
          <w:sz w:val="24"/>
        </w:rPr>
        <w:t>@zju.edu.cn</w:t>
      </w:r>
      <w:r>
        <w:rPr>
          <w:rStyle w:val="26"/>
          <w:color w:val="auto"/>
          <w:sz w:val="24"/>
        </w:rPr>
        <w:fldChar w:fldCharType="end"/>
      </w:r>
      <w:r>
        <w:rPr>
          <w:rFonts w:hint="eastAsia"/>
          <w:color w:val="auto"/>
          <w:sz w:val="24"/>
        </w:rPr>
        <w:t>。</w:t>
      </w:r>
    </w:p>
    <w:p w14:paraId="5812832F">
      <w:pPr>
        <w:pStyle w:val="19"/>
        <w:rPr>
          <w:rFonts w:hint="eastAsia"/>
          <w:color w:val="auto"/>
        </w:rPr>
      </w:pPr>
    </w:p>
    <w:p w14:paraId="7922A598">
      <w:pPr>
        <w:pStyle w:val="19"/>
        <w:numPr>
          <w:ilvl w:val="0"/>
          <w:numId w:val="1"/>
        </w:numPr>
        <w:rPr>
          <w:color w:val="auto"/>
        </w:rPr>
      </w:pPr>
      <w:bookmarkStart w:id="1" w:name="_Toc9951"/>
      <w:r>
        <w:rPr>
          <w:color w:val="auto"/>
        </w:rPr>
        <w:t>采购内容</w:t>
      </w:r>
      <w:r>
        <w:rPr>
          <w:rFonts w:hint="eastAsia"/>
          <w:color w:val="auto"/>
        </w:rPr>
        <w:t>及</w:t>
      </w:r>
      <w:r>
        <w:rPr>
          <w:color w:val="auto"/>
        </w:rPr>
        <w:t>需求</w:t>
      </w:r>
      <w:bookmarkEnd w:id="1"/>
    </w:p>
    <w:p w14:paraId="5EE0B97A">
      <w:pPr>
        <w:numPr>
          <w:ilvl w:val="0"/>
          <w:numId w:val="0"/>
        </w:numPr>
        <w:rPr>
          <w:color w:val="auto"/>
        </w:rPr>
      </w:pPr>
    </w:p>
    <w:p w14:paraId="7BD06D00">
      <w:pPr>
        <w:pStyle w:val="2"/>
        <w:numPr>
          <w:ilvl w:val="0"/>
          <w:numId w:val="2"/>
        </w:numPr>
        <w:tabs>
          <w:tab w:val="left" w:pos="720"/>
          <w:tab w:val="left" w:pos="1980"/>
        </w:tabs>
        <w:spacing w:line="440" w:lineRule="exact"/>
        <w:rPr>
          <w:rFonts w:hint="eastAsia" w:hAnsi="宋体" w:cs="宋体"/>
          <w:color w:val="auto"/>
          <w:sz w:val="21"/>
          <w:szCs w:val="21"/>
        </w:rPr>
      </w:pPr>
      <w:r>
        <w:rPr>
          <w:rFonts w:hint="eastAsia" w:hAnsi="宋体" w:cs="宋体"/>
          <w:color w:val="auto"/>
          <w:sz w:val="21"/>
          <w:szCs w:val="21"/>
        </w:rPr>
        <w:t>项目概况</w:t>
      </w:r>
    </w:p>
    <w:p w14:paraId="4AD111F7">
      <w:pPr>
        <w:spacing w:line="360" w:lineRule="auto"/>
        <w:ind w:firstLine="424" w:firstLineChars="202"/>
        <w:rPr>
          <w:rFonts w:hint="eastAsia"/>
          <w:color w:val="auto"/>
        </w:rPr>
      </w:pPr>
      <w:r>
        <w:rPr>
          <w:rFonts w:hint="eastAsia"/>
          <w:color w:val="auto"/>
        </w:rPr>
        <w:t>目前我院已部署一套合理用药管理系统。系统覆盖合理用药干预、门诊/住院审方、处方点评等核心业务，实现多院区药品目录统一、规则同步、风险实时提醒/拦截。系统自投入使用以来运行稳定，积累的历史审查、点评数据已沉淀为医院重要的信息资产。</w:t>
      </w:r>
    </w:p>
    <w:p w14:paraId="04F26A34">
      <w:pPr>
        <w:spacing w:line="360" w:lineRule="auto"/>
        <w:ind w:firstLine="424" w:firstLineChars="202"/>
        <w:rPr>
          <w:rFonts w:hint="default"/>
          <w:color w:val="auto"/>
          <w:lang w:val="en-US" w:eastAsia="zh-CN"/>
        </w:rPr>
      </w:pPr>
      <w:r>
        <w:rPr>
          <w:rFonts w:hint="eastAsia"/>
          <w:color w:val="auto"/>
        </w:rPr>
        <w:t>随着医院业务系统数量和数据量快速增长，原系统需在性能、安全、数据质量等方面持续保障7×24小时不间断服务。为巩固既有建设成果、延长系统生命周期，医院拟对现有合理用药管理系统进行维保服务续约，在确保稳定运行的基础上，持续优化功能，进一步提升合理用药管理水平。</w:t>
      </w:r>
    </w:p>
    <w:p w14:paraId="6E65E0CE">
      <w:pPr>
        <w:pStyle w:val="2"/>
        <w:numPr>
          <w:ilvl w:val="0"/>
          <w:numId w:val="2"/>
        </w:numPr>
        <w:tabs>
          <w:tab w:val="left" w:pos="720"/>
          <w:tab w:val="left" w:pos="1980"/>
        </w:tabs>
        <w:spacing w:line="440" w:lineRule="exact"/>
        <w:rPr>
          <w:rFonts w:hint="eastAsia" w:hAnsi="宋体" w:cs="宋体"/>
          <w:color w:val="auto"/>
          <w:sz w:val="21"/>
          <w:szCs w:val="21"/>
        </w:rPr>
      </w:pPr>
      <w:r>
        <w:rPr>
          <w:rFonts w:hint="eastAsia" w:hAnsi="宋体" w:cs="宋体"/>
          <w:color w:val="auto"/>
          <w:sz w:val="21"/>
          <w:szCs w:val="21"/>
        </w:rPr>
        <w:t>项目内容</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9"/>
        <w:gridCol w:w="2213"/>
        <w:gridCol w:w="5200"/>
      </w:tblGrid>
      <w:tr w14:paraId="5C2B7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651" w:type="pct"/>
            <w:vAlign w:val="center"/>
          </w:tcPr>
          <w:p w14:paraId="22F97B83">
            <w:pPr>
              <w:spacing w:line="440" w:lineRule="exact"/>
              <w:jc w:val="center"/>
              <w:rPr>
                <w:rFonts w:hint="eastAsia" w:ascii="宋体" w:hAnsi="宋体" w:cs="宋体"/>
                <w:b/>
                <w:bCs/>
                <w:color w:val="auto"/>
                <w:szCs w:val="21"/>
              </w:rPr>
            </w:pPr>
            <w:r>
              <w:rPr>
                <w:rFonts w:hint="eastAsia" w:ascii="宋体" w:hAnsi="宋体" w:cs="宋体"/>
                <w:b/>
                <w:bCs/>
                <w:color w:val="auto"/>
                <w:szCs w:val="21"/>
              </w:rPr>
              <w:t>序号</w:t>
            </w:r>
          </w:p>
        </w:tc>
        <w:tc>
          <w:tcPr>
            <w:tcW w:w="1298" w:type="pct"/>
            <w:vAlign w:val="center"/>
          </w:tcPr>
          <w:p w14:paraId="5CEA8A91">
            <w:pPr>
              <w:spacing w:line="440" w:lineRule="exact"/>
              <w:jc w:val="center"/>
              <w:rPr>
                <w:rFonts w:hint="eastAsia" w:ascii="宋体" w:hAnsi="宋体" w:cs="宋体"/>
                <w:b/>
                <w:bCs/>
                <w:color w:val="auto"/>
                <w:szCs w:val="21"/>
              </w:rPr>
            </w:pPr>
            <w:r>
              <w:rPr>
                <w:rFonts w:hint="eastAsia" w:ascii="宋体" w:hAnsi="宋体" w:cs="宋体"/>
                <w:b/>
                <w:bCs/>
                <w:color w:val="auto"/>
                <w:szCs w:val="21"/>
              </w:rPr>
              <w:t>内容</w:t>
            </w:r>
          </w:p>
        </w:tc>
        <w:tc>
          <w:tcPr>
            <w:tcW w:w="3050" w:type="pct"/>
            <w:vAlign w:val="center"/>
          </w:tcPr>
          <w:p w14:paraId="1751531B">
            <w:pPr>
              <w:spacing w:line="440" w:lineRule="exact"/>
              <w:jc w:val="center"/>
              <w:rPr>
                <w:rFonts w:hint="eastAsia" w:ascii="宋体" w:hAnsi="宋体" w:cs="宋体"/>
                <w:b/>
                <w:bCs/>
                <w:color w:val="auto"/>
                <w:szCs w:val="21"/>
              </w:rPr>
            </w:pPr>
            <w:r>
              <w:rPr>
                <w:rFonts w:hint="eastAsia" w:ascii="宋体" w:hAnsi="宋体" w:cs="宋体"/>
                <w:b/>
                <w:bCs/>
                <w:color w:val="auto"/>
                <w:szCs w:val="21"/>
              </w:rPr>
              <w:t>说明</w:t>
            </w:r>
          </w:p>
        </w:tc>
      </w:tr>
      <w:tr w14:paraId="687B7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651" w:type="pct"/>
            <w:vAlign w:val="center"/>
          </w:tcPr>
          <w:p w14:paraId="1A0A47F5">
            <w:pPr>
              <w:spacing w:line="440" w:lineRule="exact"/>
              <w:jc w:val="center"/>
              <w:rPr>
                <w:rFonts w:hint="eastAsia" w:ascii="宋体" w:hAnsi="宋体" w:cs="宋体"/>
                <w:color w:val="auto"/>
                <w:szCs w:val="21"/>
              </w:rPr>
            </w:pPr>
            <w:r>
              <w:rPr>
                <w:rFonts w:hint="eastAsia" w:ascii="宋体" w:hAnsi="宋体" w:cs="宋体"/>
                <w:color w:val="auto"/>
                <w:kern w:val="0"/>
                <w:szCs w:val="21"/>
              </w:rPr>
              <w:t>1</w:t>
            </w:r>
          </w:p>
        </w:tc>
        <w:tc>
          <w:tcPr>
            <w:tcW w:w="1298" w:type="pct"/>
            <w:vAlign w:val="center"/>
          </w:tcPr>
          <w:p w14:paraId="2BDAC6E3">
            <w:pPr>
              <w:widowControl/>
              <w:spacing w:line="440" w:lineRule="exact"/>
              <w:rPr>
                <w:rFonts w:hint="eastAsia" w:ascii="宋体" w:hAnsi="宋体" w:cs="宋体"/>
                <w:color w:val="auto"/>
                <w:szCs w:val="21"/>
              </w:rPr>
            </w:pPr>
            <w:r>
              <w:rPr>
                <w:rFonts w:hint="eastAsia" w:ascii="宋体" w:hAnsi="宋体" w:cs="宋体"/>
                <w:color w:val="auto"/>
                <w:szCs w:val="21"/>
              </w:rPr>
              <w:t>维保服务范围</w:t>
            </w:r>
          </w:p>
        </w:tc>
        <w:tc>
          <w:tcPr>
            <w:tcW w:w="3050" w:type="pct"/>
            <w:vAlign w:val="center"/>
          </w:tcPr>
          <w:p w14:paraId="79ABF01D">
            <w:pPr>
              <w:spacing w:line="440" w:lineRule="exact"/>
              <w:rPr>
                <w:rFonts w:asciiTheme="majorEastAsia" w:hAnsiTheme="majorEastAsia" w:eastAsiaTheme="majorEastAsia"/>
                <w:bCs/>
                <w:color w:val="auto"/>
                <w:sz w:val="21"/>
                <w:szCs w:val="21"/>
              </w:rPr>
            </w:pPr>
            <w:r>
              <w:rPr>
                <w:rFonts w:hint="eastAsia" w:asciiTheme="majorEastAsia" w:hAnsiTheme="majorEastAsia" w:eastAsiaTheme="majorEastAsia"/>
                <w:bCs/>
                <w:color w:val="auto"/>
                <w:sz w:val="21"/>
                <w:szCs w:val="21"/>
              </w:rPr>
              <w:t>系统维保服务覆盖医院已经上线系统的所有功能模块，包括用户中心、知识建设、干预、审方、处方点评。</w:t>
            </w:r>
          </w:p>
          <w:p w14:paraId="7E737DB5">
            <w:pPr>
              <w:spacing w:line="240" w:lineRule="auto"/>
              <w:rPr>
                <w:rFonts w:hint="eastAsia" w:ascii="宋体" w:hAnsi="宋体" w:cs="宋体"/>
                <w:color w:val="auto"/>
                <w:szCs w:val="21"/>
              </w:rPr>
            </w:pPr>
            <w:r>
              <w:rPr>
                <w:rFonts w:hint="eastAsia" w:asciiTheme="majorEastAsia" w:hAnsiTheme="majorEastAsia" w:eastAsiaTheme="majorEastAsia"/>
                <w:bCs/>
                <w:color w:val="auto"/>
                <w:sz w:val="21"/>
                <w:szCs w:val="21"/>
              </w:rPr>
              <w:t>服务院区覆盖湖滨院区、钱江院区。</w:t>
            </w:r>
          </w:p>
        </w:tc>
      </w:tr>
      <w:tr w14:paraId="6E735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651" w:type="pct"/>
            <w:vAlign w:val="center"/>
          </w:tcPr>
          <w:p w14:paraId="7919DC43">
            <w:pPr>
              <w:spacing w:line="440" w:lineRule="exact"/>
              <w:jc w:val="center"/>
              <w:rPr>
                <w:rFonts w:hint="eastAsia" w:ascii="宋体" w:hAnsi="宋体" w:cs="宋体"/>
                <w:color w:val="auto"/>
                <w:kern w:val="0"/>
                <w:szCs w:val="21"/>
              </w:rPr>
            </w:pPr>
            <w:r>
              <w:rPr>
                <w:rFonts w:hint="eastAsia" w:ascii="宋体" w:hAnsi="宋体" w:cs="宋体"/>
                <w:color w:val="auto"/>
                <w:kern w:val="0"/>
                <w:szCs w:val="21"/>
              </w:rPr>
              <w:t>2</w:t>
            </w:r>
          </w:p>
        </w:tc>
        <w:tc>
          <w:tcPr>
            <w:tcW w:w="1298" w:type="pct"/>
            <w:vAlign w:val="center"/>
          </w:tcPr>
          <w:p w14:paraId="5EB9BAD3">
            <w:pPr>
              <w:widowControl/>
              <w:spacing w:line="440" w:lineRule="exact"/>
              <w:rPr>
                <w:rFonts w:hint="eastAsia" w:ascii="宋体" w:hAnsi="宋体" w:cs="宋体"/>
                <w:color w:val="auto"/>
                <w:szCs w:val="21"/>
              </w:rPr>
            </w:pPr>
            <w:r>
              <w:rPr>
                <w:rFonts w:hint="eastAsia" w:ascii="宋体" w:hAnsi="宋体" w:cs="宋体"/>
                <w:color w:val="auto"/>
                <w:szCs w:val="21"/>
              </w:rPr>
              <w:t>维保服务内容</w:t>
            </w:r>
          </w:p>
        </w:tc>
        <w:tc>
          <w:tcPr>
            <w:tcW w:w="3050" w:type="pct"/>
            <w:vAlign w:val="center"/>
          </w:tcPr>
          <w:p w14:paraId="18AE79A1">
            <w:pPr>
              <w:spacing w:line="440" w:lineRule="exact"/>
              <w:rPr>
                <w:rFonts w:hint="eastAsia" w:ascii="宋体" w:hAnsi="宋体" w:cs="宋体"/>
                <w:color w:val="auto"/>
                <w:szCs w:val="21"/>
              </w:rPr>
            </w:pPr>
            <w:r>
              <w:rPr>
                <w:rFonts w:hint="eastAsia" w:asciiTheme="majorEastAsia" w:hAnsiTheme="majorEastAsia" w:eastAsiaTheme="majorEastAsia"/>
                <w:bCs/>
                <w:color w:val="auto"/>
                <w:sz w:val="21"/>
                <w:szCs w:val="21"/>
                <w:lang w:val="en-US" w:eastAsia="zh-CN"/>
              </w:rPr>
              <w:t>提供一年系统日常运行维护保障服务，包括</w:t>
            </w:r>
            <w:r>
              <w:rPr>
                <w:rFonts w:hint="eastAsia"/>
                <w:color w:val="auto"/>
                <w:lang w:val="en-US" w:eastAsia="zh-CN"/>
              </w:rPr>
              <w:t>系统软件故障响应处理、</w:t>
            </w:r>
            <w:r>
              <w:rPr>
                <w:rFonts w:hint="eastAsia" w:asciiTheme="majorEastAsia" w:hAnsiTheme="majorEastAsia" w:eastAsiaTheme="majorEastAsia"/>
                <w:bCs/>
                <w:color w:val="auto"/>
                <w:sz w:val="21"/>
                <w:szCs w:val="21"/>
              </w:rPr>
              <w:t>7×24小时远程服务、现场服务、系统知识库升级服务、系统巡检服务、咨询服务、培训服务、评审驻场服务。</w:t>
            </w:r>
          </w:p>
        </w:tc>
      </w:tr>
    </w:tbl>
    <w:p w14:paraId="4982471F">
      <w:pPr>
        <w:rPr>
          <w:color w:val="auto"/>
        </w:rPr>
      </w:pPr>
    </w:p>
    <w:p w14:paraId="3FD9C207">
      <w:pPr>
        <w:pStyle w:val="32"/>
        <w:numPr>
          <w:ilvl w:val="0"/>
          <w:numId w:val="3"/>
        </w:numPr>
        <w:spacing w:line="440" w:lineRule="exact"/>
        <w:ind w:firstLineChars="0"/>
        <w:outlineLvl w:val="1"/>
        <w:rPr>
          <w:rFonts w:hint="eastAsia" w:ascii="宋体" w:hAnsi="宋体" w:cs="宋体"/>
          <w:b/>
          <w:color w:val="auto"/>
          <w:szCs w:val="21"/>
        </w:rPr>
      </w:pPr>
      <w:r>
        <w:rPr>
          <w:rFonts w:hint="eastAsia" w:ascii="宋体" w:hAnsi="宋体" w:cs="宋体"/>
          <w:b/>
          <w:color w:val="auto"/>
          <w:szCs w:val="21"/>
        </w:rPr>
        <w:t>维保服务要求</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6"/>
        <w:gridCol w:w="7256"/>
      </w:tblGrid>
      <w:tr w14:paraId="49004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2" w:type="pct"/>
            <w:vAlign w:val="center"/>
          </w:tcPr>
          <w:p w14:paraId="2161A11C">
            <w:pPr>
              <w:spacing w:line="440" w:lineRule="exact"/>
              <w:jc w:val="center"/>
              <w:rPr>
                <w:rFonts w:hint="eastAsia" w:ascii="宋体" w:hAnsi="宋体" w:cs="宋体"/>
                <w:b/>
                <w:bCs/>
                <w:color w:val="auto"/>
                <w:szCs w:val="21"/>
              </w:rPr>
            </w:pPr>
            <w:r>
              <w:rPr>
                <w:rFonts w:hint="eastAsia" w:ascii="宋体" w:hAnsi="宋体" w:cs="宋体"/>
                <w:b/>
                <w:bCs/>
                <w:color w:val="auto"/>
                <w:szCs w:val="21"/>
              </w:rPr>
              <w:t>序号</w:t>
            </w:r>
          </w:p>
        </w:tc>
        <w:tc>
          <w:tcPr>
            <w:tcW w:w="4257" w:type="pct"/>
            <w:vAlign w:val="center"/>
          </w:tcPr>
          <w:p w14:paraId="5FAE8DD2">
            <w:pPr>
              <w:spacing w:line="440" w:lineRule="exact"/>
              <w:jc w:val="center"/>
              <w:rPr>
                <w:rFonts w:hint="eastAsia" w:ascii="宋体" w:hAnsi="宋体" w:cs="宋体"/>
                <w:b/>
                <w:bCs/>
                <w:color w:val="auto"/>
                <w:szCs w:val="21"/>
              </w:rPr>
            </w:pPr>
            <w:r>
              <w:rPr>
                <w:rFonts w:hint="eastAsia" w:ascii="宋体" w:hAnsi="宋体" w:cs="宋体"/>
                <w:b/>
                <w:bCs/>
                <w:color w:val="auto"/>
                <w:szCs w:val="21"/>
              </w:rPr>
              <w:t>技术说明</w:t>
            </w:r>
          </w:p>
        </w:tc>
      </w:tr>
      <w:tr w14:paraId="5D67F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2" w:type="pct"/>
            <w:vAlign w:val="center"/>
          </w:tcPr>
          <w:p w14:paraId="54BA94B4">
            <w:pPr>
              <w:pStyle w:val="32"/>
              <w:numPr>
                <w:ilvl w:val="0"/>
                <w:numId w:val="4"/>
              </w:numPr>
              <w:spacing w:line="440" w:lineRule="exact"/>
              <w:ind w:firstLineChars="0"/>
              <w:jc w:val="center"/>
              <w:rPr>
                <w:rFonts w:hint="eastAsia" w:ascii="宋体" w:hAnsi="宋体" w:cs="宋体"/>
                <w:b/>
                <w:bCs/>
                <w:color w:val="auto"/>
                <w:szCs w:val="21"/>
              </w:rPr>
            </w:pPr>
          </w:p>
        </w:tc>
        <w:tc>
          <w:tcPr>
            <w:tcW w:w="4257" w:type="pct"/>
            <w:vAlign w:val="center"/>
          </w:tcPr>
          <w:p w14:paraId="6A173B36">
            <w:pPr>
              <w:spacing w:line="240" w:lineRule="auto"/>
              <w:jc w:val="left"/>
              <w:rPr>
                <w:rFonts w:hint="eastAsia" w:asciiTheme="majorEastAsia" w:hAnsiTheme="majorEastAsia" w:eastAsiaTheme="majorEastAsia"/>
                <w:bCs/>
                <w:color w:val="auto"/>
                <w:sz w:val="21"/>
                <w:szCs w:val="21"/>
              </w:rPr>
            </w:pPr>
            <w:r>
              <w:rPr>
                <w:rFonts w:hint="eastAsia" w:asciiTheme="majorEastAsia" w:hAnsiTheme="majorEastAsia" w:eastAsiaTheme="majorEastAsia"/>
                <w:bCs/>
                <w:color w:val="auto"/>
                <w:sz w:val="21"/>
                <w:szCs w:val="21"/>
              </w:rPr>
              <w:t>系统基础运维</w:t>
            </w:r>
          </w:p>
          <w:p w14:paraId="6F2EF224">
            <w:pPr>
              <w:rPr>
                <w:rFonts w:hint="eastAsia" w:cs="Arial" w:asciiTheme="majorEastAsia" w:hAnsiTheme="majorEastAsia" w:eastAsiaTheme="majorEastAsia"/>
                <w:bCs/>
                <w:color w:val="auto"/>
                <w:sz w:val="21"/>
                <w:szCs w:val="21"/>
              </w:rPr>
            </w:pPr>
            <w:r>
              <w:rPr>
                <w:rFonts w:hint="eastAsia" w:cs="Arial" w:asciiTheme="majorEastAsia" w:hAnsiTheme="majorEastAsia" w:eastAsiaTheme="majorEastAsia"/>
                <w:bCs/>
                <w:color w:val="auto"/>
                <w:sz w:val="21"/>
                <w:szCs w:val="21"/>
              </w:rPr>
              <w:t>1.负责系统服务器、应用程序、数据库的日常巡检、监控与维护，定时检查系统运行状态、服务器负载、数据库连接、接口传输情况，形成标准化巡检记录，及时排查潜在运行隐患。</w:t>
            </w:r>
          </w:p>
          <w:p w14:paraId="739B464E">
            <w:pPr>
              <w:rPr>
                <w:rFonts w:hint="eastAsia" w:cs="Arial" w:asciiTheme="majorEastAsia" w:hAnsiTheme="majorEastAsia" w:eastAsiaTheme="majorEastAsia"/>
                <w:bCs/>
                <w:color w:val="auto"/>
                <w:sz w:val="21"/>
                <w:szCs w:val="21"/>
              </w:rPr>
            </w:pPr>
            <w:r>
              <w:rPr>
                <w:rFonts w:hint="eastAsia" w:cs="Arial" w:asciiTheme="majorEastAsia" w:hAnsiTheme="majorEastAsia" w:eastAsiaTheme="majorEastAsia"/>
                <w:bCs/>
                <w:color w:val="auto"/>
                <w:sz w:val="21"/>
                <w:szCs w:val="21"/>
              </w:rPr>
              <w:t>2.处理系统日常故障，包括但不限于系统无法登录、页面加载异常、功能模块报错、数据同步失败、接口调用故障等，快速定位问题根源并完成修复。</w:t>
            </w:r>
          </w:p>
          <w:p w14:paraId="0E4BC9C5">
            <w:pPr>
              <w:spacing w:line="240" w:lineRule="auto"/>
              <w:jc w:val="left"/>
              <w:rPr>
                <w:rFonts w:hint="eastAsia" w:asciiTheme="majorEastAsia" w:hAnsiTheme="majorEastAsia" w:eastAsiaTheme="majorEastAsia"/>
                <w:bCs/>
                <w:color w:val="auto"/>
                <w:sz w:val="21"/>
                <w:szCs w:val="21"/>
                <w:lang w:val="en-US" w:eastAsia="zh-CN"/>
              </w:rPr>
            </w:pPr>
            <w:r>
              <w:rPr>
                <w:rFonts w:hint="eastAsia" w:cs="Arial" w:asciiTheme="majorEastAsia" w:hAnsiTheme="majorEastAsia" w:eastAsiaTheme="majorEastAsia"/>
                <w:bCs/>
                <w:color w:val="auto"/>
                <w:sz w:val="21"/>
                <w:szCs w:val="21"/>
              </w:rPr>
              <w:t>3.负责系统数据库日常维护，包括数据备份、数据清理、索引优化、日志管理，确保数据存储安全、查询高效，定期进行全量数据备份与恢复测试，杜绝数据丢失。</w:t>
            </w:r>
          </w:p>
        </w:tc>
      </w:tr>
      <w:tr w14:paraId="58A42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2" w:type="pct"/>
            <w:vAlign w:val="center"/>
          </w:tcPr>
          <w:p w14:paraId="0B5B7167">
            <w:pPr>
              <w:pStyle w:val="32"/>
              <w:numPr>
                <w:ilvl w:val="0"/>
                <w:numId w:val="4"/>
              </w:numPr>
              <w:spacing w:line="440" w:lineRule="exact"/>
              <w:ind w:firstLineChars="0"/>
              <w:jc w:val="center"/>
              <w:rPr>
                <w:rFonts w:hint="eastAsia" w:ascii="宋体" w:hAnsi="宋体" w:cs="宋体"/>
                <w:b/>
                <w:bCs/>
                <w:color w:val="auto"/>
                <w:szCs w:val="21"/>
              </w:rPr>
            </w:pPr>
          </w:p>
        </w:tc>
        <w:tc>
          <w:tcPr>
            <w:tcW w:w="4257" w:type="pct"/>
            <w:vAlign w:val="center"/>
          </w:tcPr>
          <w:p w14:paraId="46A4ECD4">
            <w:pPr>
              <w:spacing w:line="240" w:lineRule="auto"/>
              <w:jc w:val="left"/>
              <w:rPr>
                <w:rFonts w:hint="eastAsia" w:asciiTheme="majorEastAsia" w:hAnsiTheme="majorEastAsia" w:eastAsiaTheme="majorEastAsia"/>
                <w:bCs/>
                <w:color w:val="auto"/>
                <w:sz w:val="21"/>
                <w:szCs w:val="21"/>
              </w:rPr>
            </w:pPr>
            <w:r>
              <w:rPr>
                <w:rFonts w:hint="eastAsia" w:asciiTheme="majorEastAsia" w:hAnsiTheme="majorEastAsia" w:eastAsiaTheme="majorEastAsia"/>
                <w:bCs/>
                <w:color w:val="auto"/>
                <w:sz w:val="21"/>
                <w:szCs w:val="21"/>
              </w:rPr>
              <w:t>核心业务模块运维</w:t>
            </w:r>
          </w:p>
          <w:p w14:paraId="07A3E72F">
            <w:pPr>
              <w:rPr>
                <w:rFonts w:hint="eastAsia" w:cs="Arial" w:asciiTheme="majorEastAsia" w:hAnsiTheme="majorEastAsia" w:eastAsiaTheme="majorEastAsia"/>
                <w:bCs/>
                <w:color w:val="auto"/>
                <w:sz w:val="21"/>
                <w:szCs w:val="21"/>
              </w:rPr>
            </w:pPr>
            <w:r>
              <w:rPr>
                <w:rFonts w:hint="eastAsia" w:cs="Arial" w:asciiTheme="majorEastAsia" w:hAnsiTheme="majorEastAsia" w:eastAsiaTheme="majorEastAsia"/>
                <w:bCs/>
                <w:color w:val="auto"/>
                <w:sz w:val="21"/>
                <w:szCs w:val="21"/>
              </w:rPr>
              <w:t>1.药品知识库运维：定期更新药品说明书、配伍禁忌、过敏提醒、特殊人群用药、剂量标准、抗菌药物分级等核心知识库内容，确保知识库与国家最新药品监管信息、临床用药规范同步，更新频率不低于每年4次。</w:t>
            </w:r>
          </w:p>
          <w:p w14:paraId="0C4483E3">
            <w:pPr>
              <w:rPr>
                <w:rFonts w:hint="eastAsia" w:cs="Arial" w:asciiTheme="majorEastAsia" w:hAnsiTheme="majorEastAsia" w:eastAsiaTheme="majorEastAsia"/>
                <w:bCs/>
                <w:color w:val="auto"/>
                <w:sz w:val="21"/>
                <w:szCs w:val="21"/>
              </w:rPr>
            </w:pPr>
            <w:r>
              <w:rPr>
                <w:rFonts w:hint="eastAsia" w:cs="Arial" w:asciiTheme="majorEastAsia" w:hAnsiTheme="majorEastAsia" w:eastAsiaTheme="majorEastAsia"/>
                <w:bCs/>
                <w:color w:val="auto"/>
                <w:sz w:val="21"/>
                <w:szCs w:val="21"/>
              </w:rPr>
              <w:t>2.用药干预模块运维：保障处方/医嘱实时审核、用药风险预警、不合理用药拦截等功能正常运行，优化审核规则，适配临床用药场景，及时处理规则报错、预警失效等问题。</w:t>
            </w:r>
          </w:p>
          <w:p w14:paraId="1ACD2324">
            <w:pPr>
              <w:rPr>
                <w:rFonts w:hint="eastAsia" w:cs="Arial" w:asciiTheme="majorEastAsia" w:hAnsiTheme="majorEastAsia" w:eastAsiaTheme="majorEastAsia"/>
                <w:bCs/>
                <w:color w:val="auto"/>
                <w:sz w:val="21"/>
                <w:szCs w:val="21"/>
              </w:rPr>
            </w:pPr>
            <w:r>
              <w:rPr>
                <w:rFonts w:hint="eastAsia" w:cs="Arial" w:asciiTheme="majorEastAsia" w:hAnsiTheme="majorEastAsia" w:eastAsiaTheme="majorEastAsia"/>
                <w:bCs/>
                <w:color w:val="auto"/>
                <w:sz w:val="21"/>
                <w:szCs w:val="21"/>
              </w:rPr>
              <w:t>3.处方点评：维护处方点评、抗菌药物使用统计、报表生成等功能，保障数据统计精准、报表生成正常，支持医院按需定制药事管理统计报表。</w:t>
            </w:r>
          </w:p>
          <w:p w14:paraId="4CE6FC63">
            <w:pPr>
              <w:spacing w:line="240" w:lineRule="auto"/>
              <w:jc w:val="left"/>
              <w:rPr>
                <w:rFonts w:hint="eastAsia" w:asciiTheme="majorEastAsia" w:hAnsiTheme="majorEastAsia" w:eastAsiaTheme="majorEastAsia"/>
                <w:bCs/>
                <w:color w:val="auto"/>
                <w:sz w:val="21"/>
                <w:szCs w:val="21"/>
                <w:lang w:val="en-US" w:eastAsia="zh-CN"/>
              </w:rPr>
            </w:pPr>
            <w:r>
              <w:rPr>
                <w:rFonts w:hint="eastAsia" w:cs="Arial" w:asciiTheme="majorEastAsia" w:hAnsiTheme="majorEastAsia" w:eastAsiaTheme="majorEastAsia"/>
                <w:bCs/>
                <w:color w:val="auto"/>
                <w:sz w:val="21"/>
                <w:szCs w:val="21"/>
              </w:rPr>
              <w:t>4.系统接口运维：保障系统与HIS系统、电子病历系统等第三方平台接口稳定对接，实现数据实时、准确互通，及时解决接口数据传输异常、对接失败等问题。</w:t>
            </w:r>
          </w:p>
        </w:tc>
      </w:tr>
      <w:tr w14:paraId="776A2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2" w:type="pct"/>
            <w:vAlign w:val="center"/>
          </w:tcPr>
          <w:p w14:paraId="43C2F66A">
            <w:pPr>
              <w:pStyle w:val="32"/>
              <w:numPr>
                <w:ilvl w:val="0"/>
                <w:numId w:val="4"/>
              </w:numPr>
              <w:spacing w:line="440" w:lineRule="exact"/>
              <w:ind w:firstLineChars="0"/>
              <w:jc w:val="center"/>
              <w:rPr>
                <w:rFonts w:hint="eastAsia" w:ascii="宋体" w:hAnsi="宋体" w:cs="宋体"/>
                <w:b/>
                <w:bCs/>
                <w:color w:val="auto"/>
                <w:szCs w:val="21"/>
              </w:rPr>
            </w:pPr>
          </w:p>
        </w:tc>
        <w:tc>
          <w:tcPr>
            <w:tcW w:w="4257" w:type="pct"/>
            <w:vAlign w:val="center"/>
          </w:tcPr>
          <w:p w14:paraId="02F95EDD">
            <w:pPr>
              <w:spacing w:line="240" w:lineRule="auto"/>
              <w:jc w:val="left"/>
              <w:rPr>
                <w:rFonts w:hint="eastAsia" w:asciiTheme="majorEastAsia" w:hAnsiTheme="majorEastAsia" w:eastAsiaTheme="majorEastAsia"/>
                <w:bCs/>
                <w:color w:val="auto"/>
                <w:sz w:val="21"/>
                <w:szCs w:val="21"/>
              </w:rPr>
            </w:pPr>
            <w:r>
              <w:rPr>
                <w:rFonts w:hint="eastAsia" w:asciiTheme="majorEastAsia" w:hAnsiTheme="majorEastAsia" w:eastAsiaTheme="majorEastAsia"/>
                <w:bCs/>
                <w:color w:val="auto"/>
                <w:sz w:val="21"/>
                <w:szCs w:val="21"/>
              </w:rPr>
              <w:t>系统优化与适配服务</w:t>
            </w:r>
          </w:p>
          <w:p w14:paraId="0FB6BE3F">
            <w:pPr>
              <w:rPr>
                <w:rFonts w:hint="eastAsia" w:cs="Arial" w:asciiTheme="majorEastAsia" w:hAnsiTheme="majorEastAsia" w:eastAsiaTheme="majorEastAsia"/>
                <w:bCs/>
                <w:color w:val="auto"/>
                <w:sz w:val="21"/>
                <w:szCs w:val="21"/>
              </w:rPr>
            </w:pPr>
            <w:r>
              <w:rPr>
                <w:rFonts w:hint="eastAsia" w:cs="Arial" w:asciiTheme="majorEastAsia" w:hAnsiTheme="majorEastAsia" w:eastAsiaTheme="majorEastAsia"/>
                <w:bCs/>
                <w:color w:val="auto"/>
                <w:sz w:val="21"/>
                <w:szCs w:val="21"/>
              </w:rPr>
              <w:t>1.根据临床用药业务变化及监管需求，对系统现有功能进行优化调整，提升系统操作便捷性与业务适配性。</w:t>
            </w:r>
          </w:p>
          <w:p w14:paraId="767349CB">
            <w:pPr>
              <w:rPr>
                <w:rFonts w:hint="eastAsia" w:cs="Arial" w:asciiTheme="majorEastAsia" w:hAnsiTheme="majorEastAsia" w:eastAsiaTheme="majorEastAsia"/>
                <w:bCs/>
                <w:color w:val="auto"/>
                <w:sz w:val="21"/>
                <w:szCs w:val="21"/>
              </w:rPr>
            </w:pPr>
            <w:r>
              <w:rPr>
                <w:rFonts w:hint="eastAsia" w:cs="Arial" w:asciiTheme="majorEastAsia" w:hAnsiTheme="majorEastAsia" w:eastAsiaTheme="majorEastAsia"/>
                <w:bCs/>
                <w:color w:val="auto"/>
                <w:sz w:val="21"/>
                <w:szCs w:val="21"/>
              </w:rPr>
              <w:t>2.配合国家、省、市合理用药相关政策更新，完成系统功能适配、流程调整，确保系统符合最新监管要求。</w:t>
            </w:r>
          </w:p>
          <w:p w14:paraId="59DD945D">
            <w:pPr>
              <w:spacing w:line="240" w:lineRule="auto"/>
              <w:jc w:val="left"/>
              <w:rPr>
                <w:rFonts w:hint="eastAsia" w:asciiTheme="majorEastAsia" w:hAnsiTheme="majorEastAsia" w:eastAsiaTheme="majorEastAsia"/>
                <w:bCs/>
                <w:color w:val="auto"/>
                <w:sz w:val="21"/>
                <w:szCs w:val="21"/>
                <w:lang w:val="en-US" w:eastAsia="zh-CN"/>
              </w:rPr>
            </w:pPr>
            <w:r>
              <w:rPr>
                <w:rFonts w:hint="eastAsia" w:cs="Arial" w:asciiTheme="majorEastAsia" w:hAnsiTheme="majorEastAsia" w:eastAsiaTheme="majorEastAsia"/>
                <w:bCs/>
                <w:color w:val="auto"/>
                <w:sz w:val="21"/>
                <w:szCs w:val="21"/>
              </w:rPr>
              <w:t>3.定期对系统进行性能优化，解决系统卡顿、响应缓慢、并发访问故障等问题，保障在线使用流畅。</w:t>
            </w:r>
          </w:p>
        </w:tc>
      </w:tr>
      <w:tr w14:paraId="3FBFE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2" w:type="pct"/>
            <w:vAlign w:val="center"/>
          </w:tcPr>
          <w:p w14:paraId="6F52A84A">
            <w:pPr>
              <w:pStyle w:val="32"/>
              <w:numPr>
                <w:ilvl w:val="0"/>
                <w:numId w:val="4"/>
              </w:numPr>
              <w:spacing w:line="440" w:lineRule="exact"/>
              <w:ind w:firstLineChars="0"/>
              <w:jc w:val="center"/>
              <w:rPr>
                <w:rFonts w:hint="eastAsia" w:ascii="宋体" w:hAnsi="宋体" w:cs="宋体"/>
                <w:b/>
                <w:bCs/>
                <w:color w:val="auto"/>
                <w:szCs w:val="21"/>
              </w:rPr>
            </w:pPr>
          </w:p>
        </w:tc>
        <w:tc>
          <w:tcPr>
            <w:tcW w:w="4257" w:type="pct"/>
            <w:vAlign w:val="center"/>
          </w:tcPr>
          <w:p w14:paraId="1C6ACE02">
            <w:pPr>
              <w:spacing w:line="240" w:lineRule="auto"/>
              <w:jc w:val="left"/>
              <w:rPr>
                <w:rFonts w:hint="eastAsia" w:asciiTheme="majorEastAsia" w:hAnsiTheme="majorEastAsia" w:eastAsiaTheme="majorEastAsia"/>
                <w:bCs/>
                <w:color w:val="auto"/>
                <w:sz w:val="21"/>
                <w:szCs w:val="21"/>
              </w:rPr>
            </w:pPr>
            <w:r>
              <w:rPr>
                <w:rFonts w:hint="eastAsia" w:asciiTheme="majorEastAsia" w:hAnsiTheme="majorEastAsia" w:eastAsiaTheme="majorEastAsia"/>
                <w:bCs/>
                <w:color w:val="auto"/>
                <w:sz w:val="21"/>
                <w:szCs w:val="21"/>
              </w:rPr>
              <w:t>技术支持与培训服务</w:t>
            </w:r>
          </w:p>
          <w:p w14:paraId="4729518D">
            <w:pPr>
              <w:rPr>
                <w:rFonts w:hint="eastAsia" w:cs="Arial" w:asciiTheme="majorEastAsia" w:hAnsiTheme="majorEastAsia" w:eastAsiaTheme="majorEastAsia"/>
                <w:bCs/>
                <w:color w:val="auto"/>
                <w:sz w:val="21"/>
                <w:szCs w:val="21"/>
              </w:rPr>
            </w:pPr>
            <w:r>
              <w:rPr>
                <w:rFonts w:hint="eastAsia" w:cs="Arial" w:asciiTheme="majorEastAsia" w:hAnsiTheme="majorEastAsia" w:eastAsiaTheme="majorEastAsia"/>
                <w:bCs/>
                <w:color w:val="auto"/>
                <w:sz w:val="21"/>
                <w:szCs w:val="21"/>
              </w:rPr>
              <w:t>1.提供7×24小时多渠道技术支持，包括专属运维热线、远程协助、在线客服、现场服务等。</w:t>
            </w:r>
          </w:p>
          <w:p w14:paraId="4B687F41">
            <w:pPr>
              <w:rPr>
                <w:rFonts w:hint="eastAsia" w:cs="Arial" w:asciiTheme="majorEastAsia" w:hAnsiTheme="majorEastAsia" w:eastAsiaTheme="majorEastAsia"/>
                <w:bCs/>
                <w:color w:val="auto"/>
                <w:sz w:val="21"/>
                <w:szCs w:val="21"/>
              </w:rPr>
            </w:pPr>
            <w:r>
              <w:rPr>
                <w:rFonts w:hint="eastAsia" w:cs="Arial" w:asciiTheme="majorEastAsia" w:hAnsiTheme="majorEastAsia" w:eastAsiaTheme="majorEastAsia"/>
                <w:bCs/>
                <w:color w:val="auto"/>
                <w:sz w:val="21"/>
                <w:szCs w:val="21"/>
              </w:rPr>
              <w:t>2.为系统管理人员、药师提供系统操作培训，针对新功能上线、操作难点开展专项培训，同时提供一对一实操指导。</w:t>
            </w:r>
          </w:p>
          <w:p w14:paraId="420FF703">
            <w:pPr>
              <w:spacing w:line="240" w:lineRule="auto"/>
              <w:jc w:val="left"/>
              <w:rPr>
                <w:rFonts w:hint="eastAsia" w:asciiTheme="majorEastAsia" w:hAnsiTheme="majorEastAsia" w:eastAsiaTheme="majorEastAsia"/>
                <w:bCs/>
                <w:color w:val="auto"/>
                <w:sz w:val="21"/>
                <w:szCs w:val="21"/>
                <w:lang w:val="en-US" w:eastAsia="zh-CN"/>
              </w:rPr>
            </w:pPr>
            <w:r>
              <w:rPr>
                <w:rFonts w:hint="eastAsia" w:cs="Arial" w:asciiTheme="majorEastAsia" w:hAnsiTheme="majorEastAsia" w:eastAsiaTheme="majorEastAsia"/>
                <w:bCs/>
                <w:color w:val="auto"/>
                <w:sz w:val="21"/>
                <w:szCs w:val="21"/>
              </w:rPr>
              <w:t>3.结合系统管理人员、药师的需求，提供系统的应用建议及合理用药管理方案支持。</w:t>
            </w:r>
          </w:p>
        </w:tc>
      </w:tr>
      <w:tr w14:paraId="6AE97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2" w:type="pct"/>
            <w:vAlign w:val="center"/>
          </w:tcPr>
          <w:p w14:paraId="11699032">
            <w:pPr>
              <w:pStyle w:val="32"/>
              <w:numPr>
                <w:ilvl w:val="0"/>
                <w:numId w:val="4"/>
              </w:numPr>
              <w:spacing w:line="440" w:lineRule="exact"/>
              <w:ind w:firstLineChars="0"/>
              <w:jc w:val="center"/>
              <w:rPr>
                <w:rFonts w:hint="eastAsia" w:ascii="宋体" w:hAnsi="宋体" w:cs="宋体"/>
                <w:b/>
                <w:bCs/>
                <w:color w:val="auto"/>
                <w:szCs w:val="21"/>
              </w:rPr>
            </w:pPr>
          </w:p>
        </w:tc>
        <w:tc>
          <w:tcPr>
            <w:tcW w:w="4257" w:type="pct"/>
            <w:vAlign w:val="center"/>
          </w:tcPr>
          <w:p w14:paraId="440A20BA">
            <w:pPr>
              <w:spacing w:line="240" w:lineRule="auto"/>
              <w:jc w:val="left"/>
              <w:rPr>
                <w:rFonts w:hint="eastAsia" w:asciiTheme="majorEastAsia" w:hAnsiTheme="majorEastAsia" w:eastAsiaTheme="majorEastAsia"/>
                <w:bCs/>
                <w:color w:val="auto"/>
                <w:sz w:val="21"/>
                <w:szCs w:val="21"/>
              </w:rPr>
            </w:pPr>
            <w:r>
              <w:rPr>
                <w:rFonts w:hint="eastAsia" w:asciiTheme="majorEastAsia" w:hAnsiTheme="majorEastAsia" w:eastAsiaTheme="majorEastAsia"/>
                <w:bCs/>
                <w:color w:val="auto"/>
                <w:sz w:val="21"/>
                <w:szCs w:val="21"/>
              </w:rPr>
              <w:t>数据与网络安全运维</w:t>
            </w:r>
          </w:p>
          <w:p w14:paraId="27F71B18">
            <w:pPr>
              <w:spacing w:line="240" w:lineRule="auto"/>
              <w:jc w:val="left"/>
              <w:rPr>
                <w:rFonts w:hint="eastAsia" w:ascii="Arial" w:hAnsi="Arial" w:cs="Arial"/>
                <w:bCs w:val="0"/>
                <w:i w:val="0"/>
                <w:color w:val="auto"/>
                <w:szCs w:val="24"/>
                <w:lang w:val="en-US" w:eastAsia="zh-CN"/>
              </w:rPr>
            </w:pPr>
            <w:r>
              <w:rPr>
                <w:rFonts w:hint="eastAsia" w:cs="Arial" w:asciiTheme="majorEastAsia" w:hAnsiTheme="majorEastAsia" w:eastAsiaTheme="majorEastAsia"/>
                <w:bCs/>
                <w:color w:val="auto"/>
                <w:sz w:val="21"/>
                <w:szCs w:val="21"/>
              </w:rPr>
              <w:t>1.严格遵守《中华人民共和国网络安全法》《医疗卫生机构网络安全管理办法》等法律法规，落实系统数据安全防护措施，保障患者用药信息、医疗业务数据保密性、完整性。</w:t>
            </w:r>
          </w:p>
        </w:tc>
      </w:tr>
      <w:tr w14:paraId="18053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2" w:type="pct"/>
            <w:vAlign w:val="center"/>
          </w:tcPr>
          <w:p w14:paraId="5F40B1D7">
            <w:pPr>
              <w:pStyle w:val="32"/>
              <w:numPr>
                <w:ilvl w:val="0"/>
                <w:numId w:val="4"/>
              </w:numPr>
              <w:spacing w:line="440" w:lineRule="exact"/>
              <w:ind w:firstLineChars="0"/>
              <w:jc w:val="center"/>
              <w:rPr>
                <w:rFonts w:hint="eastAsia" w:ascii="宋体" w:hAnsi="宋体" w:cs="宋体"/>
                <w:b/>
                <w:bCs/>
                <w:color w:val="auto"/>
                <w:szCs w:val="21"/>
              </w:rPr>
            </w:pPr>
          </w:p>
        </w:tc>
        <w:tc>
          <w:tcPr>
            <w:tcW w:w="4257" w:type="pct"/>
            <w:vAlign w:val="center"/>
          </w:tcPr>
          <w:p w14:paraId="2755CFCB">
            <w:pPr>
              <w:spacing w:line="240" w:lineRule="auto"/>
              <w:jc w:val="left"/>
              <w:rPr>
                <w:rFonts w:hint="eastAsia" w:asciiTheme="majorEastAsia" w:hAnsiTheme="majorEastAsia" w:eastAsiaTheme="majorEastAsia"/>
                <w:bCs/>
                <w:color w:val="auto"/>
                <w:sz w:val="21"/>
                <w:szCs w:val="21"/>
              </w:rPr>
            </w:pPr>
            <w:r>
              <w:rPr>
                <w:rFonts w:hint="eastAsia" w:asciiTheme="majorEastAsia" w:hAnsiTheme="majorEastAsia" w:eastAsiaTheme="majorEastAsia"/>
                <w:bCs/>
                <w:color w:val="auto"/>
                <w:sz w:val="21"/>
                <w:szCs w:val="21"/>
              </w:rPr>
              <w:t>应急保障服务</w:t>
            </w:r>
          </w:p>
          <w:p w14:paraId="434C08AF">
            <w:pPr>
              <w:rPr>
                <w:rFonts w:hint="eastAsia" w:cs="Arial" w:asciiTheme="majorEastAsia" w:hAnsiTheme="majorEastAsia" w:eastAsiaTheme="majorEastAsia"/>
                <w:bCs/>
                <w:color w:val="auto"/>
                <w:sz w:val="21"/>
                <w:szCs w:val="21"/>
              </w:rPr>
            </w:pPr>
            <w:r>
              <w:rPr>
                <w:rFonts w:hint="eastAsia" w:cs="Arial" w:asciiTheme="majorEastAsia" w:hAnsiTheme="majorEastAsia" w:eastAsiaTheme="majorEastAsia"/>
                <w:bCs/>
                <w:color w:val="auto"/>
                <w:sz w:val="21"/>
                <w:szCs w:val="21"/>
              </w:rPr>
              <w:t>1.建立系统应急运维机制，针对系统瘫痪、数据丢失、大规模故障等突发事件，制定专项应急预案，确保应急响应及时、处置高效。</w:t>
            </w:r>
          </w:p>
          <w:p w14:paraId="76A489D6">
            <w:pPr>
              <w:spacing w:line="240" w:lineRule="auto"/>
              <w:jc w:val="left"/>
              <w:rPr>
                <w:rFonts w:hint="eastAsia" w:asciiTheme="majorEastAsia" w:hAnsiTheme="majorEastAsia" w:eastAsiaTheme="majorEastAsia"/>
                <w:bCs/>
                <w:color w:val="auto"/>
                <w:sz w:val="21"/>
                <w:szCs w:val="21"/>
                <w:lang w:val="en-US" w:eastAsia="zh-CN"/>
              </w:rPr>
            </w:pPr>
            <w:r>
              <w:rPr>
                <w:rFonts w:hint="eastAsia" w:cs="Arial" w:asciiTheme="majorEastAsia" w:hAnsiTheme="majorEastAsia" w:eastAsiaTheme="majorEastAsia"/>
                <w:bCs/>
                <w:color w:val="auto"/>
                <w:sz w:val="21"/>
                <w:szCs w:val="21"/>
              </w:rPr>
              <w:t>2.重大节假日、公共卫生应急保障期间，安排专人值守，保障系统稳定运行，快速处置突发故障。</w:t>
            </w:r>
          </w:p>
        </w:tc>
      </w:tr>
      <w:tr w14:paraId="101F3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2" w:type="pct"/>
            <w:vAlign w:val="center"/>
          </w:tcPr>
          <w:p w14:paraId="7CD96EDD">
            <w:pPr>
              <w:pStyle w:val="32"/>
              <w:numPr>
                <w:ilvl w:val="0"/>
                <w:numId w:val="4"/>
              </w:numPr>
              <w:spacing w:line="440" w:lineRule="exact"/>
              <w:ind w:firstLineChars="0"/>
              <w:jc w:val="center"/>
              <w:rPr>
                <w:rFonts w:hint="eastAsia" w:ascii="宋体" w:hAnsi="宋体" w:cs="宋体"/>
                <w:b/>
                <w:bCs/>
                <w:color w:val="auto"/>
                <w:szCs w:val="21"/>
              </w:rPr>
            </w:pPr>
          </w:p>
        </w:tc>
        <w:tc>
          <w:tcPr>
            <w:tcW w:w="4257" w:type="pct"/>
            <w:vAlign w:val="center"/>
          </w:tcPr>
          <w:p w14:paraId="60CB559B">
            <w:pPr>
              <w:spacing w:line="240" w:lineRule="auto"/>
              <w:jc w:val="left"/>
              <w:rPr>
                <w:rFonts w:hint="default" w:ascii="Arial" w:hAnsi="Arial" w:cs="Arial"/>
                <w:bCs w:val="0"/>
                <w:i w:val="0"/>
                <w:color w:val="auto"/>
                <w:szCs w:val="24"/>
                <w:lang w:val="en-US" w:eastAsia="zh-CN"/>
              </w:rPr>
            </w:pPr>
            <w:r>
              <w:rPr>
                <w:rFonts w:hint="eastAsia" w:ascii="Arial" w:hAnsi="Arial" w:cs="Arial"/>
                <w:bCs w:val="0"/>
                <w:i w:val="0"/>
                <w:color w:val="auto"/>
                <w:szCs w:val="24"/>
                <w:lang w:val="en-US" w:eastAsia="zh-CN"/>
              </w:rPr>
              <w:t>提供定期回访服务，询问或了解系统使用过程中的问题和需求，并由相应的售后工程师予以解答。</w:t>
            </w:r>
          </w:p>
        </w:tc>
      </w:tr>
      <w:tr w14:paraId="64212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2" w:type="pct"/>
            <w:vAlign w:val="center"/>
          </w:tcPr>
          <w:p w14:paraId="06BF0EBE">
            <w:pPr>
              <w:pStyle w:val="32"/>
              <w:numPr>
                <w:ilvl w:val="0"/>
                <w:numId w:val="4"/>
              </w:numPr>
              <w:spacing w:line="440" w:lineRule="exact"/>
              <w:ind w:firstLineChars="0"/>
              <w:jc w:val="center"/>
              <w:rPr>
                <w:rFonts w:hint="eastAsia" w:ascii="宋体" w:hAnsi="宋体" w:cs="宋体"/>
                <w:b/>
                <w:bCs/>
                <w:color w:val="auto"/>
                <w:szCs w:val="21"/>
              </w:rPr>
            </w:pPr>
          </w:p>
        </w:tc>
        <w:tc>
          <w:tcPr>
            <w:tcW w:w="4257" w:type="pct"/>
            <w:vAlign w:val="center"/>
          </w:tcPr>
          <w:p w14:paraId="3CA90F80">
            <w:pPr>
              <w:ind w:firstLine="0" w:firstLineChars="0"/>
              <w:jc w:val="left"/>
              <w:rPr>
                <w:rFonts w:hint="eastAsia" w:cs="Arial" w:asciiTheme="majorEastAsia" w:hAnsiTheme="majorEastAsia" w:eastAsiaTheme="majorEastAsia"/>
                <w:bCs/>
                <w:color w:val="auto"/>
                <w:szCs w:val="21"/>
              </w:rPr>
            </w:pPr>
            <w:r>
              <w:rPr>
                <w:rFonts w:hint="eastAsia" w:cs="Arial" w:asciiTheme="majorEastAsia" w:hAnsiTheme="majorEastAsia" w:eastAsiaTheme="majorEastAsia"/>
                <w:bCs/>
                <w:color w:val="auto"/>
                <w:szCs w:val="21"/>
              </w:rPr>
              <w:t>运维人员要求</w:t>
            </w:r>
          </w:p>
          <w:p w14:paraId="12002A64">
            <w:pPr>
              <w:ind w:firstLine="0" w:firstLineChars="0"/>
              <w:jc w:val="left"/>
              <w:rPr>
                <w:rFonts w:hint="eastAsia" w:cs="Arial" w:asciiTheme="majorEastAsia" w:hAnsiTheme="majorEastAsia" w:eastAsiaTheme="majorEastAsia"/>
                <w:bCs/>
                <w:color w:val="auto"/>
                <w:szCs w:val="21"/>
              </w:rPr>
            </w:pPr>
            <w:r>
              <w:rPr>
                <w:rFonts w:hint="eastAsia" w:cs="Arial" w:asciiTheme="majorEastAsia" w:hAnsiTheme="majorEastAsia" w:eastAsiaTheme="majorEastAsia"/>
                <w:bCs/>
                <w:color w:val="auto"/>
                <w:szCs w:val="21"/>
              </w:rPr>
              <w:t>1.指派专属项目负责人及固定运维团队，项目负责人需具备 3 年以上医疗信息化系统运维管理经验，熟悉合理用药业务流程及相关政策规范。</w:t>
            </w:r>
          </w:p>
          <w:p w14:paraId="2B107328">
            <w:pPr>
              <w:rPr>
                <w:color w:val="auto"/>
              </w:rPr>
            </w:pPr>
          </w:p>
          <w:p w14:paraId="3E215392">
            <w:pPr>
              <w:ind w:firstLine="0" w:firstLineChars="0"/>
              <w:jc w:val="left"/>
              <w:rPr>
                <w:rFonts w:hint="eastAsia" w:cs="Arial" w:asciiTheme="majorEastAsia" w:hAnsiTheme="majorEastAsia" w:eastAsiaTheme="majorEastAsia"/>
                <w:bCs/>
                <w:color w:val="auto"/>
                <w:szCs w:val="21"/>
              </w:rPr>
            </w:pPr>
            <w:r>
              <w:rPr>
                <w:rFonts w:hint="eastAsia" w:cs="Arial" w:asciiTheme="majorEastAsia" w:hAnsiTheme="majorEastAsia" w:eastAsiaTheme="majorEastAsia"/>
                <w:bCs/>
                <w:color w:val="auto"/>
                <w:szCs w:val="21"/>
                <w:lang w:val="en-US" w:eastAsia="zh-CN"/>
              </w:rPr>
              <w:t>2</w:t>
            </w:r>
            <w:r>
              <w:rPr>
                <w:rFonts w:hint="eastAsia" w:cs="Arial" w:asciiTheme="majorEastAsia" w:hAnsiTheme="majorEastAsia" w:eastAsiaTheme="majorEastAsia"/>
                <w:bCs/>
                <w:color w:val="auto"/>
                <w:szCs w:val="21"/>
              </w:rPr>
              <w:t>.运维人员需严格遵守医疗卫生机构管理规定，保守医疗数据秘密，不得泄露任何业务数据与患者信息。</w:t>
            </w:r>
          </w:p>
          <w:p w14:paraId="07D692DE">
            <w:pPr>
              <w:spacing w:line="240" w:lineRule="auto"/>
              <w:jc w:val="left"/>
              <w:rPr>
                <w:rFonts w:hint="default" w:ascii="Arial" w:hAnsi="Arial" w:cs="Arial"/>
                <w:bCs w:val="0"/>
                <w:i w:val="0"/>
                <w:color w:val="auto"/>
                <w:szCs w:val="24"/>
                <w:lang w:val="en-US" w:eastAsia="zh-CN"/>
              </w:rPr>
            </w:pPr>
            <w:r>
              <w:rPr>
                <w:rFonts w:hint="eastAsia" w:cs="Arial" w:asciiTheme="majorEastAsia" w:hAnsiTheme="majorEastAsia" w:eastAsiaTheme="majorEastAsia"/>
                <w:bCs/>
                <w:color w:val="auto"/>
                <w:szCs w:val="21"/>
                <w:lang w:val="en-US" w:eastAsia="zh-CN"/>
              </w:rPr>
              <w:t>3.</w:t>
            </w:r>
            <w:r>
              <w:rPr>
                <w:rFonts w:hint="eastAsia" w:ascii="Arial" w:hAnsi="Arial" w:cs="Arial"/>
                <w:bCs w:val="0"/>
                <w:i w:val="0"/>
                <w:color w:val="auto"/>
                <w:szCs w:val="24"/>
                <w:lang w:val="en-US" w:eastAsia="zh-CN"/>
              </w:rPr>
              <w:t>提供售后人员的清单和联系方式。</w:t>
            </w:r>
          </w:p>
        </w:tc>
      </w:tr>
      <w:tr w14:paraId="1F4A3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2" w:type="pct"/>
            <w:vAlign w:val="center"/>
          </w:tcPr>
          <w:p w14:paraId="5201256B">
            <w:pPr>
              <w:pStyle w:val="32"/>
              <w:numPr>
                <w:ilvl w:val="0"/>
                <w:numId w:val="4"/>
              </w:numPr>
              <w:spacing w:line="440" w:lineRule="exact"/>
              <w:ind w:firstLineChars="0"/>
              <w:jc w:val="center"/>
              <w:rPr>
                <w:rFonts w:hint="eastAsia" w:ascii="宋体" w:hAnsi="宋体" w:cs="宋体"/>
                <w:b/>
                <w:bCs/>
                <w:color w:val="auto"/>
                <w:szCs w:val="21"/>
              </w:rPr>
            </w:pPr>
          </w:p>
        </w:tc>
        <w:tc>
          <w:tcPr>
            <w:tcW w:w="4257" w:type="pct"/>
            <w:vAlign w:val="center"/>
          </w:tcPr>
          <w:p w14:paraId="1378F849">
            <w:pPr>
              <w:ind w:firstLine="0" w:firstLineChars="0"/>
              <w:jc w:val="left"/>
              <w:rPr>
                <w:rFonts w:hint="eastAsia" w:cs="Arial" w:asciiTheme="majorEastAsia" w:hAnsiTheme="majorEastAsia" w:eastAsiaTheme="majorEastAsia"/>
                <w:bCs/>
                <w:color w:val="auto"/>
                <w:szCs w:val="21"/>
              </w:rPr>
            </w:pPr>
            <w:r>
              <w:rPr>
                <w:rFonts w:hint="eastAsia" w:cs="Arial" w:asciiTheme="majorEastAsia" w:hAnsiTheme="majorEastAsia" w:eastAsiaTheme="majorEastAsia"/>
                <w:bCs/>
                <w:color w:val="auto"/>
                <w:szCs w:val="21"/>
              </w:rPr>
              <w:t>其他要求：</w:t>
            </w:r>
          </w:p>
          <w:p w14:paraId="5725FE70">
            <w:pPr>
              <w:spacing w:line="240" w:lineRule="auto"/>
              <w:jc w:val="left"/>
              <w:rPr>
                <w:rFonts w:hint="eastAsia" w:cs="Arial" w:asciiTheme="majorEastAsia" w:hAnsiTheme="majorEastAsia" w:eastAsiaTheme="majorEastAsia"/>
                <w:bCs/>
                <w:color w:val="auto"/>
                <w:szCs w:val="21"/>
                <w:lang w:val="en-US" w:eastAsia="zh-CN"/>
              </w:rPr>
            </w:pPr>
            <w:r>
              <w:rPr>
                <w:rFonts w:hint="eastAsia" w:cs="Arial" w:asciiTheme="majorEastAsia" w:hAnsiTheme="majorEastAsia" w:eastAsiaTheme="majorEastAsia"/>
                <w:bCs/>
                <w:color w:val="auto"/>
                <w:szCs w:val="21"/>
              </w:rPr>
              <w:t>1.未经</w:t>
            </w:r>
            <w:r>
              <w:rPr>
                <w:rFonts w:hint="eastAsia" w:cs="Arial" w:asciiTheme="majorEastAsia" w:hAnsiTheme="majorEastAsia" w:eastAsiaTheme="majorEastAsia"/>
                <w:bCs/>
                <w:color w:val="auto"/>
                <w:szCs w:val="21"/>
                <w:lang w:val="en-US" w:eastAsia="zh-CN"/>
              </w:rPr>
              <w:t>医院</w:t>
            </w:r>
            <w:r>
              <w:rPr>
                <w:rFonts w:hint="eastAsia" w:cs="Arial" w:asciiTheme="majorEastAsia" w:hAnsiTheme="majorEastAsia" w:eastAsiaTheme="majorEastAsia"/>
                <w:bCs/>
                <w:color w:val="auto"/>
                <w:szCs w:val="21"/>
              </w:rPr>
              <w:t>书面同意，承接方不得擅自更改系统配置、转移系统数据、委托第三方提供运维服务。</w:t>
            </w:r>
          </w:p>
        </w:tc>
      </w:tr>
    </w:tbl>
    <w:p w14:paraId="34401B11">
      <w:pPr>
        <w:pStyle w:val="2"/>
        <w:numPr>
          <w:ilvl w:val="0"/>
          <w:numId w:val="2"/>
        </w:numPr>
        <w:tabs>
          <w:tab w:val="left" w:pos="720"/>
          <w:tab w:val="left" w:pos="1980"/>
        </w:tabs>
        <w:spacing w:line="440" w:lineRule="exact"/>
        <w:rPr>
          <w:rFonts w:hint="eastAsia" w:hAnsi="宋体" w:cs="宋体"/>
          <w:color w:val="auto"/>
          <w:sz w:val="21"/>
          <w:szCs w:val="21"/>
        </w:rPr>
      </w:pPr>
      <w:r>
        <w:rPr>
          <w:rFonts w:hint="eastAsia" w:hAnsi="宋体" w:cs="宋体"/>
          <w:color w:val="auto"/>
          <w:sz w:val="21"/>
          <w:szCs w:val="21"/>
        </w:rPr>
        <w:t>项目实施与验收</w:t>
      </w:r>
    </w:p>
    <w:p w14:paraId="652E725A">
      <w:pPr>
        <w:pStyle w:val="32"/>
        <w:numPr>
          <w:ilvl w:val="0"/>
          <w:numId w:val="5"/>
        </w:numPr>
        <w:spacing w:line="360" w:lineRule="auto"/>
        <w:ind w:firstLineChars="0"/>
        <w:outlineLvl w:val="1"/>
        <w:rPr>
          <w:rFonts w:hint="eastAsia" w:ascii="宋体" w:hAnsi="宋体" w:cs="宋体"/>
          <w:b/>
          <w:strike w:val="0"/>
          <w:color w:val="auto"/>
          <w:szCs w:val="21"/>
        </w:rPr>
      </w:pPr>
      <w:bookmarkStart w:id="2" w:name="_Toc74682240"/>
      <w:bookmarkStart w:id="3" w:name="_Toc449000764"/>
      <w:r>
        <w:rPr>
          <w:rFonts w:ascii="宋体" w:hAnsi="宋体" w:cs="宋体"/>
          <w:b/>
          <w:strike w:val="0"/>
          <w:color w:val="auto"/>
          <w:szCs w:val="21"/>
        </w:rPr>
        <w:t>项目实施要求</w:t>
      </w:r>
      <w:bookmarkEnd w:id="2"/>
      <w:bookmarkEnd w:id="3"/>
    </w:p>
    <w:p w14:paraId="2F4B487A">
      <w:pPr>
        <w:numPr>
          <w:ilvl w:val="0"/>
          <w:numId w:val="6"/>
        </w:numPr>
        <w:spacing w:line="360" w:lineRule="auto"/>
        <w:rPr>
          <w:strike w:val="0"/>
          <w:color w:val="auto"/>
          <w:highlight w:val="none"/>
        </w:rPr>
      </w:pPr>
      <w:r>
        <w:rPr>
          <w:strike w:val="0"/>
          <w:color w:val="auto"/>
        </w:rPr>
        <w:t>投标</w:t>
      </w:r>
      <w:r>
        <w:rPr>
          <w:rFonts w:hint="eastAsia"/>
          <w:strike w:val="0"/>
          <w:color w:val="auto"/>
        </w:rPr>
        <w:t>人</w:t>
      </w:r>
      <w:r>
        <w:rPr>
          <w:strike w:val="0"/>
          <w:color w:val="auto"/>
        </w:rPr>
        <w:t>需要根据项目</w:t>
      </w:r>
      <w:r>
        <w:rPr>
          <w:rFonts w:hint="eastAsia"/>
          <w:strike w:val="0"/>
          <w:color w:val="auto"/>
          <w:highlight w:val="none"/>
          <w:lang w:val="en-US" w:eastAsia="zh-CN"/>
        </w:rPr>
        <w:t>服务</w:t>
      </w:r>
      <w:r>
        <w:rPr>
          <w:strike w:val="0"/>
          <w:color w:val="auto"/>
        </w:rPr>
        <w:t>内容和进度需要</w:t>
      </w:r>
      <w:r>
        <w:rPr>
          <w:strike w:val="0"/>
          <w:color w:val="auto"/>
          <w:highlight w:val="none"/>
        </w:rPr>
        <w:t>，</w:t>
      </w:r>
      <w:r>
        <w:rPr>
          <w:rFonts w:hint="eastAsia"/>
          <w:strike w:val="0"/>
          <w:color w:val="auto"/>
          <w:highlight w:val="none"/>
          <w:u w:val="single"/>
        </w:rPr>
        <w:t>安排</w:t>
      </w:r>
      <w:r>
        <w:rPr>
          <w:strike w:val="0"/>
          <w:color w:val="auto"/>
          <w:highlight w:val="none"/>
        </w:rPr>
        <w:t>具有一定资质能力水平的成员组成项目小组对系统进行实施及服务。</w:t>
      </w:r>
    </w:p>
    <w:p w14:paraId="7B197BAC">
      <w:pPr>
        <w:pStyle w:val="32"/>
        <w:numPr>
          <w:ilvl w:val="0"/>
          <w:numId w:val="5"/>
        </w:numPr>
        <w:spacing w:line="360" w:lineRule="auto"/>
        <w:ind w:firstLineChars="0"/>
        <w:outlineLvl w:val="1"/>
        <w:rPr>
          <w:rFonts w:hint="eastAsia" w:ascii="宋体" w:hAnsi="宋体" w:cs="宋体"/>
          <w:b/>
          <w:strike w:val="0"/>
          <w:color w:val="auto"/>
          <w:szCs w:val="21"/>
        </w:rPr>
      </w:pPr>
      <w:bookmarkStart w:id="4" w:name="_Toc449000765"/>
      <w:bookmarkStart w:id="5" w:name="_Toc74682242"/>
      <w:bookmarkStart w:id="6" w:name="_Toc24571258"/>
      <w:bookmarkStart w:id="7" w:name="_Toc12410"/>
      <w:bookmarkStart w:id="8" w:name="_Toc5054"/>
      <w:bookmarkStart w:id="9" w:name="_Toc74682241"/>
      <w:bookmarkStart w:id="10" w:name="_Toc38032939"/>
      <w:r>
        <w:rPr>
          <w:rFonts w:ascii="宋体" w:hAnsi="宋体" w:cs="宋体"/>
          <w:b/>
          <w:strike w:val="0"/>
          <w:color w:val="auto"/>
          <w:szCs w:val="21"/>
        </w:rPr>
        <w:t>培训要求</w:t>
      </w:r>
      <w:bookmarkEnd w:id="4"/>
      <w:bookmarkEnd w:id="5"/>
    </w:p>
    <w:p w14:paraId="4C926AD7">
      <w:pPr>
        <w:numPr>
          <w:ilvl w:val="0"/>
          <w:numId w:val="7"/>
        </w:numPr>
        <w:spacing w:line="360" w:lineRule="auto"/>
        <w:rPr>
          <w:strike w:val="0"/>
          <w:color w:val="auto"/>
        </w:rPr>
      </w:pPr>
      <w:r>
        <w:rPr>
          <w:strike w:val="0"/>
          <w:color w:val="auto"/>
        </w:rPr>
        <w:t>投标人须在采购人指定的地点提供操作及维护培训，投标人须在投标文件中提供详细的培训计划，包括培训内容、培训时间等。</w:t>
      </w:r>
    </w:p>
    <w:p w14:paraId="29417440">
      <w:pPr>
        <w:numPr>
          <w:ilvl w:val="0"/>
          <w:numId w:val="7"/>
        </w:numPr>
        <w:spacing w:line="360" w:lineRule="auto"/>
        <w:rPr>
          <w:strike w:val="0"/>
          <w:color w:val="auto"/>
        </w:rPr>
      </w:pPr>
      <w:r>
        <w:rPr>
          <w:strike w:val="0"/>
          <w:color w:val="auto"/>
        </w:rPr>
        <w:t>投标人提供的负责培训的人员应具有3年以上的相关应用系统</w:t>
      </w:r>
      <w:r>
        <w:rPr>
          <w:rFonts w:hint="eastAsia"/>
          <w:strike w:val="0"/>
          <w:color w:val="auto"/>
        </w:rPr>
        <w:t>实施或产品负责</w:t>
      </w:r>
      <w:r>
        <w:rPr>
          <w:strike w:val="0"/>
          <w:color w:val="auto"/>
        </w:rPr>
        <w:t>经验。</w:t>
      </w:r>
    </w:p>
    <w:p w14:paraId="73EB2CFF">
      <w:pPr>
        <w:numPr>
          <w:ilvl w:val="0"/>
          <w:numId w:val="7"/>
        </w:numPr>
        <w:spacing w:line="360" w:lineRule="auto"/>
        <w:rPr>
          <w:rFonts w:hint="eastAsia" w:hAnsi="宋体" w:cs="宋体"/>
          <w:strike w:val="0"/>
          <w:color w:val="auto"/>
          <w:szCs w:val="21"/>
        </w:rPr>
      </w:pPr>
      <w:r>
        <w:rPr>
          <w:strike w:val="0"/>
          <w:color w:val="auto"/>
        </w:rPr>
        <w:t>技术培训费用应包含在投标总价中。</w:t>
      </w:r>
    </w:p>
    <w:p w14:paraId="7A5DD7F3">
      <w:pPr>
        <w:pStyle w:val="32"/>
        <w:numPr>
          <w:ilvl w:val="0"/>
          <w:numId w:val="5"/>
        </w:numPr>
        <w:spacing w:line="360" w:lineRule="auto"/>
        <w:ind w:firstLineChars="0"/>
        <w:outlineLvl w:val="1"/>
        <w:rPr>
          <w:rFonts w:hint="eastAsia" w:ascii="宋体" w:hAnsi="宋体" w:cs="宋体"/>
          <w:b/>
          <w:color w:val="auto"/>
          <w:szCs w:val="21"/>
        </w:rPr>
      </w:pPr>
      <w:r>
        <w:rPr>
          <w:rFonts w:ascii="宋体" w:hAnsi="宋体" w:cs="宋体"/>
          <w:b/>
          <w:color w:val="auto"/>
          <w:szCs w:val="21"/>
        </w:rPr>
        <w:t>验收要求</w:t>
      </w:r>
      <w:bookmarkEnd w:id="6"/>
      <w:bookmarkEnd w:id="7"/>
      <w:bookmarkEnd w:id="8"/>
      <w:bookmarkEnd w:id="9"/>
      <w:bookmarkEnd w:id="10"/>
    </w:p>
    <w:p w14:paraId="1990A59B">
      <w:pPr>
        <w:numPr>
          <w:ilvl w:val="0"/>
          <w:numId w:val="8"/>
        </w:numPr>
        <w:spacing w:line="360" w:lineRule="auto"/>
        <w:rPr>
          <w:color w:val="auto"/>
          <w:highlight w:val="none"/>
        </w:rPr>
      </w:pPr>
      <w:r>
        <w:rPr>
          <w:rFonts w:hint="eastAsia"/>
          <w:color w:val="auto"/>
          <w:highlight w:val="none"/>
        </w:rPr>
        <w:t>项目完成</w:t>
      </w:r>
      <w:r>
        <w:rPr>
          <w:rFonts w:hint="eastAsia"/>
          <w:color w:val="auto"/>
          <w:highlight w:val="none"/>
          <w:u w:val="single"/>
        </w:rPr>
        <w:t>半年维保服务</w:t>
      </w:r>
      <w:r>
        <w:rPr>
          <w:rFonts w:hint="eastAsia"/>
          <w:color w:val="auto"/>
          <w:highlight w:val="none"/>
        </w:rPr>
        <w:t>，</w:t>
      </w:r>
      <w:r>
        <w:rPr>
          <w:color w:val="auto"/>
          <w:highlight w:val="none"/>
        </w:rPr>
        <w:t>中标人</w:t>
      </w:r>
      <w:r>
        <w:rPr>
          <w:rFonts w:hint="eastAsia"/>
          <w:color w:val="auto"/>
          <w:highlight w:val="none"/>
        </w:rPr>
        <w:t>可</w:t>
      </w:r>
      <w:r>
        <w:rPr>
          <w:color w:val="auto"/>
          <w:highlight w:val="none"/>
        </w:rPr>
        <w:t>提出</w:t>
      </w:r>
      <w:r>
        <w:rPr>
          <w:rFonts w:hint="eastAsia"/>
          <w:color w:val="auto"/>
          <w:highlight w:val="none"/>
        </w:rPr>
        <w:t>初步验收</w:t>
      </w:r>
      <w:r>
        <w:rPr>
          <w:color w:val="auto"/>
          <w:highlight w:val="none"/>
        </w:rPr>
        <w:t>申请</w:t>
      </w:r>
      <w:r>
        <w:rPr>
          <w:rFonts w:hint="eastAsia"/>
          <w:color w:val="auto"/>
          <w:highlight w:val="none"/>
        </w:rPr>
        <w:t>，初验通过后进入系统试运行。</w:t>
      </w:r>
    </w:p>
    <w:p w14:paraId="02B0C594">
      <w:pPr>
        <w:numPr>
          <w:ilvl w:val="0"/>
          <w:numId w:val="8"/>
        </w:numPr>
        <w:spacing w:line="360" w:lineRule="auto"/>
        <w:rPr>
          <w:strike w:val="0"/>
          <w:color w:val="auto"/>
          <w:highlight w:val="none"/>
        </w:rPr>
      </w:pPr>
      <w:r>
        <w:rPr>
          <w:rFonts w:hint="eastAsia"/>
          <w:strike w:val="0"/>
          <w:color w:val="auto"/>
          <w:highlight w:val="none"/>
          <w:u w:val="single"/>
        </w:rPr>
        <w:t>完成项目包括维保服务在内的全部内容后</w:t>
      </w:r>
      <w:r>
        <w:rPr>
          <w:rFonts w:hint="eastAsia"/>
          <w:strike w:val="0"/>
          <w:color w:val="auto"/>
          <w:highlight w:val="none"/>
        </w:rPr>
        <w:t>，投标人可提出最终验收申请，由</w:t>
      </w:r>
      <w:r>
        <w:rPr>
          <w:strike w:val="0"/>
          <w:color w:val="auto"/>
          <w:highlight w:val="none"/>
        </w:rPr>
        <w:t>招标人组织验收。</w:t>
      </w:r>
    </w:p>
    <w:p w14:paraId="41AA61A3">
      <w:pPr>
        <w:numPr>
          <w:ilvl w:val="0"/>
          <w:numId w:val="8"/>
        </w:numPr>
        <w:spacing w:line="360" w:lineRule="auto"/>
        <w:rPr>
          <w:strike w:val="0"/>
          <w:color w:val="auto"/>
          <w:highlight w:val="none"/>
        </w:rPr>
      </w:pPr>
      <w:r>
        <w:rPr>
          <w:strike w:val="0"/>
          <w:color w:val="auto"/>
          <w:highlight w:val="none"/>
        </w:rPr>
        <w:t>验收</w:t>
      </w:r>
      <w:r>
        <w:rPr>
          <w:rFonts w:hint="eastAsia"/>
          <w:strike w:val="0"/>
          <w:color w:val="auto"/>
          <w:highlight w:val="none"/>
        </w:rPr>
        <w:t>时，需提供相关材料，包括</w:t>
      </w:r>
      <w:r>
        <w:rPr>
          <w:rFonts w:hint="eastAsia"/>
          <w:color w:val="auto"/>
          <w:highlight w:val="none"/>
          <w:lang w:val="en-US" w:eastAsia="zh-CN"/>
        </w:rPr>
        <w:t>服务记录、知识库更新记录</w:t>
      </w:r>
      <w:r>
        <w:rPr>
          <w:rFonts w:hint="eastAsia"/>
          <w:strike w:val="0"/>
          <w:color w:val="auto"/>
          <w:highlight w:val="none"/>
        </w:rPr>
        <w:t>等相关文档，验收费用由投标人承担</w:t>
      </w:r>
      <w:r>
        <w:rPr>
          <w:rFonts w:hint="eastAsia"/>
          <w:strike w:val="0"/>
          <w:color w:val="auto"/>
          <w:highlight w:val="none"/>
          <w:lang w:eastAsia="zh-CN"/>
        </w:rPr>
        <w:t>。</w:t>
      </w:r>
    </w:p>
    <w:p w14:paraId="3C4AFA76">
      <w:pPr>
        <w:pStyle w:val="2"/>
        <w:numPr>
          <w:ilvl w:val="0"/>
          <w:numId w:val="2"/>
        </w:numPr>
        <w:tabs>
          <w:tab w:val="left" w:pos="720"/>
          <w:tab w:val="left" w:pos="1980"/>
        </w:tabs>
        <w:spacing w:line="440" w:lineRule="exact"/>
        <w:rPr>
          <w:rFonts w:hint="eastAsia" w:hAnsi="宋体" w:cs="宋体"/>
          <w:color w:val="auto"/>
          <w:sz w:val="21"/>
          <w:szCs w:val="21"/>
        </w:rPr>
      </w:pPr>
      <w:r>
        <w:rPr>
          <w:rFonts w:hint="eastAsia" w:hAnsi="宋体" w:cs="宋体"/>
          <w:color w:val="auto"/>
          <w:sz w:val="21"/>
          <w:szCs w:val="21"/>
        </w:rPr>
        <w:t>售后服务</w:t>
      </w:r>
    </w:p>
    <w:p w14:paraId="6F92ACD6">
      <w:pPr>
        <w:numPr>
          <w:ilvl w:val="0"/>
          <w:numId w:val="9"/>
        </w:numPr>
        <w:spacing w:line="360" w:lineRule="auto"/>
        <w:rPr>
          <w:rFonts w:hint="eastAsia" w:ascii="宋体" w:hAnsi="宋体" w:cs="宋体"/>
          <w:bCs/>
          <w:color w:val="auto"/>
          <w:szCs w:val="21"/>
        </w:rPr>
      </w:pPr>
      <w:r>
        <w:rPr>
          <w:rFonts w:hint="eastAsia"/>
          <w:color w:val="auto"/>
        </w:rPr>
        <w:t>项目终验通过后，升级改造部分提供一</w:t>
      </w:r>
      <w:r>
        <w:rPr>
          <w:rFonts w:hint="eastAsia" w:ascii="宋体" w:hAnsi="宋体" w:cs="宋体"/>
          <w:bCs/>
          <w:color w:val="auto"/>
          <w:szCs w:val="21"/>
        </w:rPr>
        <w:t>年质保，</w:t>
      </w:r>
      <w:r>
        <w:rPr>
          <w:rFonts w:hint="eastAsia"/>
          <w:color w:val="auto"/>
        </w:rPr>
        <w:t>质保期内对于用户提出的改善体验、可靠性、安全性的需求，提供免费开发升级服务。</w:t>
      </w:r>
    </w:p>
    <w:p w14:paraId="3CFA8789">
      <w:pPr>
        <w:numPr>
          <w:ilvl w:val="0"/>
          <w:numId w:val="9"/>
        </w:numPr>
        <w:spacing w:line="360" w:lineRule="auto"/>
        <w:rPr>
          <w:rFonts w:hint="eastAsia" w:ascii="宋体" w:hAnsi="宋体" w:cs="宋体"/>
          <w:bCs/>
          <w:color w:val="auto"/>
          <w:szCs w:val="21"/>
        </w:rPr>
      </w:pPr>
      <w:r>
        <w:rPr>
          <w:rFonts w:hint="eastAsia" w:ascii="宋体" w:hAnsi="宋体" w:cs="宋体"/>
          <w:bCs/>
          <w:color w:val="auto"/>
          <w:szCs w:val="21"/>
        </w:rPr>
        <w:t>项目软件系统维保服务期间，提供1人专职负责信息系统运行保障，含所有投标内容软硬件的维护。</w:t>
      </w:r>
    </w:p>
    <w:p w14:paraId="558E17BC">
      <w:pPr>
        <w:numPr>
          <w:ilvl w:val="0"/>
          <w:numId w:val="9"/>
        </w:numPr>
        <w:spacing w:line="360" w:lineRule="auto"/>
        <w:rPr>
          <w:color w:val="auto"/>
        </w:rPr>
      </w:pPr>
      <w:r>
        <w:rPr>
          <w:rFonts w:ascii="Segoe UI" w:hAnsi="Segoe UI" w:eastAsia="Segoe UI" w:cs="Segoe UI"/>
          <w:i w:val="0"/>
          <w:iCs w:val="0"/>
          <w:caps w:val="0"/>
          <w:spacing w:val="4"/>
          <w:sz w:val="21"/>
          <w:szCs w:val="21"/>
          <w:shd w:val="clear" w:fill="FFFFFF"/>
        </w:rPr>
        <w:t>因系统本身缺陷造成各种故障，</w:t>
      </w:r>
      <w:r>
        <w:rPr>
          <w:rFonts w:hint="default" w:ascii="Segoe UI" w:hAnsi="Segoe UI" w:eastAsia="Segoe UI" w:cs="Segoe UI"/>
          <w:i w:val="0"/>
          <w:iCs w:val="0"/>
          <w:caps w:val="0"/>
          <w:spacing w:val="4"/>
          <w:sz w:val="21"/>
          <w:szCs w:val="21"/>
          <w:shd w:val="clear" w:fill="FFFFFF"/>
        </w:rPr>
        <w:t>应由</w:t>
      </w:r>
      <w:r>
        <w:rPr>
          <w:color w:val="auto"/>
          <w:highlight w:val="none"/>
        </w:rPr>
        <w:t>中标人</w:t>
      </w:r>
      <w:r>
        <w:rPr>
          <w:rFonts w:hint="default" w:ascii="Segoe UI" w:hAnsi="Segoe UI" w:eastAsia="Segoe UI" w:cs="Segoe UI"/>
          <w:i w:val="0"/>
          <w:iCs w:val="0"/>
          <w:caps w:val="0"/>
          <w:spacing w:val="4"/>
          <w:sz w:val="21"/>
          <w:szCs w:val="21"/>
          <w:shd w:val="clear" w:fill="FFFFFF"/>
        </w:rPr>
        <w:t>提供免费技术服务和维修</w:t>
      </w:r>
      <w:r>
        <w:rPr>
          <w:rFonts w:hint="eastAsia"/>
          <w:color w:val="auto"/>
        </w:rPr>
        <w:t>，包括质保期外发生的情况。</w:t>
      </w:r>
    </w:p>
    <w:p w14:paraId="55CBBCED">
      <w:pPr>
        <w:numPr>
          <w:ilvl w:val="0"/>
          <w:numId w:val="9"/>
        </w:numPr>
        <w:spacing w:line="360" w:lineRule="auto"/>
        <w:rPr>
          <w:color w:val="auto"/>
        </w:rPr>
      </w:pPr>
      <w:r>
        <w:rPr>
          <w:rFonts w:hint="eastAsia"/>
          <w:color w:val="auto"/>
        </w:rPr>
        <w:t>无力承担售后服务或响应不及时的情况下，医院可向投标方索取软件源代码，投标方应无偿提供。</w:t>
      </w:r>
    </w:p>
    <w:p w14:paraId="4DAA4B9B">
      <w:pPr>
        <w:numPr>
          <w:ilvl w:val="0"/>
          <w:numId w:val="9"/>
        </w:numPr>
        <w:spacing w:line="360" w:lineRule="auto"/>
        <w:rPr>
          <w:color w:val="auto"/>
        </w:rPr>
      </w:pPr>
      <w:r>
        <w:rPr>
          <w:rFonts w:hint="eastAsia"/>
          <w:color w:val="auto"/>
        </w:rPr>
        <w:t>投标人须保证所提供产品符合国家有关规定。投标人须保证所提供产品具有合法的版权或使用权，本项目采购的产品，如在本项目范围内使用过程中出现版权或使用权纠纷，应由中标人负责，采购人不承担责任。</w:t>
      </w:r>
    </w:p>
    <w:p w14:paraId="2181C2CD">
      <w:pPr>
        <w:numPr>
          <w:ilvl w:val="0"/>
          <w:numId w:val="9"/>
        </w:numPr>
        <w:spacing w:line="360" w:lineRule="auto"/>
        <w:rPr>
          <w:color w:val="auto"/>
        </w:rPr>
      </w:pPr>
      <w:r>
        <w:rPr>
          <w:rFonts w:hint="eastAsia"/>
          <w:color w:val="auto"/>
        </w:rPr>
        <w:t>投标人必须保证解决项目所涉及的技术问题，如因技术原因无法满足采购人需求，由此产生的风险由投标人承担。</w:t>
      </w:r>
    </w:p>
    <w:p w14:paraId="38D36996">
      <w:pPr>
        <w:numPr>
          <w:ilvl w:val="0"/>
          <w:numId w:val="9"/>
        </w:numPr>
        <w:spacing w:line="360" w:lineRule="auto"/>
        <w:rPr>
          <w:color w:val="auto"/>
        </w:rPr>
      </w:pPr>
      <w:r>
        <w:rPr>
          <w:rFonts w:hint="eastAsia"/>
          <w:color w:val="auto"/>
        </w:rPr>
        <w:t>在</w:t>
      </w:r>
      <w:r>
        <w:rPr>
          <w:rFonts w:hint="eastAsia"/>
          <w:color w:val="auto"/>
          <w:lang w:eastAsia="zh-CN"/>
        </w:rPr>
        <w:t>项目</w:t>
      </w:r>
      <w:r>
        <w:rPr>
          <w:rFonts w:hint="eastAsia"/>
          <w:color w:val="auto"/>
        </w:rPr>
        <w:t>维保期间内，若承接方在服务过程中发生以下行为，经院方确认后，每次根据标准进行扣罚：</w:t>
      </w:r>
    </w:p>
    <w:p w14:paraId="4A103AF7">
      <w:pPr>
        <w:numPr>
          <w:ilvl w:val="0"/>
          <w:numId w:val="10"/>
        </w:numPr>
        <w:spacing w:line="360" w:lineRule="auto"/>
        <w:rPr>
          <w:color w:val="auto"/>
        </w:rPr>
      </w:pPr>
      <w:r>
        <w:rPr>
          <w:rFonts w:hint="eastAsia"/>
          <w:color w:val="auto"/>
        </w:rPr>
        <w:t>遇到</w:t>
      </w:r>
      <w:r>
        <w:rPr>
          <w:rFonts w:hint="eastAsia"/>
          <w:color w:val="auto"/>
          <w:lang w:eastAsia="zh-CN"/>
        </w:rPr>
        <w:t>重大</w:t>
      </w:r>
      <w:r>
        <w:rPr>
          <w:rFonts w:hint="eastAsia"/>
          <w:color w:val="auto"/>
        </w:rPr>
        <w:t>或紧急事件要求承接方派驻应急人员现场解决，但承接方无正当理由不履行的，每发生一次从项目合同金额中扣除3000元，视作一次不良行为。</w:t>
      </w:r>
    </w:p>
    <w:p w14:paraId="6115F604">
      <w:pPr>
        <w:numPr>
          <w:ilvl w:val="0"/>
          <w:numId w:val="10"/>
        </w:numPr>
        <w:spacing w:line="360" w:lineRule="auto"/>
        <w:rPr>
          <w:color w:val="auto"/>
        </w:rPr>
      </w:pPr>
      <w:r>
        <w:rPr>
          <w:rFonts w:hint="eastAsia"/>
          <w:color w:val="auto"/>
        </w:rPr>
        <w:t>未经我院信息中心审核同意，自行运维实施或调整数据库、网络、服务器等操作，导致引发严重信息系统故障或不良事件，每发生一次从本项目合同金额中扣除3000元，视作一次不良行为。</w:t>
      </w:r>
    </w:p>
    <w:p w14:paraId="5F78D830">
      <w:pPr>
        <w:numPr>
          <w:ilvl w:val="0"/>
          <w:numId w:val="10"/>
        </w:numPr>
        <w:spacing w:line="360" w:lineRule="auto"/>
        <w:rPr>
          <w:color w:val="auto"/>
        </w:rPr>
      </w:pPr>
      <w:r>
        <w:rPr>
          <w:rFonts w:hint="eastAsia"/>
          <w:color w:val="auto"/>
        </w:rPr>
        <w:t>因承接方自身软件或系统架构缺陷原因，导致引发医院核心信息系统宕机事件，每发生一次即视作一次不良行为，并从本合同项目金额中扣罚</w:t>
      </w:r>
      <w:r>
        <w:rPr>
          <w:rFonts w:hint="eastAsia"/>
          <w:color w:val="auto"/>
          <w:lang w:eastAsia="zh-CN"/>
        </w:rPr>
        <w:t>。</w:t>
      </w:r>
      <w:r>
        <w:rPr>
          <w:rFonts w:hint="eastAsia"/>
          <w:color w:val="auto"/>
        </w:rPr>
        <w:t>接到通知后</w:t>
      </w:r>
      <w:r>
        <w:rPr>
          <w:rFonts w:hint="eastAsia"/>
          <w:color w:val="auto"/>
          <w:lang w:eastAsia="zh-CN"/>
        </w:rPr>
        <w:t>，</w:t>
      </w:r>
      <w:r>
        <w:rPr>
          <w:rFonts w:hint="eastAsia"/>
          <w:color w:val="auto"/>
        </w:rPr>
        <w:t>宕机修复时间如在60分钟（含）以内扣罚1000元，如在60分钟以上则每增加 60分钟（含）以内追加扣罚2000元。</w:t>
      </w:r>
    </w:p>
    <w:p w14:paraId="731EEADA">
      <w:pPr>
        <w:numPr>
          <w:ilvl w:val="0"/>
          <w:numId w:val="10"/>
        </w:numPr>
        <w:spacing w:line="360" w:lineRule="auto"/>
        <w:rPr>
          <w:color w:val="auto"/>
        </w:rPr>
      </w:pPr>
      <w:r>
        <w:rPr>
          <w:rFonts w:hint="eastAsia"/>
          <w:color w:val="auto"/>
        </w:rPr>
        <w:t>要求保质保量</w:t>
      </w:r>
      <w:r>
        <w:rPr>
          <w:rFonts w:hint="eastAsia"/>
          <w:color w:val="auto"/>
          <w:lang w:eastAsia="zh-CN"/>
        </w:rPr>
        <w:t>地</w:t>
      </w:r>
      <w:r>
        <w:rPr>
          <w:rFonts w:hint="eastAsia"/>
          <w:color w:val="auto"/>
        </w:rPr>
        <w:t>完成相关维保需求，其中要求系统错误类需求14天完成率达到90%以上，影响业务类需求30天完成率达到90%以上，系统优化类需求90天完成率达到90%以上。每月度考核一次完成率，如需求完成不符合要求，每发生一次，视作一次不良行为。</w:t>
      </w:r>
    </w:p>
    <w:p w14:paraId="3F86C632">
      <w:pPr>
        <w:pStyle w:val="7"/>
        <w:rPr>
          <w:color w:val="auto"/>
        </w:rPr>
      </w:pPr>
    </w:p>
    <w:p w14:paraId="181F6451">
      <w:pPr>
        <w:numPr>
          <w:ilvl w:val="0"/>
          <w:numId w:val="2"/>
        </w:numPr>
        <w:bidi w:val="0"/>
        <w:rPr>
          <w:rFonts w:hint="eastAsia" w:ascii="Times New Roman" w:hAnsi="Times New Roman" w:eastAsia="宋体" w:cs="Times New Roman"/>
          <w:color w:val="auto"/>
          <w:sz w:val="24"/>
          <w:szCs w:val="24"/>
          <w:lang w:eastAsia="ja-JP"/>
        </w:rPr>
      </w:pPr>
      <w:r>
        <w:rPr>
          <w:rFonts w:hint="eastAsia" w:ascii="Times New Roman" w:hAnsi="Times New Roman" w:eastAsia="宋体" w:cs="Times New Roman"/>
          <w:color w:val="auto"/>
          <w:sz w:val="24"/>
          <w:szCs w:val="24"/>
          <w:lang w:eastAsia="ja-JP"/>
        </w:rPr>
        <w:t>付款方式</w:t>
      </w:r>
    </w:p>
    <w:p w14:paraId="4E65DD7D">
      <w:pPr>
        <w:numPr>
          <w:ilvl w:val="0"/>
          <w:numId w:val="0"/>
        </w:numPr>
        <w:spacing w:line="360" w:lineRule="auto"/>
        <w:ind w:leftChars="0" w:firstLine="420" w:firstLineChars="0"/>
        <w:rPr>
          <w:rFonts w:hint="eastAsia"/>
          <w:color w:val="auto"/>
        </w:rPr>
      </w:pPr>
      <w:r>
        <w:rPr>
          <w:rFonts w:hint="eastAsia"/>
          <w:color w:val="auto"/>
          <w:lang w:val="en-US" w:eastAsia="zh-CN"/>
        </w:rPr>
        <w:t>合同签订生效后，每季度乙方提供季度维保报告，甲方收到乙方发票后，向乙方支付合同金额25%，共4个季度。</w:t>
      </w:r>
    </w:p>
    <w:p w14:paraId="30E120D5">
      <w:pPr>
        <w:pStyle w:val="7"/>
        <w:rPr>
          <w:color w:val="auto"/>
          <w:lang w:eastAsia="ja-JP"/>
        </w:rPr>
      </w:pPr>
    </w:p>
    <w:p w14:paraId="51451507">
      <w:pPr>
        <w:widowControl/>
        <w:jc w:val="left"/>
        <w:rPr>
          <w:rFonts w:asciiTheme="minorHAnsi" w:hAnsiTheme="minorHAnsi" w:eastAsiaTheme="minorEastAsia" w:cstheme="minorBidi"/>
          <w:b/>
          <w:bCs/>
          <w:color w:val="auto"/>
          <w:kern w:val="44"/>
          <w:sz w:val="44"/>
          <w:szCs w:val="44"/>
        </w:rPr>
      </w:pPr>
      <w:r>
        <w:rPr>
          <w:color w:val="auto"/>
        </w:rPr>
        <w:br w:type="page"/>
      </w:r>
    </w:p>
    <w:p w14:paraId="422E8432">
      <w:pPr>
        <w:pStyle w:val="19"/>
        <w:numPr>
          <w:ilvl w:val="0"/>
          <w:numId w:val="11"/>
        </w:numPr>
        <w:rPr>
          <w:rFonts w:hint="eastAsia" w:eastAsia="宋体"/>
          <w:color w:val="auto"/>
        </w:rPr>
      </w:pPr>
      <w:bookmarkStart w:id="11" w:name="_Toc30692"/>
      <w:r>
        <w:rPr>
          <w:rFonts w:hint="eastAsia" w:eastAsia="宋体"/>
          <w:color w:val="auto"/>
        </w:rPr>
        <w:t>评审办法</w:t>
      </w:r>
      <w:bookmarkEnd w:id="11"/>
    </w:p>
    <w:tbl>
      <w:tblPr>
        <w:tblStyle w:val="21"/>
        <w:tblW w:w="4998"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6"/>
        <w:gridCol w:w="6121"/>
        <w:gridCol w:w="861"/>
        <w:gridCol w:w="861"/>
      </w:tblGrid>
      <w:tr w14:paraId="35315D9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7" w:type="dxa"/>
            <w:noWrap w:val="0"/>
            <w:vAlign w:val="center"/>
          </w:tcPr>
          <w:p w14:paraId="7C97EBC6">
            <w:pPr>
              <w:spacing w:line="276" w:lineRule="auto"/>
              <w:jc w:val="center"/>
              <w:rPr>
                <w:b/>
                <w:bCs/>
                <w:color w:val="auto"/>
              </w:rPr>
            </w:pPr>
            <w:r>
              <w:rPr>
                <w:b/>
                <w:bCs/>
                <w:color w:val="auto"/>
                <w:sz w:val="24"/>
              </w:rPr>
              <w:t>序号</w:t>
            </w:r>
          </w:p>
        </w:tc>
        <w:tc>
          <w:tcPr>
            <w:tcW w:w="6120" w:type="dxa"/>
            <w:shd w:val="clear" w:color="auto" w:fill="auto"/>
            <w:noWrap w:val="0"/>
            <w:vAlign w:val="center"/>
          </w:tcPr>
          <w:p w14:paraId="771D9478">
            <w:pPr>
              <w:spacing w:line="276" w:lineRule="auto"/>
              <w:ind w:right="-313" w:rightChars="-149"/>
              <w:jc w:val="center"/>
              <w:rPr>
                <w:rFonts w:ascii="Times New Roman" w:hAnsi="Times New Roman" w:eastAsia="宋体" w:cs="Times New Roman"/>
                <w:b/>
                <w:bCs/>
                <w:color w:val="auto"/>
                <w:kern w:val="2"/>
                <w:sz w:val="21"/>
                <w:szCs w:val="24"/>
                <w:lang w:val="en-US" w:eastAsia="zh-CN" w:bidi="ar-SA"/>
              </w:rPr>
            </w:pPr>
            <w:r>
              <w:rPr>
                <w:b/>
                <w:bCs/>
                <w:color w:val="auto"/>
                <w:sz w:val="24"/>
              </w:rPr>
              <w:t>评审细则</w:t>
            </w:r>
          </w:p>
        </w:tc>
        <w:tc>
          <w:tcPr>
            <w:tcW w:w="861" w:type="dxa"/>
            <w:noWrap w:val="0"/>
            <w:vAlign w:val="center"/>
          </w:tcPr>
          <w:p w14:paraId="6F60D8E6">
            <w:pPr>
              <w:spacing w:line="276" w:lineRule="auto"/>
              <w:jc w:val="center"/>
              <w:rPr>
                <w:b/>
                <w:bCs/>
                <w:color w:val="auto"/>
              </w:rPr>
            </w:pPr>
            <w:r>
              <w:rPr>
                <w:b/>
                <w:bCs/>
                <w:color w:val="auto"/>
                <w:sz w:val="24"/>
              </w:rPr>
              <w:t>说明</w:t>
            </w:r>
          </w:p>
        </w:tc>
        <w:tc>
          <w:tcPr>
            <w:tcW w:w="861" w:type="dxa"/>
            <w:noWrap w:val="0"/>
            <w:vAlign w:val="center"/>
          </w:tcPr>
          <w:p w14:paraId="5AC5590F">
            <w:pPr>
              <w:spacing w:line="276" w:lineRule="auto"/>
              <w:jc w:val="center"/>
              <w:rPr>
                <w:b/>
                <w:bCs/>
                <w:color w:val="auto"/>
              </w:rPr>
            </w:pPr>
            <w:r>
              <w:rPr>
                <w:b/>
                <w:bCs/>
                <w:color w:val="auto"/>
                <w:sz w:val="24"/>
              </w:rPr>
              <w:t>分值</w:t>
            </w:r>
          </w:p>
        </w:tc>
      </w:tr>
      <w:tr w14:paraId="5FA562B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7" w:type="pct"/>
            <w:noWrap w:val="0"/>
            <w:vAlign w:val="center"/>
          </w:tcPr>
          <w:p w14:paraId="46B6C909">
            <w:pPr>
              <w:spacing w:line="276" w:lineRule="auto"/>
              <w:jc w:val="center"/>
              <w:rPr>
                <w:color w:val="auto"/>
              </w:rPr>
            </w:pPr>
            <w:r>
              <w:rPr>
                <w:color w:val="auto"/>
                <w:sz w:val="24"/>
              </w:rPr>
              <w:t>1</w:t>
            </w:r>
          </w:p>
        </w:tc>
        <w:tc>
          <w:tcPr>
            <w:tcW w:w="3591" w:type="pct"/>
            <w:noWrap w:val="0"/>
            <w:vAlign w:val="center"/>
          </w:tcPr>
          <w:p w14:paraId="5360AEBA">
            <w:pPr>
              <w:widowControl/>
              <w:jc w:val="left"/>
              <w:rPr>
                <w:color w:val="auto"/>
              </w:rPr>
            </w:pPr>
            <w:r>
              <w:rPr>
                <w:rFonts w:hint="eastAsia" w:cs="Times New Roman"/>
                <w:color w:val="auto"/>
                <w:sz w:val="24"/>
                <w:lang w:val="en-US" w:eastAsia="zh-CN"/>
              </w:rPr>
              <w:t>产品功能、性能响应情况</w:t>
            </w:r>
            <w:r>
              <w:rPr>
                <w:rFonts w:hint="eastAsia" w:ascii="Times New Roman" w:hAnsi="Times New Roman" w:eastAsia="宋体" w:cs="Times New Roman"/>
                <w:color w:val="auto"/>
                <w:sz w:val="24"/>
                <w:lang w:val="en-US" w:eastAsia="zh-CN"/>
              </w:rPr>
              <w:t>：</w:t>
            </w:r>
            <w:r>
              <w:rPr>
                <w:rFonts w:hint="eastAsia" w:ascii="宋体" w:hAnsi="宋体" w:cs="宋体"/>
                <w:b/>
                <w:color w:val="auto"/>
                <w:kern w:val="44"/>
                <w:sz w:val="24"/>
              </w:rPr>
              <w:t>“</w:t>
            </w:r>
            <w:r>
              <w:rPr>
                <w:rFonts w:hint="eastAsia" w:ascii="宋体" w:hAnsi="宋体" w:cs="宋体"/>
                <w:b/>
                <w:color w:val="auto"/>
                <w:kern w:val="44"/>
                <w:sz w:val="24"/>
                <w:lang w:val="en-US" w:eastAsia="zh-CN"/>
              </w:rPr>
              <w:t>技术规格</w:t>
            </w:r>
            <w:r>
              <w:rPr>
                <w:rFonts w:hint="eastAsia" w:ascii="宋体" w:hAnsi="宋体" w:cs="宋体"/>
                <w:b/>
                <w:color w:val="auto"/>
                <w:kern w:val="44"/>
                <w:sz w:val="24"/>
              </w:rPr>
              <w:t>”中的</w:t>
            </w:r>
            <w:r>
              <w:rPr>
                <w:rFonts w:hint="eastAsia" w:ascii="宋体" w:hAnsi="宋体" w:cs="仿宋"/>
                <w:color w:val="auto"/>
                <w:sz w:val="24"/>
              </w:rPr>
              <w:t>产品技术参数全部满足招标文件要求的得3</w:t>
            </w:r>
            <w:r>
              <w:rPr>
                <w:rFonts w:hint="eastAsia" w:ascii="宋体" w:hAnsi="宋体" w:cs="仿宋"/>
                <w:color w:val="auto"/>
                <w:sz w:val="24"/>
                <w:lang w:val="en-US" w:eastAsia="zh-CN"/>
              </w:rPr>
              <w:t>2</w:t>
            </w:r>
            <w:r>
              <w:rPr>
                <w:rFonts w:hint="eastAsia" w:ascii="宋体" w:hAnsi="宋体" w:cs="仿宋"/>
                <w:color w:val="auto"/>
                <w:sz w:val="24"/>
              </w:rPr>
              <w:t>分；打</w:t>
            </w:r>
            <w:r>
              <w:rPr>
                <w:rFonts w:hint="eastAsia" w:ascii="宋体" w:hAnsi="宋体"/>
                <w:color w:val="auto"/>
                <w:spacing w:val="-4"/>
                <w:kern w:val="0"/>
                <w:sz w:val="24"/>
                <w:szCs w:val="20"/>
              </w:rPr>
              <w:t>★</w:t>
            </w:r>
            <w:r>
              <w:rPr>
                <w:rFonts w:hint="eastAsia" w:ascii="宋体" w:hAnsi="宋体" w:cs="仿宋"/>
                <w:color w:val="auto"/>
                <w:sz w:val="24"/>
              </w:rPr>
              <w:t>号指标为重要指标，有一项负偏离扣</w:t>
            </w:r>
            <w:r>
              <w:rPr>
                <w:rFonts w:hint="eastAsia" w:ascii="宋体" w:hAnsi="宋体" w:cs="仿宋"/>
                <w:color w:val="auto"/>
                <w:sz w:val="24"/>
                <w:lang w:val="en-US" w:eastAsia="zh-CN"/>
              </w:rPr>
              <w:t>3</w:t>
            </w:r>
            <w:r>
              <w:rPr>
                <w:rFonts w:hint="eastAsia" w:ascii="宋体" w:hAnsi="宋体" w:cs="仿宋"/>
                <w:color w:val="auto"/>
                <w:sz w:val="24"/>
              </w:rPr>
              <w:t>分；其他参数，有一项负偏离扣1分，扣完为止。</w:t>
            </w:r>
          </w:p>
        </w:tc>
        <w:tc>
          <w:tcPr>
            <w:tcW w:w="505" w:type="pct"/>
            <w:noWrap w:val="0"/>
            <w:vAlign w:val="center"/>
          </w:tcPr>
          <w:p w14:paraId="6CB1D959">
            <w:pPr>
              <w:spacing w:line="276" w:lineRule="auto"/>
              <w:jc w:val="center"/>
              <w:rPr>
                <w:color w:val="auto"/>
              </w:rPr>
            </w:pPr>
            <w:r>
              <w:rPr>
                <w:color w:val="auto"/>
                <w:sz w:val="24"/>
              </w:rPr>
              <w:t>客观分</w:t>
            </w:r>
          </w:p>
        </w:tc>
        <w:tc>
          <w:tcPr>
            <w:tcW w:w="505" w:type="pct"/>
            <w:noWrap w:val="0"/>
            <w:vAlign w:val="center"/>
          </w:tcPr>
          <w:p w14:paraId="1933F11D">
            <w:pPr>
              <w:spacing w:line="276" w:lineRule="auto"/>
              <w:jc w:val="center"/>
              <w:rPr>
                <w:rFonts w:hint="eastAsia"/>
                <w:color w:val="auto"/>
                <w:lang w:val="en-US" w:eastAsia="zh-CN"/>
              </w:rPr>
            </w:pPr>
            <w:r>
              <w:rPr>
                <w:rFonts w:hint="eastAsia"/>
                <w:color w:val="auto"/>
                <w:sz w:val="24"/>
                <w:lang w:val="en-US" w:eastAsia="zh-CN"/>
              </w:rPr>
              <w:t>32</w:t>
            </w:r>
            <w:r>
              <w:rPr>
                <w:color w:val="auto"/>
                <w:sz w:val="24"/>
              </w:rPr>
              <w:t>分</w:t>
            </w:r>
          </w:p>
        </w:tc>
      </w:tr>
      <w:tr w14:paraId="51CA360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7" w:type="pct"/>
            <w:noWrap w:val="0"/>
            <w:vAlign w:val="center"/>
          </w:tcPr>
          <w:p w14:paraId="78C24636">
            <w:pPr>
              <w:spacing w:line="276" w:lineRule="auto"/>
              <w:jc w:val="center"/>
              <w:rPr>
                <w:color w:val="auto"/>
              </w:rPr>
            </w:pPr>
            <w:r>
              <w:rPr>
                <w:color w:val="auto"/>
                <w:sz w:val="24"/>
              </w:rPr>
              <w:t>2</w:t>
            </w:r>
          </w:p>
        </w:tc>
        <w:tc>
          <w:tcPr>
            <w:tcW w:w="3591" w:type="pct"/>
            <w:noWrap w:val="0"/>
            <w:vAlign w:val="center"/>
          </w:tcPr>
          <w:p w14:paraId="734E6EF8">
            <w:pPr>
              <w:widowControl/>
              <w:jc w:val="left"/>
              <w:rPr>
                <w:color w:val="auto"/>
              </w:rPr>
            </w:pPr>
            <w:r>
              <w:rPr>
                <w:rFonts w:hint="eastAsia"/>
                <w:color w:val="auto"/>
                <w:sz w:val="24"/>
                <w:lang w:val="en-US" w:eastAsia="zh-CN"/>
              </w:rPr>
              <w:t>实施与运维方案</w:t>
            </w:r>
            <w:r>
              <w:rPr>
                <w:rFonts w:hint="eastAsia" w:ascii="Times New Roman" w:hAnsi="Times New Roman" w:eastAsia="宋体" w:cs="Times New Roman"/>
                <w:color w:val="auto"/>
                <w:sz w:val="24"/>
                <w:lang w:val="en-US" w:eastAsia="zh-CN"/>
              </w:rPr>
              <w:t>科学性：方案需包含：系统架构设计合理性；运维支持流程（如故障响应机制、数据备份策略）；方案完整性及可操作性。按0-</w:t>
            </w:r>
            <w:r>
              <w:rPr>
                <w:rFonts w:hint="eastAsia" w:cs="Times New Roman"/>
                <w:color w:val="auto"/>
                <w:sz w:val="24"/>
                <w:lang w:val="en-US" w:eastAsia="zh-CN"/>
              </w:rPr>
              <w:t>10</w:t>
            </w:r>
            <w:r>
              <w:rPr>
                <w:rFonts w:hint="eastAsia" w:ascii="Times New Roman" w:hAnsi="Times New Roman" w:eastAsia="宋体" w:cs="Times New Roman"/>
                <w:color w:val="auto"/>
                <w:sz w:val="24"/>
                <w:lang w:val="en-US" w:eastAsia="zh-CN"/>
              </w:rPr>
              <w:t>分综合评分。</w:t>
            </w:r>
          </w:p>
        </w:tc>
        <w:tc>
          <w:tcPr>
            <w:tcW w:w="505" w:type="pct"/>
            <w:noWrap w:val="0"/>
            <w:vAlign w:val="center"/>
          </w:tcPr>
          <w:p w14:paraId="798D36E3">
            <w:pPr>
              <w:spacing w:line="276" w:lineRule="auto"/>
              <w:jc w:val="center"/>
              <w:rPr>
                <w:color w:val="auto"/>
              </w:rPr>
            </w:pPr>
            <w:r>
              <w:rPr>
                <w:color w:val="auto"/>
                <w:sz w:val="24"/>
              </w:rPr>
              <w:t>主观分</w:t>
            </w:r>
          </w:p>
        </w:tc>
        <w:tc>
          <w:tcPr>
            <w:tcW w:w="505" w:type="pct"/>
            <w:noWrap w:val="0"/>
            <w:vAlign w:val="center"/>
          </w:tcPr>
          <w:p w14:paraId="7FDA49AF">
            <w:pPr>
              <w:spacing w:line="276" w:lineRule="auto"/>
              <w:jc w:val="center"/>
              <w:rPr>
                <w:rFonts w:hint="eastAsia"/>
                <w:color w:val="auto"/>
                <w:lang w:val="en-US" w:eastAsia="zh-CN"/>
              </w:rPr>
            </w:pPr>
            <w:r>
              <w:rPr>
                <w:rFonts w:hint="eastAsia"/>
                <w:color w:val="auto"/>
                <w:sz w:val="24"/>
                <w:lang w:val="en-US" w:eastAsia="zh-CN"/>
              </w:rPr>
              <w:t>10</w:t>
            </w:r>
            <w:r>
              <w:rPr>
                <w:color w:val="auto"/>
                <w:sz w:val="24"/>
              </w:rPr>
              <w:t>分</w:t>
            </w:r>
          </w:p>
        </w:tc>
      </w:tr>
      <w:tr w14:paraId="57C2FA0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7" w:type="pct"/>
            <w:noWrap w:val="0"/>
            <w:vAlign w:val="center"/>
          </w:tcPr>
          <w:p w14:paraId="474B8A2A">
            <w:pPr>
              <w:spacing w:line="276" w:lineRule="auto"/>
              <w:jc w:val="center"/>
              <w:rPr>
                <w:color w:val="auto"/>
              </w:rPr>
            </w:pPr>
            <w:r>
              <w:rPr>
                <w:color w:val="auto"/>
                <w:sz w:val="24"/>
              </w:rPr>
              <w:t>3</w:t>
            </w:r>
          </w:p>
        </w:tc>
        <w:tc>
          <w:tcPr>
            <w:tcW w:w="3591" w:type="pct"/>
            <w:noWrap w:val="0"/>
            <w:vAlign w:val="center"/>
          </w:tcPr>
          <w:p w14:paraId="6F74B45F">
            <w:pPr>
              <w:widowControl/>
              <w:jc w:val="left"/>
              <w:rPr>
                <w:color w:val="auto"/>
              </w:rPr>
            </w:pPr>
            <w:r>
              <w:rPr>
                <w:rFonts w:hint="eastAsia" w:ascii="Times New Roman" w:hAnsi="Times New Roman" w:eastAsia="宋体" w:cs="Times New Roman"/>
                <w:color w:val="auto"/>
                <w:sz w:val="24"/>
                <w:lang w:val="en-US" w:eastAsia="zh-CN"/>
              </w:rPr>
              <w:t>实施保障能力：</w:t>
            </w:r>
            <w:r>
              <w:rPr>
                <w:rFonts w:hint="eastAsia" w:ascii="宋体" w:hAnsi="宋体" w:cs="宋体"/>
                <w:color w:val="auto"/>
                <w:kern w:val="0"/>
                <w:sz w:val="24"/>
              </w:rPr>
              <w:t>根据投标人提供的项目实施方案，包括①供货方案、②安装、调试、验收方案、③</w:t>
            </w:r>
            <w:r>
              <w:rPr>
                <w:rFonts w:hint="eastAsia" w:ascii="宋体" w:hAnsi="宋体" w:cs="宋体"/>
                <w:iCs/>
                <w:color w:val="auto"/>
                <w:sz w:val="24"/>
              </w:rPr>
              <w:t>投标产品操作系统支持的版本升级方案</w:t>
            </w:r>
            <w:r>
              <w:rPr>
                <w:rFonts w:hint="eastAsia" w:ascii="宋体" w:hAnsi="宋体" w:cs="宋体"/>
                <w:color w:val="auto"/>
                <w:kern w:val="0"/>
                <w:sz w:val="24"/>
                <w:lang w:eastAsia="zh-CN"/>
              </w:rPr>
              <w:t>、</w:t>
            </w:r>
            <w:r>
              <w:rPr>
                <w:rFonts w:hint="eastAsia" w:ascii="宋体" w:hAnsi="宋体" w:cs="宋体"/>
                <w:color w:val="auto"/>
                <w:kern w:val="0"/>
                <w:sz w:val="24"/>
                <w:lang w:val="en-US" w:eastAsia="zh-CN"/>
              </w:rPr>
              <w:t>④</w:t>
            </w:r>
            <w:r>
              <w:rPr>
                <w:rFonts w:hint="eastAsia" w:ascii="宋体" w:hAnsi="宋体" w:cs="宋体"/>
                <w:color w:val="auto"/>
                <w:kern w:val="0"/>
                <w:sz w:val="24"/>
              </w:rPr>
              <w:t>质量保证措施、</w:t>
            </w:r>
            <w:r>
              <w:rPr>
                <w:rFonts w:hint="eastAsia" w:ascii="宋体" w:hAnsi="宋体" w:cs="宋体"/>
                <w:color w:val="auto"/>
                <w:kern w:val="0"/>
                <w:sz w:val="24"/>
                <w:lang w:val="en-US" w:eastAsia="zh-CN"/>
              </w:rPr>
              <w:t>⑤</w:t>
            </w:r>
            <w:r>
              <w:rPr>
                <w:rFonts w:hint="eastAsia" w:ascii="宋体" w:hAnsi="宋体" w:cs="宋体"/>
                <w:color w:val="auto"/>
                <w:kern w:val="0"/>
                <w:sz w:val="24"/>
              </w:rPr>
              <w:t>技术服务措施等</w:t>
            </w:r>
            <w:r>
              <w:rPr>
                <w:rFonts w:hint="eastAsia" w:ascii="宋体" w:hAnsi="宋体" w:cs="宋体"/>
                <w:color w:val="auto"/>
                <w:kern w:val="0"/>
                <w:sz w:val="24"/>
                <w:lang w:eastAsia="zh-CN"/>
              </w:rPr>
              <w:t>，</w:t>
            </w:r>
            <w:r>
              <w:rPr>
                <w:rFonts w:hint="eastAsia" w:ascii="宋体" w:hAnsi="宋体" w:cs="宋体"/>
                <w:color w:val="auto"/>
                <w:kern w:val="0"/>
                <w:sz w:val="24"/>
              </w:rPr>
              <w:t>由专家进行综合评价。每小项2分</w:t>
            </w:r>
            <w:r>
              <w:rPr>
                <w:rFonts w:hint="eastAsia" w:ascii="宋体" w:hAnsi="宋体" w:cs="宋体"/>
                <w:color w:val="auto"/>
                <w:kern w:val="0"/>
                <w:sz w:val="24"/>
                <w:lang w:eastAsia="zh-CN"/>
              </w:rPr>
              <w:t>。</w:t>
            </w:r>
          </w:p>
        </w:tc>
        <w:tc>
          <w:tcPr>
            <w:tcW w:w="505" w:type="pct"/>
            <w:noWrap w:val="0"/>
            <w:vAlign w:val="center"/>
          </w:tcPr>
          <w:p w14:paraId="2A6F7484">
            <w:pPr>
              <w:spacing w:line="276" w:lineRule="auto"/>
              <w:jc w:val="center"/>
              <w:rPr>
                <w:color w:val="auto"/>
              </w:rPr>
            </w:pPr>
            <w:r>
              <w:rPr>
                <w:color w:val="auto"/>
                <w:sz w:val="24"/>
              </w:rPr>
              <w:t>主观分</w:t>
            </w:r>
          </w:p>
        </w:tc>
        <w:tc>
          <w:tcPr>
            <w:tcW w:w="505" w:type="pct"/>
            <w:noWrap w:val="0"/>
            <w:vAlign w:val="center"/>
          </w:tcPr>
          <w:p w14:paraId="31804476">
            <w:pPr>
              <w:spacing w:line="276" w:lineRule="auto"/>
              <w:jc w:val="center"/>
              <w:rPr>
                <w:rFonts w:hint="eastAsia"/>
                <w:color w:val="auto"/>
                <w:lang w:val="en-US" w:eastAsia="zh-CN"/>
              </w:rPr>
            </w:pPr>
            <w:r>
              <w:rPr>
                <w:rFonts w:hint="eastAsia"/>
                <w:color w:val="auto"/>
                <w:sz w:val="24"/>
                <w:lang w:val="en-US" w:eastAsia="zh-CN"/>
              </w:rPr>
              <w:t>10</w:t>
            </w:r>
            <w:r>
              <w:rPr>
                <w:color w:val="auto"/>
                <w:sz w:val="24"/>
              </w:rPr>
              <w:t>分</w:t>
            </w:r>
          </w:p>
        </w:tc>
      </w:tr>
      <w:tr w14:paraId="4E441ED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7" w:type="pct"/>
            <w:noWrap w:val="0"/>
            <w:vAlign w:val="center"/>
          </w:tcPr>
          <w:p w14:paraId="1DA54356">
            <w:pPr>
              <w:spacing w:line="276" w:lineRule="auto"/>
              <w:jc w:val="center"/>
              <w:rPr>
                <w:color w:val="auto"/>
              </w:rPr>
            </w:pPr>
            <w:r>
              <w:rPr>
                <w:color w:val="auto"/>
                <w:sz w:val="24"/>
              </w:rPr>
              <w:t>4</w:t>
            </w:r>
          </w:p>
        </w:tc>
        <w:tc>
          <w:tcPr>
            <w:tcW w:w="3591" w:type="pct"/>
            <w:noWrap w:val="0"/>
            <w:vAlign w:val="center"/>
          </w:tcPr>
          <w:p w14:paraId="630E71A9">
            <w:pPr>
              <w:widowControl/>
              <w:jc w:val="left"/>
              <w:rPr>
                <w:rFonts w:hint="eastAsia"/>
                <w:color w:val="auto"/>
                <w:lang w:val="en-US" w:eastAsia="zh-CN"/>
              </w:rPr>
            </w:pPr>
            <w:r>
              <w:rPr>
                <w:rFonts w:hint="eastAsia" w:ascii="Times New Roman" w:hAnsi="Times New Roman" w:eastAsia="宋体" w:cs="Times New Roman"/>
                <w:color w:val="auto"/>
                <w:sz w:val="24"/>
                <w:lang w:val="en-US" w:eastAsia="zh-CN"/>
              </w:rPr>
              <w:t>售后服务方案：包括安装验收、技术培训、服务响应时间、故障解决方案</w:t>
            </w:r>
            <w:r>
              <w:rPr>
                <w:rFonts w:hint="eastAsia" w:cs="Times New Roman"/>
                <w:color w:val="auto"/>
                <w:sz w:val="24"/>
                <w:lang w:val="en-US" w:eastAsia="zh-CN"/>
              </w:rPr>
              <w:t>的</w:t>
            </w:r>
            <w:r>
              <w:rPr>
                <w:rFonts w:hint="eastAsia" w:ascii="Times New Roman" w:hAnsi="Times New Roman" w:eastAsia="宋体" w:cs="Times New Roman"/>
                <w:color w:val="auto"/>
                <w:sz w:val="24"/>
                <w:lang w:val="en-US" w:eastAsia="zh-CN"/>
              </w:rPr>
              <w:t>完善性及时性</w:t>
            </w:r>
            <w:r>
              <w:rPr>
                <w:rFonts w:hint="eastAsia" w:cs="Times New Roman"/>
                <w:color w:val="auto"/>
                <w:sz w:val="24"/>
                <w:lang w:val="en-US" w:eastAsia="zh-CN"/>
              </w:rPr>
              <w:t>，</w:t>
            </w:r>
            <w:r>
              <w:rPr>
                <w:rFonts w:hint="eastAsia" w:ascii="宋体" w:hAnsi="宋体" w:cs="仿宋"/>
                <w:snapToGrid w:val="0"/>
                <w:color w:val="auto"/>
                <w:kern w:val="28"/>
                <w:sz w:val="24"/>
              </w:rPr>
              <w:t>质保期满后配件、附件、备品备件的准备和保障措施，根据措施方案综合评审</w:t>
            </w:r>
            <w:r>
              <w:rPr>
                <w:rFonts w:hint="eastAsia" w:ascii="宋体" w:hAnsi="宋体" w:cs="仿宋"/>
                <w:snapToGrid w:val="0"/>
                <w:color w:val="auto"/>
                <w:kern w:val="28"/>
                <w:sz w:val="24"/>
                <w:lang w:eastAsia="zh-CN"/>
              </w:rPr>
              <w:t>，</w:t>
            </w:r>
            <w:r>
              <w:rPr>
                <w:rFonts w:hint="eastAsia" w:ascii="Times New Roman" w:hAnsi="Times New Roman" w:eastAsia="宋体" w:cs="Times New Roman"/>
                <w:color w:val="auto"/>
                <w:sz w:val="24"/>
                <w:lang w:val="en-US" w:eastAsia="zh-CN"/>
              </w:rPr>
              <w:t>0-</w:t>
            </w:r>
            <w:r>
              <w:rPr>
                <w:rFonts w:hint="eastAsia" w:cs="Times New Roman"/>
                <w:color w:val="auto"/>
                <w:sz w:val="24"/>
                <w:lang w:val="en-US" w:eastAsia="zh-CN"/>
              </w:rPr>
              <w:t>8</w:t>
            </w:r>
            <w:r>
              <w:rPr>
                <w:rFonts w:hint="eastAsia" w:ascii="Times New Roman" w:hAnsi="Times New Roman" w:eastAsia="宋体" w:cs="Times New Roman"/>
                <w:color w:val="auto"/>
                <w:sz w:val="24"/>
                <w:lang w:val="en-US" w:eastAsia="zh-CN"/>
              </w:rPr>
              <w:t>分。</w:t>
            </w:r>
          </w:p>
        </w:tc>
        <w:tc>
          <w:tcPr>
            <w:tcW w:w="505" w:type="pct"/>
            <w:noWrap w:val="0"/>
            <w:vAlign w:val="center"/>
          </w:tcPr>
          <w:p w14:paraId="15EE0B6A">
            <w:pPr>
              <w:spacing w:line="276" w:lineRule="auto"/>
              <w:jc w:val="center"/>
              <w:rPr>
                <w:color w:val="auto"/>
              </w:rPr>
            </w:pPr>
            <w:r>
              <w:rPr>
                <w:rFonts w:hint="eastAsia"/>
                <w:color w:val="auto"/>
                <w:sz w:val="24"/>
                <w:lang w:val="en-US" w:eastAsia="zh-CN"/>
              </w:rPr>
              <w:t>主</w:t>
            </w:r>
            <w:r>
              <w:rPr>
                <w:color w:val="auto"/>
                <w:sz w:val="24"/>
              </w:rPr>
              <w:t>观分</w:t>
            </w:r>
          </w:p>
        </w:tc>
        <w:tc>
          <w:tcPr>
            <w:tcW w:w="505" w:type="pct"/>
            <w:noWrap w:val="0"/>
            <w:vAlign w:val="center"/>
          </w:tcPr>
          <w:p w14:paraId="5A46B3E6">
            <w:pPr>
              <w:spacing w:line="276" w:lineRule="auto"/>
              <w:jc w:val="center"/>
              <w:rPr>
                <w:rFonts w:hint="eastAsia"/>
                <w:color w:val="auto"/>
                <w:lang w:val="en-US" w:eastAsia="zh-CN"/>
              </w:rPr>
            </w:pPr>
            <w:r>
              <w:rPr>
                <w:rFonts w:hint="eastAsia"/>
                <w:color w:val="auto"/>
                <w:sz w:val="24"/>
                <w:lang w:val="en-US" w:eastAsia="zh-CN"/>
              </w:rPr>
              <w:t>8</w:t>
            </w:r>
            <w:r>
              <w:rPr>
                <w:color w:val="auto"/>
                <w:sz w:val="24"/>
              </w:rPr>
              <w:t>分</w:t>
            </w:r>
          </w:p>
        </w:tc>
      </w:tr>
      <w:tr w14:paraId="4A45835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7" w:type="pct"/>
            <w:noWrap w:val="0"/>
            <w:vAlign w:val="center"/>
          </w:tcPr>
          <w:p w14:paraId="2A6DC548">
            <w:pPr>
              <w:spacing w:line="276" w:lineRule="auto"/>
              <w:jc w:val="center"/>
              <w:rPr>
                <w:color w:val="auto"/>
              </w:rPr>
            </w:pPr>
            <w:r>
              <w:rPr>
                <w:color w:val="auto"/>
                <w:sz w:val="24"/>
              </w:rPr>
              <w:t>5</w:t>
            </w:r>
          </w:p>
        </w:tc>
        <w:tc>
          <w:tcPr>
            <w:tcW w:w="3591" w:type="pct"/>
            <w:noWrap w:val="0"/>
            <w:vAlign w:val="center"/>
          </w:tcPr>
          <w:p w14:paraId="07083651">
            <w:pPr>
              <w:widowControl/>
              <w:jc w:val="left"/>
              <w:rPr>
                <w:rFonts w:hint="default"/>
                <w:color w:val="auto"/>
                <w:lang w:val="en-US" w:eastAsia="zh-CN"/>
              </w:rPr>
            </w:pPr>
            <w:r>
              <w:rPr>
                <w:rFonts w:hint="eastAsia" w:cs="Times New Roman"/>
                <w:color w:val="auto"/>
                <w:sz w:val="24"/>
                <w:lang w:val="en-US" w:eastAsia="zh-CN"/>
              </w:rPr>
              <w:t>证</w:t>
            </w:r>
            <w:r>
              <w:rPr>
                <w:rFonts w:hint="eastAsia" w:ascii="宋体" w:hAnsi="宋体" w:cs="仿宋"/>
                <w:snapToGrid w:val="0"/>
                <w:color w:val="auto"/>
                <w:kern w:val="28"/>
                <w:sz w:val="24"/>
                <w:lang w:val="en-US" w:eastAsia="zh-CN"/>
              </w:rPr>
              <w:t>书：</w:t>
            </w:r>
            <w:r>
              <w:rPr>
                <w:rFonts w:hint="eastAsia" w:ascii="宋体" w:hAnsi="宋体" w:cs="仿宋"/>
                <w:snapToGrid w:val="0"/>
                <w:color w:val="auto"/>
                <w:kern w:val="28"/>
                <w:sz w:val="24"/>
              </w:rPr>
              <w:t>投标人或投标产品制造商具有有效的ISO9001质量管理体系认证、</w:t>
            </w:r>
            <w:r>
              <w:rPr>
                <w:rFonts w:hint="eastAsia" w:ascii="宋体" w:hAnsi="宋体" w:cs="仿宋"/>
                <w:snapToGrid w:val="0"/>
                <w:color w:val="auto"/>
                <w:kern w:val="28"/>
                <w:sz w:val="24"/>
                <w:lang w:val="en-US" w:eastAsia="zh-CN"/>
              </w:rPr>
              <w:t>ISO27001信息安全管理体系认证、ISO/IEC 20000信息技术服务管理体系</w:t>
            </w:r>
            <w:r>
              <w:rPr>
                <w:rFonts w:hint="eastAsia" w:ascii="宋体" w:hAnsi="宋体" w:cs="仿宋"/>
                <w:snapToGrid w:val="0"/>
                <w:color w:val="auto"/>
                <w:kern w:val="28"/>
                <w:sz w:val="24"/>
              </w:rPr>
              <w:t>，ISO 22301业务连续性管理体系</w:t>
            </w:r>
            <w:r>
              <w:rPr>
                <w:rFonts w:hint="eastAsia" w:ascii="宋体" w:hAnsi="宋体" w:cs="仿宋"/>
                <w:snapToGrid w:val="0"/>
                <w:color w:val="auto"/>
                <w:kern w:val="28"/>
                <w:sz w:val="24"/>
                <w:lang w:eastAsia="zh-CN"/>
              </w:rPr>
              <w:t>，</w:t>
            </w:r>
            <w:r>
              <w:rPr>
                <w:rFonts w:hint="eastAsia" w:ascii="宋体" w:hAnsi="宋体" w:cs="仿宋"/>
                <w:snapToGrid w:val="0"/>
                <w:color w:val="auto"/>
                <w:kern w:val="28"/>
                <w:sz w:val="24"/>
                <w:lang w:val="en-US" w:eastAsia="zh-CN"/>
              </w:rPr>
              <w:t>或项目相关软著，</w:t>
            </w:r>
            <w:r>
              <w:rPr>
                <w:rFonts w:hint="eastAsia" w:ascii="宋体" w:hAnsi="宋体" w:cs="仿宋"/>
                <w:snapToGrid w:val="0"/>
                <w:color w:val="auto"/>
                <w:kern w:val="28"/>
                <w:sz w:val="24"/>
              </w:rPr>
              <w:t>每提供一份证书复印件得1分，最多</w:t>
            </w:r>
            <w:r>
              <w:rPr>
                <w:rFonts w:hint="eastAsia" w:ascii="宋体" w:hAnsi="宋体" w:cs="仿宋"/>
                <w:snapToGrid w:val="0"/>
                <w:color w:val="auto"/>
                <w:kern w:val="28"/>
                <w:sz w:val="24"/>
                <w:lang w:val="en-US" w:eastAsia="zh-CN"/>
              </w:rPr>
              <w:t>4</w:t>
            </w:r>
            <w:r>
              <w:rPr>
                <w:rFonts w:hint="eastAsia" w:ascii="宋体" w:hAnsi="宋体" w:cs="仿宋"/>
                <w:snapToGrid w:val="0"/>
                <w:color w:val="auto"/>
                <w:kern w:val="28"/>
                <w:sz w:val="24"/>
              </w:rPr>
              <w:t>分</w:t>
            </w:r>
            <w:r>
              <w:rPr>
                <w:rFonts w:hint="eastAsia" w:ascii="宋体" w:hAnsi="宋体" w:cs="仿宋"/>
                <w:snapToGrid w:val="0"/>
                <w:color w:val="auto"/>
                <w:kern w:val="28"/>
                <w:sz w:val="24"/>
                <w:lang w:eastAsia="zh-CN"/>
              </w:rPr>
              <w:t>。</w:t>
            </w:r>
          </w:p>
        </w:tc>
        <w:tc>
          <w:tcPr>
            <w:tcW w:w="505" w:type="pct"/>
            <w:noWrap w:val="0"/>
            <w:vAlign w:val="center"/>
          </w:tcPr>
          <w:p w14:paraId="1765F71C">
            <w:pPr>
              <w:spacing w:line="276" w:lineRule="auto"/>
              <w:jc w:val="center"/>
              <w:rPr>
                <w:color w:val="auto"/>
              </w:rPr>
            </w:pPr>
            <w:r>
              <w:rPr>
                <w:rFonts w:hint="eastAsia"/>
                <w:color w:val="auto"/>
                <w:sz w:val="24"/>
                <w:lang w:val="en-US" w:eastAsia="zh-CN"/>
              </w:rPr>
              <w:t>客</w:t>
            </w:r>
            <w:r>
              <w:rPr>
                <w:color w:val="auto"/>
                <w:sz w:val="24"/>
              </w:rPr>
              <w:t>观分</w:t>
            </w:r>
          </w:p>
        </w:tc>
        <w:tc>
          <w:tcPr>
            <w:tcW w:w="505" w:type="pct"/>
            <w:noWrap w:val="0"/>
            <w:vAlign w:val="center"/>
          </w:tcPr>
          <w:p w14:paraId="60AED5C9">
            <w:pPr>
              <w:spacing w:line="276" w:lineRule="auto"/>
              <w:jc w:val="center"/>
              <w:rPr>
                <w:rFonts w:hint="eastAsia"/>
                <w:color w:val="auto"/>
                <w:lang w:val="en-US" w:eastAsia="zh-CN"/>
              </w:rPr>
            </w:pPr>
            <w:r>
              <w:rPr>
                <w:rFonts w:hint="eastAsia"/>
                <w:color w:val="auto"/>
                <w:sz w:val="24"/>
                <w:lang w:val="en-US" w:eastAsia="zh-CN"/>
              </w:rPr>
              <w:t>4</w:t>
            </w:r>
            <w:r>
              <w:rPr>
                <w:color w:val="auto"/>
                <w:sz w:val="24"/>
              </w:rPr>
              <w:t>分</w:t>
            </w:r>
          </w:p>
        </w:tc>
      </w:tr>
      <w:tr w14:paraId="2D26A19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7" w:type="pct"/>
            <w:noWrap w:val="0"/>
            <w:vAlign w:val="center"/>
          </w:tcPr>
          <w:p w14:paraId="15D7E2E0">
            <w:pPr>
              <w:spacing w:line="276" w:lineRule="auto"/>
              <w:jc w:val="center"/>
              <w:rPr>
                <w:color w:val="auto"/>
              </w:rPr>
            </w:pPr>
            <w:r>
              <w:rPr>
                <w:color w:val="auto"/>
                <w:sz w:val="24"/>
              </w:rPr>
              <w:t>6</w:t>
            </w:r>
          </w:p>
        </w:tc>
        <w:tc>
          <w:tcPr>
            <w:tcW w:w="3591" w:type="pct"/>
            <w:noWrap w:val="0"/>
            <w:vAlign w:val="center"/>
          </w:tcPr>
          <w:p w14:paraId="67698FC3">
            <w:pPr>
              <w:spacing w:line="276" w:lineRule="auto"/>
              <w:rPr>
                <w:color w:val="auto"/>
              </w:rPr>
            </w:pPr>
            <w:r>
              <w:rPr>
                <w:rFonts w:hint="eastAsia" w:ascii="Times New Roman" w:hAnsi="Times New Roman" w:eastAsia="宋体" w:cs="Times New Roman"/>
                <w:color w:val="auto"/>
                <w:sz w:val="24"/>
                <w:lang w:val="en-US" w:eastAsia="zh-CN"/>
              </w:rPr>
              <w:t>业绩：近3年（以合同签订时间为准）同类项目业绩：</w:t>
            </w:r>
            <w:r>
              <w:rPr>
                <w:rFonts w:hint="default" w:ascii="Times New Roman" w:hAnsi="Times New Roman" w:eastAsia="宋体" w:cs="Times New Roman"/>
                <w:color w:val="auto"/>
                <w:sz w:val="24"/>
                <w:lang w:val="en-US" w:eastAsia="zh-CN"/>
              </w:rPr>
              <w:t>每提供1份有效合同（</w:t>
            </w:r>
            <w:r>
              <w:rPr>
                <w:rFonts w:hint="eastAsia" w:ascii="Times New Roman" w:hAnsi="Times New Roman" w:eastAsia="宋体" w:cs="Times New Roman"/>
                <w:color w:val="auto"/>
                <w:sz w:val="24"/>
                <w:lang w:val="en-US" w:eastAsia="zh-CN"/>
              </w:rPr>
              <w:t>盖公章</w:t>
            </w:r>
            <w:r>
              <w:rPr>
                <w:rFonts w:hint="default" w:ascii="Times New Roman" w:hAnsi="Times New Roman" w:eastAsia="宋体" w:cs="Times New Roman"/>
                <w:color w:val="auto"/>
                <w:sz w:val="24"/>
                <w:lang w:val="en-US" w:eastAsia="zh-CN"/>
              </w:rPr>
              <w:t>）得</w:t>
            </w:r>
            <w:r>
              <w:rPr>
                <w:rFonts w:hint="eastAsia" w:cs="Times New Roman"/>
                <w:color w:val="auto"/>
                <w:sz w:val="24"/>
                <w:lang w:val="en-US" w:eastAsia="zh-CN"/>
              </w:rPr>
              <w:t>1</w:t>
            </w:r>
            <w:r>
              <w:rPr>
                <w:rFonts w:hint="default" w:ascii="Times New Roman" w:hAnsi="Times New Roman" w:eastAsia="宋体" w:cs="Times New Roman"/>
                <w:color w:val="auto"/>
                <w:sz w:val="24"/>
                <w:lang w:val="en-US" w:eastAsia="zh-CN"/>
              </w:rPr>
              <w:t>分，最高</w:t>
            </w:r>
            <w:r>
              <w:rPr>
                <w:rFonts w:hint="eastAsia" w:cs="Times New Roman"/>
                <w:color w:val="auto"/>
                <w:sz w:val="24"/>
                <w:lang w:val="en-US" w:eastAsia="zh-CN"/>
              </w:rPr>
              <w:t>3</w:t>
            </w:r>
            <w:r>
              <w:rPr>
                <w:rFonts w:hint="default" w:ascii="Times New Roman" w:hAnsi="Times New Roman" w:eastAsia="宋体" w:cs="Times New Roman"/>
                <w:color w:val="auto"/>
                <w:sz w:val="24"/>
                <w:lang w:val="en-US" w:eastAsia="zh-CN"/>
              </w:rPr>
              <w:t>分。</w:t>
            </w:r>
          </w:p>
        </w:tc>
        <w:tc>
          <w:tcPr>
            <w:tcW w:w="505" w:type="pct"/>
            <w:noWrap w:val="0"/>
            <w:vAlign w:val="center"/>
          </w:tcPr>
          <w:p w14:paraId="675F8DA4">
            <w:pPr>
              <w:spacing w:line="276" w:lineRule="auto"/>
              <w:jc w:val="center"/>
              <w:rPr>
                <w:color w:val="auto"/>
              </w:rPr>
            </w:pPr>
            <w:r>
              <w:rPr>
                <w:color w:val="auto"/>
                <w:sz w:val="24"/>
              </w:rPr>
              <w:t>客观分</w:t>
            </w:r>
          </w:p>
        </w:tc>
        <w:tc>
          <w:tcPr>
            <w:tcW w:w="505" w:type="pct"/>
            <w:noWrap w:val="0"/>
            <w:vAlign w:val="center"/>
          </w:tcPr>
          <w:p w14:paraId="2049AC09">
            <w:pPr>
              <w:spacing w:line="276" w:lineRule="auto"/>
              <w:jc w:val="center"/>
              <w:rPr>
                <w:rFonts w:hint="eastAsia"/>
                <w:color w:val="auto"/>
                <w:lang w:val="en-US" w:eastAsia="zh-CN"/>
              </w:rPr>
            </w:pPr>
            <w:r>
              <w:rPr>
                <w:rFonts w:hint="eastAsia"/>
                <w:color w:val="auto"/>
                <w:sz w:val="24"/>
                <w:lang w:val="en-US" w:eastAsia="zh-CN"/>
              </w:rPr>
              <w:t>3</w:t>
            </w:r>
            <w:r>
              <w:rPr>
                <w:color w:val="auto"/>
                <w:sz w:val="24"/>
              </w:rPr>
              <w:t>分</w:t>
            </w:r>
          </w:p>
        </w:tc>
      </w:tr>
      <w:tr w14:paraId="33519D9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7" w:type="pct"/>
            <w:noWrap w:val="0"/>
            <w:vAlign w:val="center"/>
          </w:tcPr>
          <w:p w14:paraId="48138181">
            <w:pPr>
              <w:spacing w:line="276" w:lineRule="auto"/>
              <w:jc w:val="center"/>
              <w:rPr>
                <w:color w:val="auto"/>
              </w:rPr>
            </w:pPr>
            <w:r>
              <w:rPr>
                <w:color w:val="auto"/>
                <w:sz w:val="24"/>
              </w:rPr>
              <w:t>7</w:t>
            </w:r>
          </w:p>
        </w:tc>
        <w:tc>
          <w:tcPr>
            <w:tcW w:w="3591" w:type="pct"/>
            <w:noWrap w:val="0"/>
            <w:vAlign w:val="center"/>
          </w:tcPr>
          <w:p w14:paraId="55EAA1FC">
            <w:pPr>
              <w:spacing w:line="276" w:lineRule="auto"/>
              <w:rPr>
                <w:color w:val="auto"/>
              </w:rPr>
            </w:pPr>
            <w:r>
              <w:rPr>
                <w:rFonts w:hint="eastAsia"/>
                <w:color w:val="auto"/>
                <w:sz w:val="24"/>
                <w:lang w:val="en-US" w:eastAsia="zh-CN"/>
              </w:rPr>
              <w:t>质保期：</w:t>
            </w:r>
            <w:r>
              <w:rPr>
                <w:rFonts w:hint="eastAsia" w:ascii="宋体" w:hAnsi="宋体" w:cs="仿宋_GB2312"/>
                <w:color w:val="auto"/>
                <w:kern w:val="0"/>
                <w:sz w:val="24"/>
                <w:lang w:bidi="ar"/>
              </w:rPr>
              <w:t>质保期在满足招标文件要求的基础上每延长一年得1分，最多得</w:t>
            </w:r>
            <w:r>
              <w:rPr>
                <w:rFonts w:hint="eastAsia" w:ascii="宋体" w:hAnsi="宋体" w:cs="仿宋_GB2312"/>
                <w:color w:val="auto"/>
                <w:kern w:val="0"/>
                <w:sz w:val="24"/>
                <w:lang w:val="en-US" w:eastAsia="zh-CN" w:bidi="ar"/>
              </w:rPr>
              <w:t>3</w:t>
            </w:r>
            <w:r>
              <w:rPr>
                <w:rFonts w:hint="eastAsia" w:ascii="宋体" w:hAnsi="宋体" w:cs="仿宋_GB2312"/>
                <w:color w:val="auto"/>
                <w:kern w:val="0"/>
                <w:sz w:val="24"/>
                <w:lang w:bidi="ar"/>
              </w:rPr>
              <w:t>分，延长时间不足一年的不计入得分。</w:t>
            </w:r>
          </w:p>
        </w:tc>
        <w:tc>
          <w:tcPr>
            <w:tcW w:w="505" w:type="pct"/>
            <w:noWrap w:val="0"/>
            <w:vAlign w:val="center"/>
          </w:tcPr>
          <w:p w14:paraId="1D6BB0AD">
            <w:pPr>
              <w:spacing w:line="276" w:lineRule="auto"/>
              <w:jc w:val="center"/>
              <w:rPr>
                <w:color w:val="auto"/>
              </w:rPr>
            </w:pPr>
            <w:r>
              <w:rPr>
                <w:rFonts w:hint="eastAsia"/>
                <w:color w:val="auto"/>
                <w:sz w:val="24"/>
                <w:lang w:val="en-US" w:eastAsia="zh-CN"/>
              </w:rPr>
              <w:t>客</w:t>
            </w:r>
            <w:r>
              <w:rPr>
                <w:color w:val="auto"/>
                <w:sz w:val="24"/>
              </w:rPr>
              <w:t>观分</w:t>
            </w:r>
          </w:p>
        </w:tc>
        <w:tc>
          <w:tcPr>
            <w:tcW w:w="505" w:type="pct"/>
            <w:noWrap w:val="0"/>
            <w:vAlign w:val="center"/>
          </w:tcPr>
          <w:p w14:paraId="09643813">
            <w:pPr>
              <w:spacing w:line="276" w:lineRule="auto"/>
              <w:jc w:val="center"/>
              <w:rPr>
                <w:rFonts w:hint="eastAsia"/>
                <w:color w:val="auto"/>
                <w:lang w:val="en-US" w:eastAsia="zh-CN"/>
              </w:rPr>
            </w:pPr>
            <w:r>
              <w:rPr>
                <w:rFonts w:hint="eastAsia"/>
                <w:color w:val="auto"/>
                <w:sz w:val="24"/>
                <w:lang w:val="en-US" w:eastAsia="zh-CN"/>
              </w:rPr>
              <w:t>3</w:t>
            </w:r>
            <w:r>
              <w:rPr>
                <w:color w:val="auto"/>
                <w:sz w:val="24"/>
              </w:rPr>
              <w:t>分</w:t>
            </w:r>
          </w:p>
        </w:tc>
      </w:tr>
      <w:tr w14:paraId="1B594B7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trPr>
        <w:tc>
          <w:tcPr>
            <w:tcW w:w="397" w:type="pct"/>
            <w:noWrap w:val="0"/>
            <w:vAlign w:val="center"/>
          </w:tcPr>
          <w:p w14:paraId="2D1602EB">
            <w:pPr>
              <w:spacing w:line="276" w:lineRule="auto"/>
              <w:jc w:val="center"/>
              <w:rPr>
                <w:color w:val="auto"/>
              </w:rPr>
            </w:pPr>
            <w:r>
              <w:rPr>
                <w:color w:val="auto"/>
                <w:sz w:val="24"/>
              </w:rPr>
              <w:t>8</w:t>
            </w:r>
          </w:p>
        </w:tc>
        <w:tc>
          <w:tcPr>
            <w:tcW w:w="3591" w:type="pct"/>
            <w:noWrap w:val="0"/>
            <w:vAlign w:val="center"/>
          </w:tcPr>
          <w:p w14:paraId="740F12D3">
            <w:pPr>
              <w:spacing w:line="276" w:lineRule="auto"/>
              <w:rPr>
                <w:color w:val="auto"/>
              </w:rPr>
            </w:pPr>
            <w:r>
              <w:rPr>
                <w:rFonts w:hint="eastAsia"/>
                <w:color w:val="auto"/>
                <w:sz w:val="24"/>
                <w:lang w:val="en-US" w:eastAsia="zh-CN"/>
              </w:rPr>
              <w:t>价格分：</w:t>
            </w:r>
            <w:r>
              <w:rPr>
                <w:color w:val="auto"/>
                <w:sz w:val="24"/>
              </w:rPr>
              <w:t>以满足采购要求的最低有效报价为评标基准价，价格分满分30分。其他报价得分按公式计算：</w:t>
            </w:r>
            <w:r>
              <w:rPr>
                <w:rFonts w:hint="default"/>
                <w:color w:val="auto"/>
                <w:sz w:val="24"/>
              </w:rPr>
              <w:t>报价得分＝（评标基准价／有效报价）×30（结果保留两位小数，第三位四舍五入）。得分由采购人计算，评委审核。</w:t>
            </w:r>
          </w:p>
        </w:tc>
        <w:tc>
          <w:tcPr>
            <w:tcW w:w="505" w:type="pct"/>
            <w:noWrap w:val="0"/>
            <w:vAlign w:val="center"/>
          </w:tcPr>
          <w:p w14:paraId="469024F2">
            <w:pPr>
              <w:spacing w:line="276" w:lineRule="auto"/>
              <w:jc w:val="center"/>
              <w:rPr>
                <w:color w:val="auto"/>
              </w:rPr>
            </w:pPr>
            <w:r>
              <w:rPr>
                <w:color w:val="auto"/>
                <w:sz w:val="24"/>
              </w:rPr>
              <w:t>价格分</w:t>
            </w:r>
          </w:p>
        </w:tc>
        <w:tc>
          <w:tcPr>
            <w:tcW w:w="505" w:type="pct"/>
            <w:noWrap w:val="0"/>
            <w:vAlign w:val="center"/>
          </w:tcPr>
          <w:p w14:paraId="60BCEF0E">
            <w:pPr>
              <w:spacing w:line="276" w:lineRule="auto"/>
              <w:jc w:val="center"/>
              <w:rPr>
                <w:rFonts w:hint="eastAsia"/>
                <w:color w:val="auto"/>
                <w:lang w:val="en-US" w:eastAsia="zh-CN"/>
              </w:rPr>
            </w:pPr>
            <w:r>
              <w:rPr>
                <w:rFonts w:hint="eastAsia"/>
                <w:color w:val="auto"/>
                <w:sz w:val="24"/>
                <w:lang w:val="en-US" w:eastAsia="zh-CN"/>
              </w:rPr>
              <w:t>3</w:t>
            </w:r>
            <w:r>
              <w:rPr>
                <w:color w:val="auto"/>
                <w:sz w:val="24"/>
              </w:rPr>
              <w:t>0分</w:t>
            </w:r>
          </w:p>
        </w:tc>
      </w:tr>
      <w:tr w14:paraId="2A4B1B3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397" w:type="pct"/>
            <w:noWrap w:val="0"/>
            <w:vAlign w:val="center"/>
          </w:tcPr>
          <w:p w14:paraId="5C450365">
            <w:pPr>
              <w:spacing w:line="276" w:lineRule="auto"/>
              <w:jc w:val="center"/>
              <w:rPr>
                <w:rFonts w:hint="eastAsia"/>
                <w:color w:val="auto"/>
                <w:lang w:eastAsia="zh-CN"/>
              </w:rPr>
            </w:pPr>
            <w:r>
              <w:rPr>
                <w:rFonts w:hint="eastAsia"/>
                <w:color w:val="auto"/>
                <w:sz w:val="24"/>
                <w:lang w:val="en-US" w:eastAsia="zh-CN"/>
              </w:rPr>
              <w:t>9</w:t>
            </w:r>
          </w:p>
        </w:tc>
        <w:tc>
          <w:tcPr>
            <w:tcW w:w="3591" w:type="pct"/>
            <w:noWrap w:val="0"/>
            <w:vAlign w:val="center"/>
          </w:tcPr>
          <w:p w14:paraId="23F825CC">
            <w:pPr>
              <w:spacing w:line="276" w:lineRule="auto"/>
              <w:rPr>
                <w:color w:val="auto"/>
              </w:rPr>
            </w:pPr>
            <w:r>
              <w:rPr>
                <w:rFonts w:hint="eastAsia"/>
                <w:color w:val="auto"/>
                <w:sz w:val="24"/>
              </w:rPr>
              <w:t>总分</w:t>
            </w:r>
          </w:p>
        </w:tc>
        <w:tc>
          <w:tcPr>
            <w:tcW w:w="505" w:type="pct"/>
            <w:noWrap w:val="0"/>
            <w:vAlign w:val="center"/>
          </w:tcPr>
          <w:p w14:paraId="7793333D">
            <w:pPr>
              <w:spacing w:line="276" w:lineRule="auto"/>
              <w:jc w:val="center"/>
              <w:rPr>
                <w:color w:val="auto"/>
              </w:rPr>
            </w:pPr>
          </w:p>
        </w:tc>
        <w:tc>
          <w:tcPr>
            <w:tcW w:w="505" w:type="pct"/>
            <w:noWrap w:val="0"/>
            <w:vAlign w:val="center"/>
          </w:tcPr>
          <w:p w14:paraId="4EC302A4">
            <w:pPr>
              <w:spacing w:line="276" w:lineRule="auto"/>
              <w:jc w:val="center"/>
              <w:rPr>
                <w:rFonts w:hint="eastAsia"/>
                <w:color w:val="auto"/>
              </w:rPr>
            </w:pPr>
            <w:r>
              <w:rPr>
                <w:rFonts w:hint="eastAsia"/>
                <w:color w:val="auto"/>
                <w:sz w:val="24"/>
              </w:rPr>
              <w:t>100分</w:t>
            </w:r>
          </w:p>
        </w:tc>
      </w:tr>
    </w:tbl>
    <w:p w14:paraId="21BEB04B">
      <w:pPr>
        <w:numPr>
          <w:ilvl w:val="0"/>
          <w:numId w:val="0"/>
        </w:numPr>
        <w:rPr>
          <w:rFonts w:hint="eastAsia"/>
          <w:color w:val="auto"/>
        </w:rPr>
      </w:pPr>
    </w:p>
    <w:p w14:paraId="6BD74E6C">
      <w:pPr>
        <w:rPr>
          <w:rFonts w:hint="eastAsia"/>
          <w:color w:val="auto"/>
        </w:rPr>
      </w:pPr>
      <w:r>
        <w:rPr>
          <w:rFonts w:hint="eastAsia"/>
          <w:color w:val="auto"/>
        </w:rPr>
        <w:br w:type="page"/>
      </w:r>
    </w:p>
    <w:p w14:paraId="581493B9">
      <w:pPr>
        <w:pStyle w:val="19"/>
        <w:numPr>
          <w:ilvl w:val="0"/>
          <w:numId w:val="11"/>
        </w:numPr>
        <w:rPr>
          <w:rFonts w:hint="eastAsia" w:eastAsia="宋体"/>
          <w:color w:val="auto"/>
        </w:rPr>
      </w:pPr>
      <w:bookmarkStart w:id="12" w:name="_Toc31724"/>
      <w:r>
        <w:rPr>
          <w:rFonts w:hint="eastAsia" w:eastAsia="宋体"/>
          <w:color w:val="auto"/>
        </w:rPr>
        <w:t>响应文件格式</w:t>
      </w:r>
      <w:bookmarkEnd w:id="12"/>
    </w:p>
    <w:p w14:paraId="737168A1">
      <w:pPr>
        <w:rPr>
          <w:b/>
          <w:bCs/>
          <w:color w:val="auto"/>
          <w:sz w:val="30"/>
          <w:szCs w:val="30"/>
        </w:rPr>
      </w:pPr>
      <w:r>
        <w:rPr>
          <w:rFonts w:hint="eastAsia"/>
          <w:b/>
          <w:bCs/>
          <w:color w:val="auto"/>
          <w:sz w:val="30"/>
          <w:szCs w:val="30"/>
        </w:rPr>
        <w:t>一、响应</w:t>
      </w:r>
      <w:r>
        <w:rPr>
          <w:b/>
          <w:bCs/>
          <w:color w:val="auto"/>
          <w:sz w:val="30"/>
          <w:szCs w:val="30"/>
        </w:rPr>
        <w:t>文件的组成</w:t>
      </w:r>
    </w:p>
    <w:p w14:paraId="7A8ED8F8">
      <w:pPr>
        <w:rPr>
          <w:rFonts w:eastAsiaTheme="minorEastAsia"/>
          <w:color w:val="auto"/>
          <w:sz w:val="24"/>
          <w:szCs w:val="22"/>
        </w:rPr>
      </w:pPr>
      <w:r>
        <w:rPr>
          <w:rFonts w:hint="eastAsia" w:eastAsiaTheme="minorEastAsia"/>
          <w:color w:val="auto"/>
          <w:sz w:val="24"/>
          <w:szCs w:val="22"/>
        </w:rPr>
        <w:t>响应文件由资格证明文件、商务技术文件、报价文件三部份组成。</w:t>
      </w:r>
    </w:p>
    <w:p w14:paraId="25FE4BD3">
      <w:pPr>
        <w:rPr>
          <w:rFonts w:eastAsiaTheme="minorEastAsia"/>
          <w:color w:val="auto"/>
          <w:sz w:val="24"/>
          <w:szCs w:val="22"/>
        </w:rPr>
      </w:pPr>
    </w:p>
    <w:p w14:paraId="104E61C3">
      <w:pPr>
        <w:rPr>
          <w:b/>
          <w:bCs/>
          <w:color w:val="auto"/>
          <w:sz w:val="30"/>
          <w:szCs w:val="30"/>
        </w:rPr>
      </w:pPr>
      <w:r>
        <w:rPr>
          <w:rFonts w:hint="eastAsia"/>
          <w:b/>
          <w:bCs/>
          <w:color w:val="auto"/>
          <w:sz w:val="30"/>
          <w:szCs w:val="30"/>
        </w:rPr>
        <w:t>二</w:t>
      </w:r>
      <w:r>
        <w:rPr>
          <w:b/>
          <w:bCs/>
          <w:color w:val="auto"/>
          <w:sz w:val="30"/>
          <w:szCs w:val="30"/>
        </w:rPr>
        <w:t>、</w:t>
      </w:r>
      <w:r>
        <w:rPr>
          <w:rFonts w:hint="eastAsia"/>
          <w:b/>
          <w:bCs/>
          <w:color w:val="auto"/>
          <w:sz w:val="30"/>
          <w:szCs w:val="30"/>
        </w:rPr>
        <w:t>响应</w:t>
      </w:r>
      <w:r>
        <w:rPr>
          <w:b/>
          <w:bCs/>
          <w:color w:val="auto"/>
          <w:sz w:val="30"/>
          <w:szCs w:val="30"/>
        </w:rPr>
        <w:t>文件内容按如下顺序制作：</w:t>
      </w:r>
    </w:p>
    <w:tbl>
      <w:tblPr>
        <w:tblStyle w:val="2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789"/>
        <w:gridCol w:w="4152"/>
        <w:gridCol w:w="1884"/>
      </w:tblGrid>
      <w:tr w14:paraId="414A4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697" w:type="dxa"/>
            <w:vAlign w:val="center"/>
          </w:tcPr>
          <w:p w14:paraId="625075F0">
            <w:pPr>
              <w:rPr>
                <w:color w:val="auto"/>
              </w:rPr>
            </w:pPr>
            <w:r>
              <w:rPr>
                <w:color w:val="auto"/>
              </w:rPr>
              <w:t>序号</w:t>
            </w:r>
          </w:p>
        </w:tc>
        <w:tc>
          <w:tcPr>
            <w:tcW w:w="1789" w:type="dxa"/>
            <w:vAlign w:val="center"/>
          </w:tcPr>
          <w:p w14:paraId="5E305A15">
            <w:pPr>
              <w:rPr>
                <w:color w:val="auto"/>
              </w:rPr>
            </w:pPr>
            <w:r>
              <w:rPr>
                <w:rFonts w:hint="eastAsia"/>
                <w:color w:val="auto"/>
              </w:rPr>
              <w:t>组成</w:t>
            </w:r>
          </w:p>
        </w:tc>
        <w:tc>
          <w:tcPr>
            <w:tcW w:w="4152" w:type="dxa"/>
            <w:vAlign w:val="center"/>
          </w:tcPr>
          <w:p w14:paraId="424282A3">
            <w:pPr>
              <w:rPr>
                <w:color w:val="auto"/>
              </w:rPr>
            </w:pPr>
            <w:r>
              <w:rPr>
                <w:color w:val="auto"/>
              </w:rPr>
              <w:t>材料名称</w:t>
            </w:r>
          </w:p>
        </w:tc>
        <w:tc>
          <w:tcPr>
            <w:tcW w:w="1884" w:type="dxa"/>
            <w:vAlign w:val="center"/>
          </w:tcPr>
          <w:p w14:paraId="3E29DC5E">
            <w:pPr>
              <w:rPr>
                <w:color w:val="auto"/>
              </w:rPr>
            </w:pPr>
            <w:r>
              <w:rPr>
                <w:color w:val="auto"/>
              </w:rPr>
              <w:t>说明</w:t>
            </w:r>
          </w:p>
        </w:tc>
      </w:tr>
      <w:tr w14:paraId="1B3C1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5CAD74A1">
            <w:pPr>
              <w:rPr>
                <w:color w:val="auto"/>
              </w:rPr>
            </w:pPr>
            <w:r>
              <w:rPr>
                <w:color w:val="auto"/>
              </w:rPr>
              <w:t>1</w:t>
            </w:r>
          </w:p>
        </w:tc>
        <w:tc>
          <w:tcPr>
            <w:tcW w:w="1789" w:type="dxa"/>
            <w:vAlign w:val="center"/>
          </w:tcPr>
          <w:p w14:paraId="7C1C7B16">
            <w:pPr>
              <w:rPr>
                <w:color w:val="auto"/>
              </w:rPr>
            </w:pPr>
            <w:r>
              <w:rPr>
                <w:rFonts w:hint="eastAsia"/>
                <w:color w:val="auto"/>
              </w:rPr>
              <w:t>封面</w:t>
            </w:r>
          </w:p>
        </w:tc>
        <w:tc>
          <w:tcPr>
            <w:tcW w:w="4152" w:type="dxa"/>
            <w:vAlign w:val="center"/>
          </w:tcPr>
          <w:p w14:paraId="69FC38E0">
            <w:pPr>
              <w:rPr>
                <w:color w:val="auto"/>
              </w:rPr>
            </w:pPr>
            <w:r>
              <w:rPr>
                <w:color w:val="auto"/>
              </w:rPr>
              <w:t>封面（附件1）</w:t>
            </w:r>
          </w:p>
        </w:tc>
        <w:tc>
          <w:tcPr>
            <w:tcW w:w="1884" w:type="dxa"/>
          </w:tcPr>
          <w:p w14:paraId="10846701">
            <w:pPr>
              <w:rPr>
                <w:color w:val="auto"/>
              </w:rPr>
            </w:pPr>
          </w:p>
        </w:tc>
      </w:tr>
      <w:tr w14:paraId="40B28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69DB4024">
            <w:pPr>
              <w:rPr>
                <w:color w:val="auto"/>
              </w:rPr>
            </w:pPr>
            <w:r>
              <w:rPr>
                <w:color w:val="auto"/>
              </w:rPr>
              <w:t>2</w:t>
            </w:r>
          </w:p>
        </w:tc>
        <w:tc>
          <w:tcPr>
            <w:tcW w:w="1789" w:type="dxa"/>
            <w:vMerge w:val="restart"/>
            <w:vAlign w:val="center"/>
          </w:tcPr>
          <w:p w14:paraId="6242252F">
            <w:pPr>
              <w:rPr>
                <w:color w:val="auto"/>
              </w:rPr>
            </w:pPr>
            <w:r>
              <w:rPr>
                <w:rFonts w:hint="eastAsia"/>
                <w:color w:val="auto"/>
              </w:rPr>
              <w:t>资格</w:t>
            </w:r>
            <w:r>
              <w:rPr>
                <w:color w:val="auto"/>
              </w:rPr>
              <w:t>证明文件</w:t>
            </w:r>
          </w:p>
        </w:tc>
        <w:tc>
          <w:tcPr>
            <w:tcW w:w="4152" w:type="dxa"/>
            <w:vAlign w:val="center"/>
          </w:tcPr>
          <w:p w14:paraId="3E90A478">
            <w:pPr>
              <w:rPr>
                <w:color w:val="auto"/>
              </w:rPr>
            </w:pPr>
            <w:r>
              <w:rPr>
                <w:color w:val="auto"/>
              </w:rPr>
              <w:t>采购公告发布之日起至公告截止日内任意时间的“信用中国”网站（www.creditchina.gov.cn）的响应供应商信用查询网页截图</w:t>
            </w:r>
          </w:p>
        </w:tc>
        <w:tc>
          <w:tcPr>
            <w:tcW w:w="1884" w:type="dxa"/>
          </w:tcPr>
          <w:p w14:paraId="55529393">
            <w:pPr>
              <w:rPr>
                <w:color w:val="auto"/>
              </w:rPr>
            </w:pPr>
          </w:p>
        </w:tc>
      </w:tr>
      <w:tr w14:paraId="64CD2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08874EBC">
            <w:pPr>
              <w:rPr>
                <w:color w:val="auto"/>
              </w:rPr>
            </w:pPr>
            <w:r>
              <w:rPr>
                <w:color w:val="auto"/>
              </w:rPr>
              <w:t>3</w:t>
            </w:r>
          </w:p>
        </w:tc>
        <w:tc>
          <w:tcPr>
            <w:tcW w:w="1789" w:type="dxa"/>
            <w:vMerge w:val="continue"/>
            <w:vAlign w:val="center"/>
          </w:tcPr>
          <w:p w14:paraId="249DA663">
            <w:pPr>
              <w:rPr>
                <w:color w:val="auto"/>
              </w:rPr>
            </w:pPr>
          </w:p>
        </w:tc>
        <w:tc>
          <w:tcPr>
            <w:tcW w:w="4152" w:type="dxa"/>
            <w:vAlign w:val="center"/>
          </w:tcPr>
          <w:p w14:paraId="4E9172FF">
            <w:pPr>
              <w:rPr>
                <w:color w:val="auto"/>
              </w:rPr>
            </w:pPr>
            <w:r>
              <w:rPr>
                <w:color w:val="auto"/>
              </w:rPr>
              <w:t>企业营业执照</w:t>
            </w:r>
          </w:p>
        </w:tc>
        <w:tc>
          <w:tcPr>
            <w:tcW w:w="1884" w:type="dxa"/>
          </w:tcPr>
          <w:p w14:paraId="3B89463F">
            <w:pPr>
              <w:rPr>
                <w:color w:val="auto"/>
              </w:rPr>
            </w:pPr>
          </w:p>
        </w:tc>
      </w:tr>
      <w:tr w14:paraId="2CE78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481FB769">
            <w:pPr>
              <w:rPr>
                <w:color w:val="auto"/>
              </w:rPr>
            </w:pPr>
            <w:r>
              <w:rPr>
                <w:color w:val="auto"/>
              </w:rPr>
              <w:t>4</w:t>
            </w:r>
          </w:p>
        </w:tc>
        <w:tc>
          <w:tcPr>
            <w:tcW w:w="1789" w:type="dxa"/>
            <w:vMerge w:val="continue"/>
            <w:vAlign w:val="center"/>
          </w:tcPr>
          <w:p w14:paraId="162F5821">
            <w:pPr>
              <w:rPr>
                <w:color w:val="auto"/>
              </w:rPr>
            </w:pPr>
          </w:p>
        </w:tc>
        <w:tc>
          <w:tcPr>
            <w:tcW w:w="4152" w:type="dxa"/>
            <w:vAlign w:val="center"/>
          </w:tcPr>
          <w:p w14:paraId="4AFA00B2">
            <w:pPr>
              <w:rPr>
                <w:color w:val="auto"/>
              </w:rPr>
            </w:pPr>
            <w:r>
              <w:rPr>
                <w:color w:val="auto"/>
              </w:rPr>
              <w:t>法人代表身份证复印件</w:t>
            </w:r>
          </w:p>
        </w:tc>
        <w:tc>
          <w:tcPr>
            <w:tcW w:w="1884" w:type="dxa"/>
          </w:tcPr>
          <w:p w14:paraId="2181857A">
            <w:pPr>
              <w:rPr>
                <w:color w:val="auto"/>
              </w:rPr>
            </w:pPr>
          </w:p>
        </w:tc>
      </w:tr>
      <w:tr w14:paraId="14B60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4F18BE43">
            <w:pPr>
              <w:rPr>
                <w:color w:val="auto"/>
              </w:rPr>
            </w:pPr>
            <w:r>
              <w:rPr>
                <w:rFonts w:hint="eastAsia"/>
                <w:color w:val="auto"/>
              </w:rPr>
              <w:t>5</w:t>
            </w:r>
          </w:p>
        </w:tc>
        <w:tc>
          <w:tcPr>
            <w:tcW w:w="1789" w:type="dxa"/>
            <w:vMerge w:val="continue"/>
            <w:vAlign w:val="center"/>
          </w:tcPr>
          <w:p w14:paraId="75152107">
            <w:pPr>
              <w:rPr>
                <w:color w:val="auto"/>
              </w:rPr>
            </w:pPr>
          </w:p>
        </w:tc>
        <w:tc>
          <w:tcPr>
            <w:tcW w:w="4152" w:type="dxa"/>
            <w:vAlign w:val="center"/>
          </w:tcPr>
          <w:p w14:paraId="10A1936D">
            <w:pPr>
              <w:rPr>
                <w:color w:val="auto"/>
              </w:rPr>
            </w:pPr>
            <w:r>
              <w:rPr>
                <w:color w:val="auto"/>
              </w:rPr>
              <w:t>销售人员身份证复印件</w:t>
            </w:r>
          </w:p>
        </w:tc>
        <w:tc>
          <w:tcPr>
            <w:tcW w:w="1884" w:type="dxa"/>
          </w:tcPr>
          <w:p w14:paraId="69AC0D95">
            <w:pPr>
              <w:rPr>
                <w:color w:val="auto"/>
              </w:rPr>
            </w:pPr>
          </w:p>
        </w:tc>
      </w:tr>
      <w:tr w14:paraId="0BE3E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548EAC21">
            <w:pPr>
              <w:rPr>
                <w:color w:val="auto"/>
              </w:rPr>
            </w:pPr>
            <w:r>
              <w:rPr>
                <w:rFonts w:hint="eastAsia"/>
                <w:color w:val="auto"/>
              </w:rPr>
              <w:t>6</w:t>
            </w:r>
          </w:p>
        </w:tc>
        <w:tc>
          <w:tcPr>
            <w:tcW w:w="1789" w:type="dxa"/>
            <w:vMerge w:val="restart"/>
            <w:vAlign w:val="center"/>
          </w:tcPr>
          <w:p w14:paraId="39466D97">
            <w:pPr>
              <w:rPr>
                <w:color w:val="auto"/>
              </w:rPr>
            </w:pPr>
            <w:r>
              <w:rPr>
                <w:rFonts w:hint="eastAsia" w:eastAsiaTheme="minorEastAsia"/>
                <w:color w:val="auto"/>
                <w:sz w:val="24"/>
                <w:szCs w:val="22"/>
              </w:rPr>
              <w:t>商务技术文件</w:t>
            </w:r>
          </w:p>
        </w:tc>
        <w:tc>
          <w:tcPr>
            <w:tcW w:w="4152" w:type="dxa"/>
            <w:vAlign w:val="center"/>
          </w:tcPr>
          <w:p w14:paraId="3908029A">
            <w:pPr>
              <w:rPr>
                <w:color w:val="auto"/>
              </w:rPr>
            </w:pPr>
            <w:r>
              <w:rPr>
                <w:color w:val="auto"/>
              </w:rPr>
              <w:t>声明书（附件2）</w:t>
            </w:r>
          </w:p>
        </w:tc>
        <w:tc>
          <w:tcPr>
            <w:tcW w:w="1884" w:type="dxa"/>
          </w:tcPr>
          <w:p w14:paraId="001FD3C8">
            <w:pPr>
              <w:rPr>
                <w:color w:val="auto"/>
              </w:rPr>
            </w:pPr>
          </w:p>
        </w:tc>
      </w:tr>
      <w:tr w14:paraId="5279E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04073F54">
            <w:pPr>
              <w:rPr>
                <w:color w:val="auto"/>
              </w:rPr>
            </w:pPr>
            <w:r>
              <w:rPr>
                <w:rFonts w:hint="eastAsia"/>
                <w:color w:val="auto"/>
              </w:rPr>
              <w:t>7</w:t>
            </w:r>
          </w:p>
        </w:tc>
        <w:tc>
          <w:tcPr>
            <w:tcW w:w="1789" w:type="dxa"/>
            <w:vMerge w:val="continue"/>
          </w:tcPr>
          <w:p w14:paraId="18AAF8CC">
            <w:pPr>
              <w:rPr>
                <w:color w:val="auto"/>
              </w:rPr>
            </w:pPr>
          </w:p>
        </w:tc>
        <w:tc>
          <w:tcPr>
            <w:tcW w:w="4152" w:type="dxa"/>
            <w:vAlign w:val="center"/>
          </w:tcPr>
          <w:p w14:paraId="3945BD51">
            <w:pPr>
              <w:rPr>
                <w:color w:val="auto"/>
              </w:rPr>
            </w:pPr>
            <w:r>
              <w:rPr>
                <w:color w:val="auto"/>
              </w:rPr>
              <w:t>法定代表人授权委托书（附件3）</w:t>
            </w:r>
          </w:p>
        </w:tc>
        <w:tc>
          <w:tcPr>
            <w:tcW w:w="1884" w:type="dxa"/>
          </w:tcPr>
          <w:p w14:paraId="452631A1">
            <w:pPr>
              <w:rPr>
                <w:color w:val="auto"/>
              </w:rPr>
            </w:pPr>
          </w:p>
        </w:tc>
      </w:tr>
      <w:tr w14:paraId="6BB28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97" w:type="dxa"/>
          </w:tcPr>
          <w:p w14:paraId="750515F1">
            <w:pPr>
              <w:rPr>
                <w:color w:val="auto"/>
              </w:rPr>
            </w:pPr>
            <w:r>
              <w:rPr>
                <w:rFonts w:hint="eastAsia"/>
                <w:color w:val="auto"/>
              </w:rPr>
              <w:t>8</w:t>
            </w:r>
          </w:p>
        </w:tc>
        <w:tc>
          <w:tcPr>
            <w:tcW w:w="1789" w:type="dxa"/>
            <w:vMerge w:val="continue"/>
          </w:tcPr>
          <w:p w14:paraId="2E826EAA">
            <w:pPr>
              <w:rPr>
                <w:color w:val="auto"/>
              </w:rPr>
            </w:pPr>
          </w:p>
        </w:tc>
        <w:tc>
          <w:tcPr>
            <w:tcW w:w="4152" w:type="dxa"/>
            <w:vAlign w:val="center"/>
          </w:tcPr>
          <w:p w14:paraId="23D96FBB">
            <w:pPr>
              <w:rPr>
                <w:color w:val="auto"/>
              </w:rPr>
            </w:pPr>
            <w:r>
              <w:rPr>
                <w:color w:val="auto"/>
              </w:rPr>
              <w:t>经营许可证或生产许可证（</w:t>
            </w:r>
            <w:r>
              <w:rPr>
                <w:rFonts w:hint="eastAsia"/>
                <w:color w:val="auto"/>
              </w:rPr>
              <w:t>若</w:t>
            </w:r>
            <w:r>
              <w:rPr>
                <w:color w:val="auto"/>
              </w:rPr>
              <w:t>需要）</w:t>
            </w:r>
          </w:p>
        </w:tc>
        <w:tc>
          <w:tcPr>
            <w:tcW w:w="1884" w:type="dxa"/>
          </w:tcPr>
          <w:p w14:paraId="12A6DA5E">
            <w:pPr>
              <w:rPr>
                <w:color w:val="auto"/>
              </w:rPr>
            </w:pPr>
          </w:p>
        </w:tc>
      </w:tr>
      <w:tr w14:paraId="32C30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28A50541">
            <w:pPr>
              <w:rPr>
                <w:color w:val="auto"/>
              </w:rPr>
            </w:pPr>
            <w:r>
              <w:rPr>
                <w:color w:val="auto"/>
              </w:rPr>
              <w:t>9</w:t>
            </w:r>
          </w:p>
        </w:tc>
        <w:tc>
          <w:tcPr>
            <w:tcW w:w="1789" w:type="dxa"/>
            <w:vMerge w:val="continue"/>
          </w:tcPr>
          <w:p w14:paraId="0C4272BC">
            <w:pPr>
              <w:rPr>
                <w:color w:val="auto"/>
              </w:rPr>
            </w:pPr>
          </w:p>
        </w:tc>
        <w:tc>
          <w:tcPr>
            <w:tcW w:w="4152" w:type="dxa"/>
            <w:vAlign w:val="center"/>
          </w:tcPr>
          <w:p w14:paraId="7A0CC092">
            <w:pPr>
              <w:rPr>
                <w:color w:val="auto"/>
              </w:rPr>
            </w:pPr>
            <w:r>
              <w:rPr>
                <w:color w:val="auto"/>
              </w:rPr>
              <w:t>厂家给经销商</w:t>
            </w:r>
            <w:r>
              <w:rPr>
                <w:rFonts w:hint="eastAsia"/>
                <w:color w:val="auto"/>
              </w:rPr>
              <w:t>的逐级</w:t>
            </w:r>
            <w:r>
              <w:rPr>
                <w:color w:val="auto"/>
              </w:rPr>
              <w:t>授权</w:t>
            </w:r>
            <w:r>
              <w:rPr>
                <w:rFonts w:hint="eastAsia"/>
                <w:color w:val="auto"/>
              </w:rPr>
              <w:t>书</w:t>
            </w:r>
            <w:r>
              <w:rPr>
                <w:color w:val="auto"/>
              </w:rPr>
              <w:t>（</w:t>
            </w:r>
            <w:r>
              <w:rPr>
                <w:rFonts w:hint="eastAsia"/>
                <w:color w:val="auto"/>
              </w:rPr>
              <w:t>若</w:t>
            </w:r>
            <w:r>
              <w:rPr>
                <w:color w:val="auto"/>
              </w:rPr>
              <w:t>需要）</w:t>
            </w:r>
          </w:p>
        </w:tc>
        <w:tc>
          <w:tcPr>
            <w:tcW w:w="1884" w:type="dxa"/>
          </w:tcPr>
          <w:p w14:paraId="306D54BB">
            <w:pPr>
              <w:rPr>
                <w:color w:val="auto"/>
              </w:rPr>
            </w:pPr>
          </w:p>
        </w:tc>
      </w:tr>
      <w:tr w14:paraId="50D5E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4EE50CF9">
            <w:pPr>
              <w:rPr>
                <w:color w:val="auto"/>
              </w:rPr>
            </w:pPr>
            <w:r>
              <w:rPr>
                <w:color w:val="auto"/>
              </w:rPr>
              <w:t>10</w:t>
            </w:r>
          </w:p>
        </w:tc>
        <w:tc>
          <w:tcPr>
            <w:tcW w:w="1789" w:type="dxa"/>
            <w:vMerge w:val="continue"/>
          </w:tcPr>
          <w:p w14:paraId="2BFACB00">
            <w:pPr>
              <w:rPr>
                <w:color w:val="auto"/>
              </w:rPr>
            </w:pPr>
          </w:p>
        </w:tc>
        <w:tc>
          <w:tcPr>
            <w:tcW w:w="4152" w:type="dxa"/>
            <w:vAlign w:val="center"/>
          </w:tcPr>
          <w:p w14:paraId="0848F427">
            <w:pPr>
              <w:rPr>
                <w:color w:val="auto"/>
              </w:rPr>
            </w:pPr>
            <w:r>
              <w:rPr>
                <w:rFonts w:hint="eastAsia"/>
                <w:color w:val="auto"/>
                <w:lang w:val="en-US" w:eastAsia="zh-CN"/>
              </w:rPr>
              <w:t>资质</w:t>
            </w:r>
            <w:r>
              <w:rPr>
                <w:rFonts w:hint="eastAsia"/>
                <w:color w:val="auto"/>
              </w:rPr>
              <w:t>证书</w:t>
            </w:r>
          </w:p>
        </w:tc>
        <w:tc>
          <w:tcPr>
            <w:tcW w:w="1884" w:type="dxa"/>
          </w:tcPr>
          <w:p w14:paraId="2935A505">
            <w:pPr>
              <w:rPr>
                <w:color w:val="auto"/>
              </w:rPr>
            </w:pPr>
            <w:r>
              <w:rPr>
                <w:rFonts w:hint="eastAsia"/>
                <w:b/>
                <w:bCs/>
                <w:color w:val="auto"/>
              </w:rPr>
              <w:t>须提供资质证书复印件加盖公章</w:t>
            </w:r>
          </w:p>
        </w:tc>
      </w:tr>
      <w:tr w14:paraId="74866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285DBC97">
            <w:pPr>
              <w:rPr>
                <w:color w:val="auto"/>
              </w:rPr>
            </w:pPr>
            <w:r>
              <w:rPr>
                <w:color w:val="auto"/>
              </w:rPr>
              <w:t>11</w:t>
            </w:r>
          </w:p>
        </w:tc>
        <w:tc>
          <w:tcPr>
            <w:tcW w:w="1789" w:type="dxa"/>
            <w:vMerge w:val="continue"/>
          </w:tcPr>
          <w:p w14:paraId="6E7E01AB">
            <w:pPr>
              <w:rPr>
                <w:color w:val="auto"/>
              </w:rPr>
            </w:pPr>
          </w:p>
        </w:tc>
        <w:tc>
          <w:tcPr>
            <w:tcW w:w="4152" w:type="dxa"/>
            <w:vAlign w:val="center"/>
          </w:tcPr>
          <w:p w14:paraId="2E4EDE7F">
            <w:pPr>
              <w:rPr>
                <w:color w:val="auto"/>
              </w:rPr>
            </w:pPr>
            <w:r>
              <w:rPr>
                <w:color w:val="auto"/>
              </w:rPr>
              <w:t>技术响应表（附件4）</w:t>
            </w:r>
          </w:p>
        </w:tc>
        <w:tc>
          <w:tcPr>
            <w:tcW w:w="1884" w:type="dxa"/>
          </w:tcPr>
          <w:p w14:paraId="3D528195">
            <w:pPr>
              <w:rPr>
                <w:color w:val="auto"/>
              </w:rPr>
            </w:pPr>
            <w:r>
              <w:rPr>
                <w:rFonts w:hint="eastAsia"/>
                <w:b/>
                <w:color w:val="auto"/>
              </w:rPr>
              <w:t>项目内容和技术要求、商务要求均需逐项响应</w:t>
            </w:r>
          </w:p>
        </w:tc>
      </w:tr>
      <w:tr w14:paraId="57AD2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55F0CF84">
            <w:pPr>
              <w:rPr>
                <w:rFonts w:hint="eastAsia" w:eastAsia="宋体"/>
                <w:color w:val="auto"/>
                <w:lang w:eastAsia="zh-CN"/>
              </w:rPr>
            </w:pPr>
            <w:r>
              <w:rPr>
                <w:color w:val="auto"/>
              </w:rPr>
              <w:t>1</w:t>
            </w:r>
            <w:r>
              <w:rPr>
                <w:rFonts w:hint="eastAsia"/>
                <w:color w:val="auto"/>
                <w:lang w:val="en-US" w:eastAsia="zh-CN"/>
              </w:rPr>
              <w:t>2</w:t>
            </w:r>
          </w:p>
        </w:tc>
        <w:tc>
          <w:tcPr>
            <w:tcW w:w="1789" w:type="dxa"/>
            <w:vMerge w:val="continue"/>
          </w:tcPr>
          <w:p w14:paraId="744E1A71">
            <w:pPr>
              <w:rPr>
                <w:color w:val="auto"/>
              </w:rPr>
            </w:pPr>
          </w:p>
        </w:tc>
        <w:tc>
          <w:tcPr>
            <w:tcW w:w="4152" w:type="dxa"/>
            <w:vAlign w:val="center"/>
          </w:tcPr>
          <w:p w14:paraId="0BDA633F">
            <w:pPr>
              <w:rPr>
                <w:color w:val="auto"/>
              </w:rPr>
            </w:pPr>
            <w:r>
              <w:rPr>
                <w:rFonts w:hint="eastAsia"/>
                <w:color w:val="auto"/>
              </w:rPr>
              <w:t>所投</w:t>
            </w:r>
            <w:r>
              <w:rPr>
                <w:color w:val="auto"/>
              </w:rPr>
              <w:t>产品彩页</w:t>
            </w:r>
            <w:r>
              <w:rPr>
                <w:rFonts w:hint="eastAsia"/>
                <w:color w:val="auto"/>
              </w:rPr>
              <w:t>、</w:t>
            </w:r>
            <w:r>
              <w:rPr>
                <w:color w:val="auto"/>
              </w:rPr>
              <w:t>技术参数文件</w:t>
            </w:r>
          </w:p>
        </w:tc>
        <w:tc>
          <w:tcPr>
            <w:tcW w:w="1884" w:type="dxa"/>
          </w:tcPr>
          <w:p w14:paraId="52025E09">
            <w:pPr>
              <w:rPr>
                <w:color w:val="auto"/>
              </w:rPr>
            </w:pPr>
          </w:p>
        </w:tc>
      </w:tr>
      <w:tr w14:paraId="102BF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Align w:val="top"/>
          </w:tcPr>
          <w:p w14:paraId="7082F9FB">
            <w:pPr>
              <w:rPr>
                <w:color w:val="auto"/>
              </w:rPr>
            </w:pPr>
            <w:r>
              <w:rPr>
                <w:color w:val="auto"/>
              </w:rPr>
              <w:t>13</w:t>
            </w:r>
          </w:p>
        </w:tc>
        <w:tc>
          <w:tcPr>
            <w:tcW w:w="1789" w:type="dxa"/>
            <w:vMerge w:val="continue"/>
          </w:tcPr>
          <w:p w14:paraId="052BFFF4">
            <w:pPr>
              <w:rPr>
                <w:color w:val="auto"/>
              </w:rPr>
            </w:pPr>
          </w:p>
        </w:tc>
        <w:tc>
          <w:tcPr>
            <w:tcW w:w="4152" w:type="dxa"/>
            <w:vAlign w:val="center"/>
          </w:tcPr>
          <w:p w14:paraId="5D94AC65">
            <w:pPr>
              <w:rPr>
                <w:color w:val="auto"/>
              </w:rPr>
            </w:pPr>
            <w:r>
              <w:rPr>
                <w:rFonts w:hint="eastAsia"/>
                <w:color w:val="auto"/>
              </w:rPr>
              <w:t>维保</w:t>
            </w:r>
            <w:r>
              <w:rPr>
                <w:color w:val="auto"/>
              </w:rPr>
              <w:t>方案</w:t>
            </w:r>
          </w:p>
        </w:tc>
        <w:tc>
          <w:tcPr>
            <w:tcW w:w="1884" w:type="dxa"/>
          </w:tcPr>
          <w:p w14:paraId="2B03B25D">
            <w:pPr>
              <w:rPr>
                <w:color w:val="auto"/>
              </w:rPr>
            </w:pPr>
          </w:p>
        </w:tc>
      </w:tr>
      <w:tr w14:paraId="02E2F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Align w:val="top"/>
          </w:tcPr>
          <w:p w14:paraId="64B3ECED">
            <w:pPr>
              <w:rPr>
                <w:color w:val="auto"/>
              </w:rPr>
            </w:pPr>
            <w:r>
              <w:rPr>
                <w:rFonts w:hint="eastAsia"/>
                <w:color w:val="auto"/>
              </w:rPr>
              <w:t>14</w:t>
            </w:r>
          </w:p>
        </w:tc>
        <w:tc>
          <w:tcPr>
            <w:tcW w:w="1789" w:type="dxa"/>
            <w:vMerge w:val="continue"/>
          </w:tcPr>
          <w:p w14:paraId="21724648">
            <w:pPr>
              <w:rPr>
                <w:color w:val="auto"/>
              </w:rPr>
            </w:pPr>
          </w:p>
        </w:tc>
        <w:tc>
          <w:tcPr>
            <w:tcW w:w="4152" w:type="dxa"/>
            <w:vAlign w:val="center"/>
          </w:tcPr>
          <w:p w14:paraId="28956B9A">
            <w:pPr>
              <w:rPr>
                <w:color w:val="auto"/>
              </w:rPr>
            </w:pPr>
            <w:r>
              <w:rPr>
                <w:rFonts w:hint="eastAsia"/>
                <w:color w:val="auto"/>
              </w:rPr>
              <w:t>售后</w:t>
            </w:r>
            <w:r>
              <w:rPr>
                <w:color w:val="auto"/>
              </w:rPr>
              <w:t>服务方案</w:t>
            </w:r>
          </w:p>
        </w:tc>
        <w:tc>
          <w:tcPr>
            <w:tcW w:w="1884" w:type="dxa"/>
          </w:tcPr>
          <w:p w14:paraId="5EBDAAB9">
            <w:pPr>
              <w:rPr>
                <w:color w:val="auto"/>
              </w:rPr>
            </w:pPr>
          </w:p>
        </w:tc>
      </w:tr>
      <w:tr w14:paraId="1084D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Align w:val="top"/>
          </w:tcPr>
          <w:p w14:paraId="0123876B">
            <w:pPr>
              <w:rPr>
                <w:color w:val="auto"/>
              </w:rPr>
            </w:pPr>
            <w:r>
              <w:rPr>
                <w:rFonts w:hint="eastAsia"/>
                <w:color w:val="auto"/>
              </w:rPr>
              <w:t>15</w:t>
            </w:r>
          </w:p>
        </w:tc>
        <w:tc>
          <w:tcPr>
            <w:tcW w:w="1789" w:type="dxa"/>
            <w:vMerge w:val="continue"/>
          </w:tcPr>
          <w:p w14:paraId="2CE6C3A7">
            <w:pPr>
              <w:rPr>
                <w:color w:val="auto"/>
              </w:rPr>
            </w:pPr>
          </w:p>
        </w:tc>
        <w:tc>
          <w:tcPr>
            <w:tcW w:w="4152" w:type="dxa"/>
            <w:vAlign w:val="center"/>
          </w:tcPr>
          <w:p w14:paraId="10E31746">
            <w:pPr>
              <w:rPr>
                <w:color w:val="auto"/>
              </w:rPr>
            </w:pPr>
            <w:r>
              <w:rPr>
                <w:rFonts w:hAnsi="宋体"/>
                <w:color w:val="auto"/>
                <w:kern w:val="0"/>
                <w:szCs w:val="21"/>
              </w:rPr>
              <w:t>提供</w:t>
            </w:r>
            <w:r>
              <w:rPr>
                <w:rFonts w:hint="eastAsia" w:hAnsi="宋体"/>
                <w:color w:val="auto"/>
                <w:kern w:val="0"/>
                <w:szCs w:val="21"/>
              </w:rPr>
              <w:t>案例</w:t>
            </w:r>
            <w:r>
              <w:rPr>
                <w:rFonts w:hAnsi="宋体"/>
                <w:color w:val="auto"/>
                <w:kern w:val="0"/>
                <w:szCs w:val="21"/>
              </w:rPr>
              <w:t>用户名单及合同复印件</w:t>
            </w:r>
            <w:r>
              <w:rPr>
                <w:rFonts w:hint="eastAsia" w:hAnsi="宋体"/>
                <w:color w:val="auto"/>
                <w:kern w:val="0"/>
                <w:szCs w:val="21"/>
              </w:rPr>
              <w:t>（202</w:t>
            </w:r>
            <w:r>
              <w:rPr>
                <w:rFonts w:hint="eastAsia" w:hAnsi="宋体"/>
                <w:color w:val="auto"/>
                <w:kern w:val="0"/>
                <w:szCs w:val="21"/>
                <w:lang w:val="en-US" w:eastAsia="zh-CN"/>
              </w:rPr>
              <w:t>3</w:t>
            </w:r>
            <w:r>
              <w:rPr>
                <w:rFonts w:hint="eastAsia" w:hAnsi="宋体"/>
                <w:color w:val="auto"/>
                <w:kern w:val="0"/>
                <w:szCs w:val="21"/>
              </w:rPr>
              <w:t>年至今）</w:t>
            </w:r>
          </w:p>
        </w:tc>
        <w:tc>
          <w:tcPr>
            <w:tcW w:w="1884" w:type="dxa"/>
          </w:tcPr>
          <w:p w14:paraId="2A3FD2C7">
            <w:pPr>
              <w:rPr>
                <w:b/>
                <w:color w:val="auto"/>
              </w:rPr>
            </w:pPr>
            <w:r>
              <w:rPr>
                <w:rFonts w:hint="eastAsia"/>
                <w:b/>
                <w:color w:val="auto"/>
              </w:rPr>
              <w:t>合同配置及价格清晰可见，且加盖公章，否则案例无效</w:t>
            </w:r>
          </w:p>
        </w:tc>
      </w:tr>
      <w:tr w14:paraId="2F77B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13872264">
            <w:pPr>
              <w:rPr>
                <w:rFonts w:hint="eastAsia" w:eastAsia="宋体"/>
                <w:color w:val="auto"/>
                <w:lang w:eastAsia="zh-CN"/>
              </w:rPr>
            </w:pPr>
            <w:r>
              <w:rPr>
                <w:rFonts w:hint="eastAsia"/>
                <w:color w:val="auto"/>
              </w:rPr>
              <w:t>1</w:t>
            </w:r>
            <w:r>
              <w:rPr>
                <w:rFonts w:hint="eastAsia"/>
                <w:color w:val="auto"/>
                <w:lang w:val="en-US" w:eastAsia="zh-CN"/>
              </w:rPr>
              <w:t>6</w:t>
            </w:r>
          </w:p>
        </w:tc>
        <w:tc>
          <w:tcPr>
            <w:tcW w:w="1789" w:type="dxa"/>
            <w:vMerge w:val="continue"/>
          </w:tcPr>
          <w:p w14:paraId="7A34F892">
            <w:pPr>
              <w:rPr>
                <w:color w:val="auto"/>
              </w:rPr>
            </w:pPr>
          </w:p>
        </w:tc>
        <w:tc>
          <w:tcPr>
            <w:tcW w:w="4152" w:type="dxa"/>
            <w:vAlign w:val="center"/>
          </w:tcPr>
          <w:p w14:paraId="021000E4">
            <w:pPr>
              <w:rPr>
                <w:color w:val="auto"/>
              </w:rPr>
            </w:pPr>
            <w:r>
              <w:rPr>
                <w:color w:val="auto"/>
              </w:rPr>
              <w:t>其他优惠条件</w:t>
            </w:r>
          </w:p>
        </w:tc>
        <w:tc>
          <w:tcPr>
            <w:tcW w:w="1884" w:type="dxa"/>
          </w:tcPr>
          <w:p w14:paraId="13403B80">
            <w:pPr>
              <w:rPr>
                <w:color w:val="auto"/>
              </w:rPr>
            </w:pPr>
          </w:p>
        </w:tc>
      </w:tr>
      <w:tr w14:paraId="29446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57BCC8F0">
            <w:pPr>
              <w:rPr>
                <w:rFonts w:hint="eastAsia" w:eastAsia="宋体"/>
                <w:color w:val="auto"/>
                <w:lang w:eastAsia="zh-CN"/>
              </w:rPr>
            </w:pPr>
            <w:r>
              <w:rPr>
                <w:rFonts w:hint="eastAsia"/>
                <w:color w:val="auto"/>
              </w:rPr>
              <w:t>1</w:t>
            </w:r>
            <w:r>
              <w:rPr>
                <w:rFonts w:hint="eastAsia"/>
                <w:color w:val="auto"/>
                <w:lang w:val="en-US" w:eastAsia="zh-CN"/>
              </w:rPr>
              <w:t>7</w:t>
            </w:r>
          </w:p>
        </w:tc>
        <w:tc>
          <w:tcPr>
            <w:tcW w:w="1789" w:type="dxa"/>
            <w:vAlign w:val="center"/>
          </w:tcPr>
          <w:p w14:paraId="79B23662">
            <w:pPr>
              <w:rPr>
                <w:color w:val="auto"/>
              </w:rPr>
            </w:pPr>
            <w:r>
              <w:rPr>
                <w:rFonts w:hint="eastAsia" w:eastAsiaTheme="minorEastAsia"/>
                <w:color w:val="auto"/>
                <w:sz w:val="24"/>
                <w:szCs w:val="22"/>
              </w:rPr>
              <w:t>报价文件</w:t>
            </w:r>
          </w:p>
        </w:tc>
        <w:tc>
          <w:tcPr>
            <w:tcW w:w="4152" w:type="dxa"/>
            <w:vAlign w:val="center"/>
          </w:tcPr>
          <w:p w14:paraId="0F297331">
            <w:pPr>
              <w:rPr>
                <w:color w:val="auto"/>
              </w:rPr>
            </w:pPr>
            <w:r>
              <w:rPr>
                <w:color w:val="auto"/>
              </w:rPr>
              <w:t>项目报价单（附件</w:t>
            </w:r>
            <w:r>
              <w:rPr>
                <w:rFonts w:hint="eastAsia"/>
                <w:color w:val="auto"/>
              </w:rPr>
              <w:t>5</w:t>
            </w:r>
            <w:r>
              <w:rPr>
                <w:color w:val="auto"/>
              </w:rPr>
              <w:t>）</w:t>
            </w:r>
          </w:p>
        </w:tc>
        <w:tc>
          <w:tcPr>
            <w:tcW w:w="1884" w:type="dxa"/>
          </w:tcPr>
          <w:p w14:paraId="6A90D58C">
            <w:pPr>
              <w:rPr>
                <w:color w:val="auto"/>
              </w:rPr>
            </w:pPr>
          </w:p>
        </w:tc>
      </w:tr>
    </w:tbl>
    <w:p w14:paraId="22BB4559">
      <w:pPr>
        <w:rPr>
          <w:b/>
          <w:bCs/>
          <w:color w:val="auto"/>
          <w:sz w:val="24"/>
        </w:rPr>
      </w:pPr>
      <w:r>
        <w:rPr>
          <w:b/>
          <w:color w:val="auto"/>
        </w:rPr>
        <w:t>注：正本所有文件需加盖公司红章，副本为正本的复印件。</w:t>
      </w:r>
    </w:p>
    <w:p w14:paraId="43AF23EF">
      <w:pPr>
        <w:rPr>
          <w:b/>
          <w:bCs/>
          <w:color w:val="auto"/>
          <w:sz w:val="32"/>
        </w:rPr>
      </w:pPr>
    </w:p>
    <w:p w14:paraId="200C4707">
      <w:pPr>
        <w:rPr>
          <w:color w:val="auto"/>
        </w:rPr>
      </w:pPr>
    </w:p>
    <w:p w14:paraId="07AF66D8">
      <w:pPr>
        <w:rPr>
          <w:b/>
          <w:bCs/>
          <w:color w:val="auto"/>
          <w:sz w:val="32"/>
        </w:rPr>
      </w:pPr>
    </w:p>
    <w:p w14:paraId="10E119B5">
      <w:pPr>
        <w:rPr>
          <w:b/>
          <w:bCs/>
          <w:color w:val="auto"/>
          <w:sz w:val="32"/>
        </w:rPr>
      </w:pPr>
    </w:p>
    <w:p w14:paraId="5F1F2D16">
      <w:pPr>
        <w:snapToGrid w:val="0"/>
        <w:spacing w:beforeLines="50" w:after="50" w:line="460" w:lineRule="exact"/>
        <w:rPr>
          <w:rFonts w:eastAsia="仿宋"/>
          <w:color w:val="auto"/>
          <w:sz w:val="30"/>
          <w:szCs w:val="30"/>
        </w:rPr>
      </w:pPr>
      <w:r>
        <w:rPr>
          <w:rFonts w:hAnsi="仿宋" w:eastAsia="仿宋"/>
          <w:color w:val="auto"/>
          <w:sz w:val="30"/>
          <w:szCs w:val="30"/>
        </w:rPr>
        <w:t>附件</w:t>
      </w:r>
      <w:r>
        <w:rPr>
          <w:rFonts w:eastAsia="仿宋"/>
          <w:color w:val="auto"/>
          <w:sz w:val="30"/>
          <w:szCs w:val="30"/>
        </w:rPr>
        <w:t>1</w:t>
      </w:r>
      <w:r>
        <w:rPr>
          <w:rFonts w:hAnsi="仿宋" w:eastAsia="仿宋"/>
          <w:color w:val="auto"/>
          <w:sz w:val="30"/>
          <w:szCs w:val="30"/>
        </w:rPr>
        <w:t>：响应文件封面</w:t>
      </w:r>
      <w:r>
        <w:rPr>
          <w:rFonts w:hAnsi="仿宋" w:eastAsia="仿宋"/>
          <w:bCs/>
          <w:color w:val="auto"/>
          <w:sz w:val="30"/>
          <w:szCs w:val="30"/>
        </w:rPr>
        <w:t>正本或副本</w:t>
      </w:r>
    </w:p>
    <w:p w14:paraId="04D4A157">
      <w:pPr>
        <w:ind w:firstLine="1320" w:firstLineChars="300"/>
        <w:rPr>
          <w:color w:val="auto"/>
          <w:sz w:val="44"/>
          <w:szCs w:val="44"/>
        </w:rPr>
      </w:pPr>
      <w:r>
        <w:rPr>
          <w:rFonts w:hAnsi="Calibri"/>
          <w:color w:val="auto"/>
          <w:sz w:val="44"/>
          <w:szCs w:val="44"/>
        </w:rPr>
        <w:t>浙江大学医学院附属妇产科医院</w:t>
      </w:r>
    </w:p>
    <w:p w14:paraId="76DCDB68">
      <w:pPr>
        <w:ind w:firstLine="3080" w:firstLineChars="700"/>
        <w:rPr>
          <w:color w:val="auto"/>
          <w:sz w:val="44"/>
          <w:szCs w:val="44"/>
        </w:rPr>
      </w:pPr>
      <w:r>
        <w:rPr>
          <w:rFonts w:hAnsi="Calibri"/>
          <w:color w:val="auto"/>
          <w:sz w:val="44"/>
          <w:szCs w:val="44"/>
        </w:rPr>
        <w:t>（</w:t>
      </w:r>
      <w:r>
        <w:rPr>
          <w:rFonts w:hint="eastAsia" w:hAnsi="Calibri"/>
          <w:color w:val="auto"/>
          <w:sz w:val="44"/>
          <w:szCs w:val="44"/>
        </w:rPr>
        <w:t>信息项目</w:t>
      </w:r>
      <w:r>
        <w:rPr>
          <w:rFonts w:hAnsi="Calibri"/>
          <w:color w:val="auto"/>
          <w:sz w:val="44"/>
          <w:szCs w:val="44"/>
        </w:rPr>
        <w:t>）</w:t>
      </w:r>
    </w:p>
    <w:tbl>
      <w:tblPr>
        <w:tblStyle w:val="46"/>
        <w:tblW w:w="861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04"/>
        <w:gridCol w:w="1704"/>
        <w:gridCol w:w="1704"/>
        <w:gridCol w:w="3501"/>
      </w:tblGrid>
      <w:tr w14:paraId="7E989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4D93D083">
            <w:pPr>
              <w:rPr>
                <w:rFonts w:ascii="Calibri" w:hAnsi="Calibri"/>
                <w:color w:val="auto"/>
                <w:sz w:val="36"/>
                <w:szCs w:val="36"/>
              </w:rPr>
            </w:pPr>
            <w:r>
              <w:rPr>
                <w:rFonts w:ascii="Calibri" w:hAnsi="Calibri"/>
                <w:color w:val="auto"/>
                <w:sz w:val="36"/>
                <w:szCs w:val="36"/>
              </w:rPr>
              <w:t>项目名称：</w:t>
            </w:r>
          </w:p>
        </w:tc>
      </w:tr>
      <w:tr w14:paraId="4A393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2DF65016">
            <w:pPr>
              <w:rPr>
                <w:rFonts w:ascii="Calibri" w:hAnsi="Calibri"/>
                <w:color w:val="auto"/>
                <w:sz w:val="36"/>
                <w:szCs w:val="36"/>
              </w:rPr>
            </w:pPr>
            <w:r>
              <w:rPr>
                <w:rFonts w:ascii="Calibri" w:hAnsi="Calibri"/>
                <w:color w:val="auto"/>
                <w:sz w:val="36"/>
                <w:szCs w:val="36"/>
              </w:rPr>
              <w:t>项目编号：</w:t>
            </w:r>
          </w:p>
        </w:tc>
      </w:tr>
      <w:tr w14:paraId="0BA07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restart"/>
          </w:tcPr>
          <w:p w14:paraId="4C5909EE">
            <w:pPr>
              <w:rPr>
                <w:rFonts w:ascii="Calibri" w:hAnsi="Calibri"/>
                <w:color w:val="auto"/>
                <w:sz w:val="28"/>
                <w:szCs w:val="28"/>
              </w:rPr>
            </w:pPr>
          </w:p>
        </w:tc>
        <w:tc>
          <w:tcPr>
            <w:tcW w:w="1704" w:type="dxa"/>
          </w:tcPr>
          <w:p w14:paraId="614AEC19">
            <w:pPr>
              <w:rPr>
                <w:rFonts w:ascii="Calibri" w:hAnsi="Calibri"/>
                <w:color w:val="auto"/>
                <w:sz w:val="28"/>
                <w:szCs w:val="28"/>
              </w:rPr>
            </w:pPr>
          </w:p>
        </w:tc>
        <w:tc>
          <w:tcPr>
            <w:tcW w:w="1704" w:type="dxa"/>
            <w:vMerge w:val="restart"/>
          </w:tcPr>
          <w:p w14:paraId="72B5F601">
            <w:pPr>
              <w:spacing w:line="720" w:lineRule="auto"/>
              <w:rPr>
                <w:rFonts w:ascii="Calibri" w:hAnsi="Calibri"/>
                <w:color w:val="auto"/>
                <w:sz w:val="84"/>
                <w:szCs w:val="84"/>
              </w:rPr>
            </w:pPr>
          </w:p>
          <w:p w14:paraId="7C11CDAF">
            <w:pPr>
              <w:spacing w:line="720" w:lineRule="auto"/>
              <w:rPr>
                <w:rFonts w:ascii="Calibri" w:hAnsi="Calibri"/>
                <w:color w:val="auto"/>
                <w:sz w:val="36"/>
                <w:szCs w:val="36"/>
              </w:rPr>
            </w:pPr>
          </w:p>
          <w:p w14:paraId="18B43213">
            <w:pPr>
              <w:spacing w:line="720" w:lineRule="auto"/>
              <w:rPr>
                <w:rFonts w:ascii="Calibri" w:hAnsi="Calibri"/>
                <w:color w:val="auto"/>
                <w:sz w:val="84"/>
                <w:szCs w:val="84"/>
              </w:rPr>
            </w:pPr>
            <w:r>
              <w:rPr>
                <w:rFonts w:ascii="Calibri" w:hAnsi="Calibri"/>
                <w:color w:val="auto"/>
                <w:sz w:val="84"/>
                <w:szCs w:val="84"/>
              </w:rPr>
              <w:t>响应文件</w:t>
            </w:r>
          </w:p>
        </w:tc>
        <w:tc>
          <w:tcPr>
            <w:tcW w:w="3501" w:type="dxa"/>
            <w:vMerge w:val="restart"/>
          </w:tcPr>
          <w:p w14:paraId="119DFB37">
            <w:pPr>
              <w:rPr>
                <w:rFonts w:ascii="Calibri" w:hAnsi="Calibri"/>
                <w:color w:val="auto"/>
                <w:sz w:val="28"/>
                <w:szCs w:val="28"/>
              </w:rPr>
            </w:pPr>
          </w:p>
        </w:tc>
      </w:tr>
      <w:tr w14:paraId="4E78A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32660C21">
            <w:pPr>
              <w:rPr>
                <w:rFonts w:ascii="Calibri" w:hAnsi="Calibri"/>
                <w:color w:val="auto"/>
                <w:sz w:val="28"/>
                <w:szCs w:val="28"/>
              </w:rPr>
            </w:pPr>
          </w:p>
        </w:tc>
        <w:tc>
          <w:tcPr>
            <w:tcW w:w="1704" w:type="dxa"/>
          </w:tcPr>
          <w:p w14:paraId="3739065E">
            <w:pPr>
              <w:rPr>
                <w:rFonts w:ascii="Calibri" w:hAnsi="Calibri"/>
                <w:color w:val="auto"/>
                <w:sz w:val="28"/>
                <w:szCs w:val="28"/>
              </w:rPr>
            </w:pPr>
          </w:p>
        </w:tc>
        <w:tc>
          <w:tcPr>
            <w:tcW w:w="1704" w:type="dxa"/>
            <w:vMerge w:val="continue"/>
          </w:tcPr>
          <w:p w14:paraId="6685C81C">
            <w:pPr>
              <w:rPr>
                <w:rFonts w:ascii="Calibri" w:hAnsi="Calibri"/>
                <w:color w:val="auto"/>
                <w:sz w:val="28"/>
                <w:szCs w:val="28"/>
              </w:rPr>
            </w:pPr>
          </w:p>
        </w:tc>
        <w:tc>
          <w:tcPr>
            <w:tcW w:w="3501" w:type="dxa"/>
            <w:vMerge w:val="continue"/>
          </w:tcPr>
          <w:p w14:paraId="0C807D2C">
            <w:pPr>
              <w:rPr>
                <w:rFonts w:ascii="Calibri" w:hAnsi="Calibri"/>
                <w:color w:val="auto"/>
                <w:sz w:val="28"/>
                <w:szCs w:val="28"/>
              </w:rPr>
            </w:pPr>
          </w:p>
        </w:tc>
      </w:tr>
      <w:tr w14:paraId="11CA0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752AB958">
            <w:pPr>
              <w:rPr>
                <w:rFonts w:ascii="Calibri" w:hAnsi="Calibri"/>
                <w:color w:val="auto"/>
                <w:sz w:val="28"/>
                <w:szCs w:val="28"/>
              </w:rPr>
            </w:pPr>
          </w:p>
        </w:tc>
        <w:tc>
          <w:tcPr>
            <w:tcW w:w="1704" w:type="dxa"/>
          </w:tcPr>
          <w:p w14:paraId="44E8D192">
            <w:pPr>
              <w:rPr>
                <w:rFonts w:ascii="Calibri" w:hAnsi="Calibri"/>
                <w:color w:val="auto"/>
                <w:sz w:val="28"/>
                <w:szCs w:val="28"/>
              </w:rPr>
            </w:pPr>
          </w:p>
        </w:tc>
        <w:tc>
          <w:tcPr>
            <w:tcW w:w="1704" w:type="dxa"/>
            <w:vMerge w:val="continue"/>
          </w:tcPr>
          <w:p w14:paraId="024020CE">
            <w:pPr>
              <w:rPr>
                <w:rFonts w:ascii="Calibri" w:hAnsi="Calibri"/>
                <w:color w:val="auto"/>
                <w:sz w:val="28"/>
                <w:szCs w:val="28"/>
              </w:rPr>
            </w:pPr>
          </w:p>
        </w:tc>
        <w:tc>
          <w:tcPr>
            <w:tcW w:w="3501" w:type="dxa"/>
            <w:vMerge w:val="continue"/>
          </w:tcPr>
          <w:p w14:paraId="5994BE5A">
            <w:pPr>
              <w:rPr>
                <w:rFonts w:ascii="Calibri" w:hAnsi="Calibri"/>
                <w:color w:val="auto"/>
                <w:sz w:val="28"/>
                <w:szCs w:val="28"/>
              </w:rPr>
            </w:pPr>
          </w:p>
        </w:tc>
      </w:tr>
      <w:tr w14:paraId="18BB9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76485003">
            <w:pPr>
              <w:rPr>
                <w:rFonts w:ascii="Calibri" w:hAnsi="Calibri"/>
                <w:color w:val="auto"/>
                <w:sz w:val="28"/>
                <w:szCs w:val="28"/>
              </w:rPr>
            </w:pPr>
          </w:p>
        </w:tc>
        <w:tc>
          <w:tcPr>
            <w:tcW w:w="1704" w:type="dxa"/>
          </w:tcPr>
          <w:p w14:paraId="75B299D5">
            <w:pPr>
              <w:rPr>
                <w:rFonts w:ascii="Calibri" w:hAnsi="Calibri"/>
                <w:color w:val="auto"/>
                <w:sz w:val="28"/>
                <w:szCs w:val="28"/>
              </w:rPr>
            </w:pPr>
          </w:p>
        </w:tc>
        <w:tc>
          <w:tcPr>
            <w:tcW w:w="1704" w:type="dxa"/>
            <w:vMerge w:val="continue"/>
          </w:tcPr>
          <w:p w14:paraId="3CC64A5D">
            <w:pPr>
              <w:rPr>
                <w:rFonts w:ascii="Calibri" w:hAnsi="Calibri"/>
                <w:color w:val="auto"/>
                <w:sz w:val="28"/>
                <w:szCs w:val="28"/>
              </w:rPr>
            </w:pPr>
          </w:p>
        </w:tc>
        <w:tc>
          <w:tcPr>
            <w:tcW w:w="3501" w:type="dxa"/>
            <w:vMerge w:val="continue"/>
          </w:tcPr>
          <w:p w14:paraId="621062EC">
            <w:pPr>
              <w:rPr>
                <w:rFonts w:ascii="Calibri" w:hAnsi="Calibri"/>
                <w:color w:val="auto"/>
                <w:sz w:val="28"/>
                <w:szCs w:val="28"/>
              </w:rPr>
            </w:pPr>
          </w:p>
        </w:tc>
      </w:tr>
      <w:tr w14:paraId="1EEE3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6606E8E6">
            <w:pPr>
              <w:rPr>
                <w:rFonts w:ascii="Calibri" w:hAnsi="Calibri"/>
                <w:color w:val="auto"/>
                <w:sz w:val="28"/>
                <w:szCs w:val="28"/>
              </w:rPr>
            </w:pPr>
          </w:p>
        </w:tc>
        <w:tc>
          <w:tcPr>
            <w:tcW w:w="1704" w:type="dxa"/>
          </w:tcPr>
          <w:p w14:paraId="066AC2C0">
            <w:pPr>
              <w:rPr>
                <w:rFonts w:ascii="Calibri" w:hAnsi="Calibri"/>
                <w:color w:val="auto"/>
                <w:sz w:val="28"/>
                <w:szCs w:val="28"/>
              </w:rPr>
            </w:pPr>
          </w:p>
        </w:tc>
        <w:tc>
          <w:tcPr>
            <w:tcW w:w="1704" w:type="dxa"/>
            <w:vMerge w:val="continue"/>
          </w:tcPr>
          <w:p w14:paraId="56195F12">
            <w:pPr>
              <w:rPr>
                <w:rFonts w:ascii="Calibri" w:hAnsi="Calibri"/>
                <w:color w:val="auto"/>
                <w:sz w:val="28"/>
                <w:szCs w:val="28"/>
              </w:rPr>
            </w:pPr>
          </w:p>
        </w:tc>
        <w:tc>
          <w:tcPr>
            <w:tcW w:w="3501" w:type="dxa"/>
            <w:vMerge w:val="continue"/>
          </w:tcPr>
          <w:p w14:paraId="2E67F166">
            <w:pPr>
              <w:rPr>
                <w:rFonts w:ascii="Calibri" w:hAnsi="Calibri"/>
                <w:color w:val="auto"/>
                <w:sz w:val="28"/>
                <w:szCs w:val="28"/>
              </w:rPr>
            </w:pPr>
          </w:p>
        </w:tc>
      </w:tr>
      <w:tr w14:paraId="342FB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52361D2C">
            <w:pPr>
              <w:rPr>
                <w:rFonts w:ascii="Calibri" w:hAnsi="Calibri"/>
                <w:color w:val="auto"/>
                <w:sz w:val="28"/>
                <w:szCs w:val="28"/>
              </w:rPr>
            </w:pPr>
          </w:p>
        </w:tc>
        <w:tc>
          <w:tcPr>
            <w:tcW w:w="1704" w:type="dxa"/>
          </w:tcPr>
          <w:p w14:paraId="035CDBAF">
            <w:pPr>
              <w:rPr>
                <w:rFonts w:ascii="Calibri" w:hAnsi="Calibri"/>
                <w:color w:val="auto"/>
                <w:sz w:val="28"/>
                <w:szCs w:val="28"/>
              </w:rPr>
            </w:pPr>
          </w:p>
        </w:tc>
        <w:tc>
          <w:tcPr>
            <w:tcW w:w="1704" w:type="dxa"/>
            <w:vMerge w:val="continue"/>
          </w:tcPr>
          <w:p w14:paraId="7535828F">
            <w:pPr>
              <w:rPr>
                <w:rFonts w:ascii="Calibri" w:hAnsi="Calibri"/>
                <w:color w:val="auto"/>
                <w:sz w:val="28"/>
                <w:szCs w:val="28"/>
              </w:rPr>
            </w:pPr>
          </w:p>
        </w:tc>
        <w:tc>
          <w:tcPr>
            <w:tcW w:w="3501" w:type="dxa"/>
            <w:vMerge w:val="continue"/>
          </w:tcPr>
          <w:p w14:paraId="18C1165C">
            <w:pPr>
              <w:rPr>
                <w:rFonts w:ascii="Calibri" w:hAnsi="Calibri"/>
                <w:color w:val="auto"/>
                <w:sz w:val="28"/>
                <w:szCs w:val="28"/>
              </w:rPr>
            </w:pPr>
          </w:p>
        </w:tc>
      </w:tr>
      <w:tr w14:paraId="54086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643312BC">
            <w:pPr>
              <w:rPr>
                <w:rFonts w:ascii="Calibri" w:hAnsi="Calibri"/>
                <w:color w:val="auto"/>
                <w:sz w:val="28"/>
                <w:szCs w:val="28"/>
              </w:rPr>
            </w:pPr>
          </w:p>
        </w:tc>
        <w:tc>
          <w:tcPr>
            <w:tcW w:w="1704" w:type="dxa"/>
          </w:tcPr>
          <w:p w14:paraId="74D56907">
            <w:pPr>
              <w:rPr>
                <w:rFonts w:ascii="Calibri" w:hAnsi="Calibri"/>
                <w:color w:val="auto"/>
                <w:sz w:val="28"/>
                <w:szCs w:val="28"/>
              </w:rPr>
            </w:pPr>
          </w:p>
        </w:tc>
        <w:tc>
          <w:tcPr>
            <w:tcW w:w="1704" w:type="dxa"/>
            <w:vMerge w:val="continue"/>
          </w:tcPr>
          <w:p w14:paraId="28709398">
            <w:pPr>
              <w:rPr>
                <w:rFonts w:ascii="Calibri" w:hAnsi="Calibri"/>
                <w:color w:val="auto"/>
                <w:sz w:val="28"/>
                <w:szCs w:val="28"/>
              </w:rPr>
            </w:pPr>
          </w:p>
        </w:tc>
        <w:tc>
          <w:tcPr>
            <w:tcW w:w="3501" w:type="dxa"/>
            <w:vMerge w:val="continue"/>
          </w:tcPr>
          <w:p w14:paraId="2C9E76B7">
            <w:pPr>
              <w:rPr>
                <w:rFonts w:ascii="Calibri" w:hAnsi="Calibri"/>
                <w:color w:val="auto"/>
                <w:sz w:val="28"/>
                <w:szCs w:val="28"/>
              </w:rPr>
            </w:pPr>
          </w:p>
        </w:tc>
      </w:tr>
      <w:tr w14:paraId="570AE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5E3A6A0E">
            <w:pPr>
              <w:rPr>
                <w:rFonts w:ascii="Calibri" w:hAnsi="Calibri"/>
                <w:color w:val="auto"/>
                <w:sz w:val="28"/>
                <w:szCs w:val="28"/>
              </w:rPr>
            </w:pPr>
          </w:p>
        </w:tc>
        <w:tc>
          <w:tcPr>
            <w:tcW w:w="1704" w:type="dxa"/>
          </w:tcPr>
          <w:p w14:paraId="3C72DF88">
            <w:pPr>
              <w:rPr>
                <w:rFonts w:ascii="Calibri" w:hAnsi="Calibri"/>
                <w:color w:val="auto"/>
                <w:sz w:val="28"/>
                <w:szCs w:val="28"/>
              </w:rPr>
            </w:pPr>
          </w:p>
        </w:tc>
        <w:tc>
          <w:tcPr>
            <w:tcW w:w="1704" w:type="dxa"/>
            <w:vMerge w:val="continue"/>
          </w:tcPr>
          <w:p w14:paraId="37DB2CE9">
            <w:pPr>
              <w:rPr>
                <w:rFonts w:ascii="Calibri" w:hAnsi="Calibri"/>
                <w:color w:val="auto"/>
                <w:sz w:val="28"/>
                <w:szCs w:val="28"/>
              </w:rPr>
            </w:pPr>
          </w:p>
        </w:tc>
        <w:tc>
          <w:tcPr>
            <w:tcW w:w="3501" w:type="dxa"/>
            <w:vMerge w:val="continue"/>
          </w:tcPr>
          <w:p w14:paraId="3E54F742">
            <w:pPr>
              <w:rPr>
                <w:rFonts w:ascii="Calibri" w:hAnsi="Calibri"/>
                <w:color w:val="auto"/>
                <w:sz w:val="28"/>
                <w:szCs w:val="28"/>
              </w:rPr>
            </w:pPr>
          </w:p>
        </w:tc>
      </w:tr>
      <w:tr w14:paraId="4B87A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4AE5C7CB">
            <w:pPr>
              <w:rPr>
                <w:rFonts w:ascii="Calibri" w:hAnsi="Calibri"/>
                <w:color w:val="auto"/>
                <w:sz w:val="28"/>
                <w:szCs w:val="28"/>
              </w:rPr>
            </w:pPr>
          </w:p>
        </w:tc>
        <w:tc>
          <w:tcPr>
            <w:tcW w:w="1704" w:type="dxa"/>
          </w:tcPr>
          <w:p w14:paraId="63EFB230">
            <w:pPr>
              <w:rPr>
                <w:rFonts w:ascii="Calibri" w:hAnsi="Calibri"/>
                <w:color w:val="auto"/>
                <w:sz w:val="28"/>
                <w:szCs w:val="28"/>
              </w:rPr>
            </w:pPr>
          </w:p>
        </w:tc>
        <w:tc>
          <w:tcPr>
            <w:tcW w:w="1704" w:type="dxa"/>
            <w:vMerge w:val="continue"/>
          </w:tcPr>
          <w:p w14:paraId="60FE2524">
            <w:pPr>
              <w:rPr>
                <w:rFonts w:ascii="Calibri" w:hAnsi="Calibri"/>
                <w:color w:val="auto"/>
                <w:sz w:val="28"/>
                <w:szCs w:val="28"/>
              </w:rPr>
            </w:pPr>
          </w:p>
        </w:tc>
        <w:tc>
          <w:tcPr>
            <w:tcW w:w="3501" w:type="dxa"/>
            <w:vMerge w:val="continue"/>
          </w:tcPr>
          <w:p w14:paraId="54405C23">
            <w:pPr>
              <w:rPr>
                <w:rFonts w:ascii="Calibri" w:hAnsi="Calibri"/>
                <w:color w:val="auto"/>
                <w:sz w:val="28"/>
                <w:szCs w:val="28"/>
              </w:rPr>
            </w:pPr>
          </w:p>
        </w:tc>
      </w:tr>
      <w:tr w14:paraId="6ACE3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10DC7B01">
            <w:pPr>
              <w:rPr>
                <w:rFonts w:ascii="Calibri" w:hAnsi="Calibri"/>
                <w:color w:val="auto"/>
                <w:sz w:val="28"/>
                <w:szCs w:val="28"/>
              </w:rPr>
            </w:pPr>
          </w:p>
        </w:tc>
        <w:tc>
          <w:tcPr>
            <w:tcW w:w="1704" w:type="dxa"/>
          </w:tcPr>
          <w:p w14:paraId="149EB22F">
            <w:pPr>
              <w:rPr>
                <w:rFonts w:ascii="Calibri" w:hAnsi="Calibri"/>
                <w:color w:val="auto"/>
                <w:sz w:val="28"/>
                <w:szCs w:val="28"/>
              </w:rPr>
            </w:pPr>
          </w:p>
        </w:tc>
        <w:tc>
          <w:tcPr>
            <w:tcW w:w="1704" w:type="dxa"/>
            <w:vMerge w:val="continue"/>
          </w:tcPr>
          <w:p w14:paraId="771DD88C">
            <w:pPr>
              <w:rPr>
                <w:rFonts w:ascii="Calibri" w:hAnsi="Calibri"/>
                <w:color w:val="auto"/>
                <w:sz w:val="28"/>
                <w:szCs w:val="28"/>
              </w:rPr>
            </w:pPr>
          </w:p>
        </w:tc>
        <w:tc>
          <w:tcPr>
            <w:tcW w:w="3501" w:type="dxa"/>
            <w:vMerge w:val="continue"/>
          </w:tcPr>
          <w:p w14:paraId="6A56E454">
            <w:pPr>
              <w:rPr>
                <w:rFonts w:ascii="Calibri" w:hAnsi="Calibri"/>
                <w:color w:val="auto"/>
                <w:sz w:val="28"/>
                <w:szCs w:val="28"/>
              </w:rPr>
            </w:pPr>
          </w:p>
        </w:tc>
      </w:tr>
      <w:tr w14:paraId="3E03D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03E99277">
            <w:pPr>
              <w:rPr>
                <w:rFonts w:ascii="Calibri" w:hAnsi="Calibri"/>
                <w:color w:val="auto"/>
                <w:sz w:val="28"/>
                <w:szCs w:val="28"/>
              </w:rPr>
            </w:pPr>
          </w:p>
        </w:tc>
        <w:tc>
          <w:tcPr>
            <w:tcW w:w="1704" w:type="dxa"/>
          </w:tcPr>
          <w:p w14:paraId="2E1CAB4F">
            <w:pPr>
              <w:rPr>
                <w:rFonts w:ascii="Calibri" w:hAnsi="Calibri"/>
                <w:color w:val="auto"/>
                <w:sz w:val="28"/>
                <w:szCs w:val="28"/>
              </w:rPr>
            </w:pPr>
          </w:p>
        </w:tc>
        <w:tc>
          <w:tcPr>
            <w:tcW w:w="1704" w:type="dxa"/>
            <w:vMerge w:val="continue"/>
          </w:tcPr>
          <w:p w14:paraId="7F00F52C">
            <w:pPr>
              <w:rPr>
                <w:rFonts w:ascii="Calibri" w:hAnsi="Calibri"/>
                <w:color w:val="auto"/>
                <w:sz w:val="28"/>
                <w:szCs w:val="28"/>
              </w:rPr>
            </w:pPr>
          </w:p>
        </w:tc>
        <w:tc>
          <w:tcPr>
            <w:tcW w:w="3501" w:type="dxa"/>
            <w:vMerge w:val="continue"/>
          </w:tcPr>
          <w:p w14:paraId="011F3095">
            <w:pPr>
              <w:rPr>
                <w:rFonts w:ascii="Calibri" w:hAnsi="Calibri"/>
                <w:color w:val="auto"/>
                <w:sz w:val="28"/>
                <w:szCs w:val="28"/>
              </w:rPr>
            </w:pPr>
          </w:p>
        </w:tc>
      </w:tr>
      <w:tr w14:paraId="36A4F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684C7200">
            <w:pPr>
              <w:rPr>
                <w:rFonts w:ascii="Calibri" w:hAnsi="Calibri"/>
                <w:color w:val="auto"/>
                <w:sz w:val="28"/>
                <w:szCs w:val="28"/>
              </w:rPr>
            </w:pPr>
          </w:p>
        </w:tc>
        <w:tc>
          <w:tcPr>
            <w:tcW w:w="1704" w:type="dxa"/>
          </w:tcPr>
          <w:p w14:paraId="53C4CA4E">
            <w:pPr>
              <w:rPr>
                <w:rFonts w:ascii="Calibri" w:hAnsi="Calibri"/>
                <w:color w:val="auto"/>
                <w:sz w:val="28"/>
                <w:szCs w:val="28"/>
              </w:rPr>
            </w:pPr>
          </w:p>
        </w:tc>
        <w:tc>
          <w:tcPr>
            <w:tcW w:w="1704" w:type="dxa"/>
            <w:vMerge w:val="continue"/>
          </w:tcPr>
          <w:p w14:paraId="465C63F9">
            <w:pPr>
              <w:rPr>
                <w:rFonts w:ascii="Calibri" w:hAnsi="Calibri"/>
                <w:color w:val="auto"/>
                <w:sz w:val="28"/>
                <w:szCs w:val="28"/>
              </w:rPr>
            </w:pPr>
          </w:p>
        </w:tc>
        <w:tc>
          <w:tcPr>
            <w:tcW w:w="3501" w:type="dxa"/>
            <w:vMerge w:val="continue"/>
          </w:tcPr>
          <w:p w14:paraId="41D55401">
            <w:pPr>
              <w:rPr>
                <w:rFonts w:ascii="Calibri" w:hAnsi="Calibri"/>
                <w:color w:val="auto"/>
                <w:sz w:val="28"/>
                <w:szCs w:val="28"/>
              </w:rPr>
            </w:pPr>
          </w:p>
        </w:tc>
      </w:tr>
      <w:tr w14:paraId="11675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7160253E">
            <w:pPr>
              <w:rPr>
                <w:rFonts w:ascii="Calibri" w:hAnsi="Calibri"/>
                <w:color w:val="auto"/>
                <w:sz w:val="28"/>
                <w:szCs w:val="28"/>
              </w:rPr>
            </w:pPr>
          </w:p>
        </w:tc>
        <w:tc>
          <w:tcPr>
            <w:tcW w:w="1704" w:type="dxa"/>
          </w:tcPr>
          <w:p w14:paraId="0560946D">
            <w:pPr>
              <w:rPr>
                <w:rFonts w:ascii="Calibri" w:hAnsi="Calibri"/>
                <w:color w:val="auto"/>
                <w:sz w:val="28"/>
                <w:szCs w:val="28"/>
              </w:rPr>
            </w:pPr>
          </w:p>
        </w:tc>
        <w:tc>
          <w:tcPr>
            <w:tcW w:w="1704" w:type="dxa"/>
            <w:vMerge w:val="continue"/>
          </w:tcPr>
          <w:p w14:paraId="27EDFF5B">
            <w:pPr>
              <w:rPr>
                <w:rFonts w:ascii="Calibri" w:hAnsi="Calibri"/>
                <w:color w:val="auto"/>
                <w:sz w:val="28"/>
                <w:szCs w:val="28"/>
              </w:rPr>
            </w:pPr>
          </w:p>
        </w:tc>
        <w:tc>
          <w:tcPr>
            <w:tcW w:w="3501" w:type="dxa"/>
            <w:vMerge w:val="continue"/>
          </w:tcPr>
          <w:p w14:paraId="48C0971E">
            <w:pPr>
              <w:rPr>
                <w:rFonts w:ascii="Calibri" w:hAnsi="Calibri"/>
                <w:color w:val="auto"/>
                <w:sz w:val="28"/>
                <w:szCs w:val="28"/>
              </w:rPr>
            </w:pPr>
          </w:p>
        </w:tc>
      </w:tr>
      <w:tr w14:paraId="273DA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2D0A3720">
            <w:pPr>
              <w:rPr>
                <w:rFonts w:ascii="Calibri" w:hAnsi="Calibri"/>
                <w:color w:val="auto"/>
                <w:sz w:val="36"/>
                <w:szCs w:val="36"/>
              </w:rPr>
            </w:pPr>
            <w:r>
              <w:rPr>
                <w:rFonts w:ascii="Calibri" w:hAnsi="Calibri"/>
                <w:color w:val="auto"/>
                <w:sz w:val="36"/>
                <w:szCs w:val="36"/>
              </w:rPr>
              <w:t>供应商全称：</w:t>
            </w:r>
          </w:p>
        </w:tc>
      </w:tr>
      <w:tr w14:paraId="16EAB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55D00E43">
            <w:pPr>
              <w:rPr>
                <w:rFonts w:ascii="Calibri" w:hAnsi="Calibri"/>
                <w:strike/>
                <w:color w:val="auto"/>
                <w:sz w:val="36"/>
                <w:szCs w:val="36"/>
              </w:rPr>
            </w:pPr>
          </w:p>
        </w:tc>
      </w:tr>
      <w:tr w14:paraId="1E963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05922456">
            <w:pPr>
              <w:rPr>
                <w:rFonts w:ascii="Calibri" w:hAnsi="Calibri"/>
                <w:color w:val="auto"/>
                <w:sz w:val="36"/>
                <w:szCs w:val="36"/>
              </w:rPr>
            </w:pPr>
            <w:r>
              <w:rPr>
                <w:rFonts w:ascii="Calibri" w:hAnsi="Calibri"/>
                <w:color w:val="auto"/>
                <w:sz w:val="36"/>
                <w:szCs w:val="36"/>
              </w:rPr>
              <w:t>时      间：</w:t>
            </w:r>
          </w:p>
        </w:tc>
      </w:tr>
    </w:tbl>
    <w:p w14:paraId="29480EEE">
      <w:pPr>
        <w:snapToGrid w:val="0"/>
        <w:spacing w:beforeLines="50" w:after="50" w:line="460" w:lineRule="exact"/>
        <w:rPr>
          <w:rFonts w:hAnsi="仿宋" w:eastAsia="仿宋"/>
          <w:color w:val="auto"/>
          <w:sz w:val="30"/>
          <w:szCs w:val="30"/>
        </w:rPr>
      </w:pPr>
    </w:p>
    <w:p w14:paraId="7D5A0841">
      <w:pPr>
        <w:snapToGrid w:val="0"/>
        <w:spacing w:beforeLines="50" w:after="50" w:line="460" w:lineRule="exact"/>
        <w:rPr>
          <w:rFonts w:eastAsia="仿宋"/>
          <w:color w:val="auto"/>
          <w:sz w:val="30"/>
          <w:szCs w:val="30"/>
        </w:rPr>
      </w:pPr>
      <w:r>
        <w:rPr>
          <w:rFonts w:hAnsi="仿宋" w:eastAsia="仿宋"/>
          <w:color w:val="auto"/>
          <w:sz w:val="30"/>
          <w:szCs w:val="30"/>
        </w:rPr>
        <w:t>附件</w:t>
      </w:r>
      <w:r>
        <w:rPr>
          <w:rFonts w:eastAsia="仿宋"/>
          <w:color w:val="auto"/>
          <w:sz w:val="30"/>
          <w:szCs w:val="30"/>
        </w:rPr>
        <w:t>2</w:t>
      </w:r>
      <w:r>
        <w:rPr>
          <w:rFonts w:hAnsi="仿宋" w:eastAsia="仿宋"/>
          <w:color w:val="auto"/>
          <w:sz w:val="30"/>
          <w:szCs w:val="30"/>
        </w:rPr>
        <w:t>：</w:t>
      </w:r>
    </w:p>
    <w:p w14:paraId="713267F3">
      <w:pPr>
        <w:snapToGrid w:val="0"/>
        <w:spacing w:before="50" w:after="50"/>
        <w:jc w:val="center"/>
        <w:rPr>
          <w:rFonts w:eastAsia="仿宋"/>
          <w:b/>
          <w:color w:val="auto"/>
          <w:sz w:val="36"/>
          <w:szCs w:val="36"/>
        </w:rPr>
      </w:pPr>
      <w:r>
        <w:rPr>
          <w:rFonts w:hAnsi="仿宋" w:eastAsia="仿宋"/>
          <w:b/>
          <w:color w:val="auto"/>
          <w:sz w:val="36"/>
          <w:szCs w:val="36"/>
        </w:rPr>
        <w:t>声明书</w:t>
      </w:r>
    </w:p>
    <w:p w14:paraId="0E5FB105">
      <w:pPr>
        <w:snapToGrid w:val="0"/>
        <w:spacing w:beforeLines="50" w:after="50" w:line="460" w:lineRule="exact"/>
        <w:rPr>
          <w:rFonts w:eastAsiaTheme="minorEastAsia"/>
          <w:color w:val="auto"/>
          <w:sz w:val="28"/>
          <w:szCs w:val="28"/>
        </w:rPr>
      </w:pPr>
      <w:r>
        <w:rPr>
          <w:rFonts w:hAnsiTheme="minorEastAsia" w:eastAsiaTheme="minorEastAsia"/>
          <w:color w:val="auto"/>
          <w:sz w:val="28"/>
          <w:szCs w:val="28"/>
        </w:rPr>
        <w:t>致浙江大学医学院附属妇产科医院：</w:t>
      </w:r>
    </w:p>
    <w:p w14:paraId="49F544F8">
      <w:pPr>
        <w:snapToGrid w:val="0"/>
        <w:spacing w:beforeLines="50" w:after="50" w:line="460" w:lineRule="exact"/>
        <w:ind w:firstLine="560" w:firstLineChars="200"/>
        <w:rPr>
          <w:rFonts w:eastAsiaTheme="minorEastAsia"/>
          <w:color w:val="auto"/>
          <w:sz w:val="28"/>
          <w:szCs w:val="28"/>
        </w:rPr>
      </w:pPr>
      <w:r>
        <w:rPr>
          <w:rFonts w:hAnsiTheme="minorEastAsia" w:eastAsiaTheme="minorEastAsia"/>
          <w:color w:val="auto"/>
          <w:sz w:val="28"/>
          <w:szCs w:val="28"/>
          <w:u w:val="single"/>
        </w:rPr>
        <w:t>（供应商名称）</w:t>
      </w:r>
      <w:r>
        <w:rPr>
          <w:rFonts w:hAnsiTheme="minorEastAsia" w:eastAsiaTheme="minorEastAsia"/>
          <w:color w:val="auto"/>
          <w:sz w:val="28"/>
          <w:szCs w:val="28"/>
        </w:rPr>
        <w:t>系中华人民共和国合法企业，经营地址。</w:t>
      </w:r>
    </w:p>
    <w:p w14:paraId="0FEB36C7">
      <w:pPr>
        <w:snapToGrid w:val="0"/>
        <w:spacing w:beforeLines="50" w:after="50" w:line="460" w:lineRule="exact"/>
        <w:ind w:firstLine="560" w:firstLineChars="200"/>
        <w:rPr>
          <w:rFonts w:eastAsiaTheme="minorEastAsia"/>
          <w:color w:val="auto"/>
          <w:sz w:val="28"/>
          <w:szCs w:val="28"/>
        </w:rPr>
      </w:pPr>
      <w:r>
        <w:rPr>
          <w:rFonts w:hAnsiTheme="minorEastAsia" w:eastAsiaTheme="minorEastAsia"/>
          <w:color w:val="auto"/>
          <w:sz w:val="28"/>
          <w:szCs w:val="28"/>
        </w:rPr>
        <w:t>我</w:t>
      </w:r>
      <w:r>
        <w:rPr>
          <w:rFonts w:hAnsiTheme="minorEastAsia" w:eastAsiaTheme="minorEastAsia"/>
          <w:color w:val="auto"/>
          <w:sz w:val="28"/>
          <w:szCs w:val="28"/>
          <w:u w:val="single"/>
        </w:rPr>
        <w:t>（姓名）</w:t>
      </w:r>
      <w:r>
        <w:rPr>
          <w:rFonts w:hAnsiTheme="minorEastAsia" w:eastAsiaTheme="minorEastAsia"/>
          <w:color w:val="auto"/>
          <w:sz w:val="28"/>
          <w:szCs w:val="28"/>
        </w:rPr>
        <w:t>系</w:t>
      </w:r>
      <w:r>
        <w:rPr>
          <w:rFonts w:hAnsiTheme="minorEastAsia" w:eastAsiaTheme="minorEastAsia"/>
          <w:color w:val="auto"/>
          <w:sz w:val="28"/>
          <w:szCs w:val="28"/>
          <w:u w:val="single"/>
        </w:rPr>
        <w:t>（供应商名称）</w:t>
      </w:r>
      <w:r>
        <w:rPr>
          <w:rFonts w:hAnsiTheme="minorEastAsia" w:eastAsiaTheme="minorEastAsia"/>
          <w:color w:val="auto"/>
          <w:sz w:val="28"/>
          <w:szCs w:val="28"/>
        </w:rPr>
        <w:t>的法定代表人，我方愿意参加贵方组织的</w:t>
      </w:r>
      <w:r>
        <w:rPr>
          <w:rFonts w:hAnsiTheme="minorEastAsia" w:eastAsiaTheme="minorEastAsia"/>
          <w:color w:val="auto"/>
          <w:sz w:val="28"/>
          <w:szCs w:val="28"/>
          <w:u w:val="single"/>
        </w:rPr>
        <w:t>（采购项目名称）（编号为）</w:t>
      </w:r>
      <w:r>
        <w:rPr>
          <w:rFonts w:hAnsiTheme="minorEastAsia" w:eastAsiaTheme="minorEastAsia"/>
          <w:color w:val="auto"/>
          <w:sz w:val="28"/>
          <w:szCs w:val="28"/>
        </w:rPr>
        <w:t>的采购项目，为此，我方就本次项目有关事项郑重声明如下：</w:t>
      </w:r>
    </w:p>
    <w:p w14:paraId="43762124">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1</w:t>
      </w:r>
      <w:r>
        <w:rPr>
          <w:rFonts w:hAnsiTheme="minorEastAsia" w:eastAsiaTheme="minorEastAsia"/>
          <w:color w:val="auto"/>
          <w:sz w:val="28"/>
          <w:szCs w:val="28"/>
        </w:rPr>
        <w:t>、我方已详细审查全部采购文件，同意采购文件的各项要求。</w:t>
      </w:r>
    </w:p>
    <w:p w14:paraId="19C6C2E3">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2</w:t>
      </w:r>
      <w:r>
        <w:rPr>
          <w:rFonts w:hAnsiTheme="minorEastAsia" w:eastAsiaTheme="minorEastAsia"/>
          <w:color w:val="auto"/>
          <w:sz w:val="28"/>
          <w:szCs w:val="28"/>
        </w:rPr>
        <w:t>、我方向贵方提交的所有响应文件、资料都是准确的和真实的。</w:t>
      </w:r>
    </w:p>
    <w:p w14:paraId="2356115A">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3</w:t>
      </w:r>
      <w:r>
        <w:rPr>
          <w:rFonts w:hAnsiTheme="minorEastAsia" w:eastAsiaTheme="minorEastAsia"/>
          <w:color w:val="auto"/>
          <w:sz w:val="28"/>
          <w:szCs w:val="28"/>
        </w:rPr>
        <w:t>、若成交，我方将按采购文件规定履行合同责任和义务。</w:t>
      </w:r>
    </w:p>
    <w:p w14:paraId="185AD74C">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4</w:t>
      </w:r>
      <w:r>
        <w:rPr>
          <w:rFonts w:hAnsiTheme="minorEastAsia" w:eastAsiaTheme="minorEastAsia"/>
          <w:color w:val="auto"/>
          <w:sz w:val="28"/>
          <w:szCs w:val="28"/>
        </w:rPr>
        <w:t>、我方不是采购人的附属机构；在获知本项目采购信息后，与采购人聘请的为此项目提供咨询服务的公司及其附属机构没有任何联系。</w:t>
      </w:r>
    </w:p>
    <w:p w14:paraId="57436794">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5</w:t>
      </w:r>
      <w:r>
        <w:rPr>
          <w:rFonts w:hAnsiTheme="minorEastAsia" w:eastAsiaTheme="minorEastAsia"/>
          <w:color w:val="auto"/>
          <w:sz w:val="28"/>
          <w:szCs w:val="28"/>
        </w:rPr>
        <w:t>、响应文件自提交之日起有效期为</w:t>
      </w:r>
      <w:r>
        <w:rPr>
          <w:rFonts w:eastAsiaTheme="minorEastAsia"/>
          <w:color w:val="auto"/>
          <w:sz w:val="28"/>
          <w:szCs w:val="28"/>
        </w:rPr>
        <w:t>90</w:t>
      </w:r>
      <w:r>
        <w:rPr>
          <w:rFonts w:hAnsiTheme="minorEastAsia" w:eastAsiaTheme="minorEastAsia"/>
          <w:color w:val="auto"/>
          <w:sz w:val="28"/>
          <w:szCs w:val="28"/>
        </w:rPr>
        <w:t>天。</w:t>
      </w:r>
    </w:p>
    <w:p w14:paraId="5DC36B25">
      <w:pPr>
        <w:snapToGrid w:val="0"/>
        <w:spacing w:line="460" w:lineRule="exact"/>
        <w:ind w:firstLine="548" w:firstLineChars="196"/>
        <w:rPr>
          <w:rFonts w:eastAsiaTheme="minorEastAsia"/>
          <w:color w:val="auto"/>
          <w:sz w:val="28"/>
          <w:szCs w:val="28"/>
        </w:rPr>
      </w:pPr>
      <w:r>
        <w:rPr>
          <w:rFonts w:eastAsiaTheme="minorEastAsia"/>
          <w:color w:val="auto"/>
          <w:sz w:val="28"/>
          <w:szCs w:val="28"/>
        </w:rPr>
        <w:t>6</w:t>
      </w:r>
      <w:r>
        <w:rPr>
          <w:rFonts w:hAnsiTheme="minorEastAsia" w:eastAsiaTheme="minorEastAsia"/>
          <w:color w:val="auto"/>
          <w:sz w:val="28"/>
          <w:szCs w:val="28"/>
        </w:rPr>
        <w:t>、我方参与本项目前</w:t>
      </w:r>
      <w:r>
        <w:rPr>
          <w:rFonts w:eastAsiaTheme="minorEastAsia"/>
          <w:color w:val="auto"/>
          <w:sz w:val="28"/>
          <w:szCs w:val="28"/>
        </w:rPr>
        <w:t>3</w:t>
      </w:r>
      <w:r>
        <w:rPr>
          <w:rFonts w:hAnsiTheme="minorEastAsia" w:eastAsiaTheme="minorEastAsia"/>
          <w:color w:val="auto"/>
          <w:sz w:val="28"/>
          <w:szCs w:val="28"/>
        </w:rPr>
        <w:t>年内的经营活动中没有重大违法记录。</w:t>
      </w:r>
    </w:p>
    <w:p w14:paraId="50ABF84C">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7</w:t>
      </w:r>
      <w:r>
        <w:rPr>
          <w:rFonts w:hAnsiTheme="minorEastAsia" w:eastAsiaTheme="minorEastAsia"/>
          <w:color w:val="auto"/>
          <w:sz w:val="28"/>
          <w:szCs w:val="28"/>
        </w:rPr>
        <w:t>、我方通过</w:t>
      </w:r>
      <w:r>
        <w:rPr>
          <w:rFonts w:eastAsiaTheme="minorEastAsia"/>
          <w:color w:val="auto"/>
          <w:sz w:val="28"/>
          <w:szCs w:val="28"/>
        </w:rPr>
        <w:t>“</w:t>
      </w:r>
      <w:r>
        <w:rPr>
          <w:rFonts w:hAnsiTheme="minorEastAsia" w:eastAsiaTheme="minorEastAsia"/>
          <w:color w:val="auto"/>
          <w:sz w:val="28"/>
          <w:szCs w:val="28"/>
        </w:rPr>
        <w:t>信用中国</w:t>
      </w:r>
      <w:r>
        <w:rPr>
          <w:rFonts w:eastAsiaTheme="minorEastAsia"/>
          <w:color w:val="auto"/>
          <w:sz w:val="28"/>
          <w:szCs w:val="28"/>
        </w:rPr>
        <w:t>”</w:t>
      </w:r>
      <w:r>
        <w:rPr>
          <w:rFonts w:hAnsiTheme="minorEastAsia" w:eastAsiaTheme="minorEastAsia"/>
          <w:color w:val="auto"/>
          <w:sz w:val="28"/>
          <w:szCs w:val="28"/>
        </w:rPr>
        <w:t>网站（</w:t>
      </w:r>
      <w:r>
        <w:rPr>
          <w:rFonts w:eastAsiaTheme="minorEastAsia"/>
          <w:color w:val="auto"/>
          <w:sz w:val="28"/>
          <w:szCs w:val="28"/>
        </w:rPr>
        <w:t>www.creditchina.gov.cn</w:t>
      </w:r>
      <w:r>
        <w:rPr>
          <w:rFonts w:hAnsiTheme="minorEastAsia" w:eastAsiaTheme="minorEastAsia"/>
          <w:color w:val="auto"/>
          <w:sz w:val="28"/>
          <w:szCs w:val="28"/>
        </w:rPr>
        <w:t>）查询，未被列入失信被执行人、重大税收违法案件当事人名单、政府采购严重违法失信行为记录名单。</w:t>
      </w:r>
    </w:p>
    <w:p w14:paraId="3C062C7B">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8</w:t>
      </w:r>
      <w:r>
        <w:rPr>
          <w:rFonts w:hAnsiTheme="minorEastAsia" w:eastAsiaTheme="minorEastAsia"/>
          <w:color w:val="auto"/>
          <w:sz w:val="28"/>
          <w:szCs w:val="28"/>
        </w:rPr>
        <w:t>、以上事项如有虚假或隐瞒，我方愿意承担一切后果，并不再寻求任何旨在减轻或免除法律责任的辩解。</w:t>
      </w:r>
    </w:p>
    <w:p w14:paraId="5A07CE53">
      <w:pPr>
        <w:snapToGrid w:val="0"/>
        <w:spacing w:beforeLines="50" w:after="50" w:line="460" w:lineRule="exact"/>
        <w:ind w:firstLine="560" w:firstLineChars="200"/>
        <w:rPr>
          <w:rFonts w:eastAsiaTheme="minorEastAsia"/>
          <w:color w:val="auto"/>
          <w:sz w:val="28"/>
          <w:szCs w:val="28"/>
        </w:rPr>
      </w:pPr>
    </w:p>
    <w:p w14:paraId="67B1DAAE">
      <w:pPr>
        <w:snapToGrid w:val="0"/>
        <w:spacing w:beforeLines="50" w:after="50" w:line="460" w:lineRule="exact"/>
        <w:ind w:right="600" w:firstLine="140" w:firstLineChars="50"/>
        <w:rPr>
          <w:rFonts w:eastAsiaTheme="minorEastAsia"/>
          <w:color w:val="auto"/>
          <w:sz w:val="28"/>
          <w:szCs w:val="28"/>
          <w:u w:val="single"/>
        </w:rPr>
      </w:pPr>
      <w:r>
        <w:rPr>
          <w:rFonts w:hAnsiTheme="minorEastAsia" w:eastAsiaTheme="minorEastAsia"/>
          <w:color w:val="auto"/>
          <w:sz w:val="28"/>
          <w:szCs w:val="28"/>
        </w:rPr>
        <w:t>法定代表人签名（或签名章）：日期：</w:t>
      </w:r>
    </w:p>
    <w:p w14:paraId="6BBAFEB5">
      <w:pPr>
        <w:snapToGrid w:val="0"/>
        <w:spacing w:beforeLines="50" w:line="460" w:lineRule="exact"/>
        <w:ind w:firstLine="200"/>
        <w:rPr>
          <w:rFonts w:eastAsiaTheme="minorEastAsia"/>
          <w:color w:val="auto"/>
          <w:sz w:val="28"/>
          <w:szCs w:val="28"/>
          <w:u w:val="single"/>
        </w:rPr>
      </w:pPr>
    </w:p>
    <w:p w14:paraId="03A70044">
      <w:pPr>
        <w:snapToGrid w:val="0"/>
        <w:spacing w:beforeLines="50" w:after="50" w:line="460" w:lineRule="exact"/>
        <w:ind w:firstLine="140" w:firstLineChars="50"/>
        <w:rPr>
          <w:rFonts w:eastAsiaTheme="minorEastAsia"/>
          <w:color w:val="auto"/>
          <w:sz w:val="28"/>
          <w:szCs w:val="28"/>
        </w:rPr>
      </w:pPr>
      <w:r>
        <w:rPr>
          <w:rFonts w:hint="eastAsia" w:hAnsiTheme="minorEastAsia" w:eastAsiaTheme="minorEastAsia"/>
          <w:color w:val="auto"/>
          <w:sz w:val="28"/>
          <w:szCs w:val="28"/>
        </w:rPr>
        <w:t>供应商</w:t>
      </w:r>
      <w:r>
        <w:rPr>
          <w:rFonts w:hAnsiTheme="minorEastAsia" w:eastAsiaTheme="minorEastAsia"/>
          <w:color w:val="auto"/>
          <w:sz w:val="28"/>
          <w:szCs w:val="28"/>
        </w:rPr>
        <w:t>全称（公章）：</w:t>
      </w:r>
    </w:p>
    <w:p w14:paraId="1373F0B6">
      <w:pPr>
        <w:snapToGrid w:val="0"/>
        <w:spacing w:beforeLines="50" w:after="50" w:line="460" w:lineRule="exact"/>
        <w:rPr>
          <w:rFonts w:hAnsi="仿宋" w:eastAsia="仿宋"/>
          <w:color w:val="auto"/>
          <w:sz w:val="30"/>
          <w:szCs w:val="30"/>
        </w:rPr>
      </w:pPr>
    </w:p>
    <w:p w14:paraId="6BD50AB0">
      <w:pPr>
        <w:snapToGrid w:val="0"/>
        <w:spacing w:beforeLines="50" w:after="50" w:line="460" w:lineRule="exact"/>
        <w:rPr>
          <w:rFonts w:eastAsia="仿宋"/>
          <w:color w:val="auto"/>
          <w:sz w:val="30"/>
          <w:szCs w:val="30"/>
        </w:rPr>
      </w:pPr>
      <w:r>
        <w:rPr>
          <w:rFonts w:hAnsi="仿宋" w:eastAsia="仿宋"/>
          <w:color w:val="auto"/>
          <w:sz w:val="30"/>
          <w:szCs w:val="30"/>
        </w:rPr>
        <w:t>附件</w:t>
      </w:r>
      <w:r>
        <w:rPr>
          <w:rFonts w:hint="eastAsia" w:hAnsi="仿宋" w:eastAsia="仿宋"/>
          <w:color w:val="auto"/>
          <w:sz w:val="30"/>
          <w:szCs w:val="30"/>
        </w:rPr>
        <w:t>3</w:t>
      </w:r>
      <w:r>
        <w:rPr>
          <w:rFonts w:hAnsi="仿宋" w:eastAsia="仿宋"/>
          <w:color w:val="auto"/>
          <w:sz w:val="30"/>
          <w:szCs w:val="30"/>
        </w:rPr>
        <w:t>：</w:t>
      </w:r>
    </w:p>
    <w:p w14:paraId="07EDEAA8">
      <w:pPr>
        <w:snapToGrid w:val="0"/>
        <w:spacing w:before="50" w:after="50"/>
        <w:jc w:val="center"/>
        <w:rPr>
          <w:rFonts w:eastAsia="仿宋"/>
          <w:b/>
          <w:color w:val="auto"/>
          <w:sz w:val="36"/>
          <w:szCs w:val="36"/>
        </w:rPr>
      </w:pPr>
      <w:r>
        <w:rPr>
          <w:rFonts w:hAnsi="仿宋" w:eastAsia="仿宋"/>
          <w:b/>
          <w:color w:val="auto"/>
          <w:sz w:val="36"/>
          <w:szCs w:val="36"/>
        </w:rPr>
        <w:t>法定代表人授权委托书</w:t>
      </w:r>
    </w:p>
    <w:p w14:paraId="5A4186B7">
      <w:pPr>
        <w:snapToGrid w:val="0"/>
        <w:spacing w:beforeLines="50" w:after="50"/>
        <w:rPr>
          <w:rFonts w:eastAsia="仿宋"/>
          <w:b/>
          <w:color w:val="auto"/>
          <w:sz w:val="30"/>
          <w:szCs w:val="30"/>
        </w:rPr>
      </w:pPr>
    </w:p>
    <w:p w14:paraId="4741633E">
      <w:pPr>
        <w:snapToGrid w:val="0"/>
        <w:spacing w:beforeLines="50" w:after="50" w:line="460" w:lineRule="exact"/>
        <w:rPr>
          <w:rFonts w:eastAsia="仿宋"/>
          <w:b/>
          <w:bCs/>
          <w:color w:val="auto"/>
          <w:sz w:val="30"/>
          <w:szCs w:val="30"/>
        </w:rPr>
      </w:pPr>
      <w:r>
        <w:rPr>
          <w:rFonts w:hAnsi="仿宋" w:eastAsia="仿宋"/>
          <w:bCs/>
          <w:color w:val="auto"/>
          <w:sz w:val="30"/>
          <w:szCs w:val="30"/>
        </w:rPr>
        <w:t>浙江大学医学院附属妇产科医院：</w:t>
      </w:r>
    </w:p>
    <w:p w14:paraId="22DB19CE">
      <w:pPr>
        <w:snapToGrid w:val="0"/>
        <w:spacing w:beforeLines="50" w:after="50" w:line="460" w:lineRule="exact"/>
        <w:ind w:firstLine="900" w:firstLineChars="300"/>
        <w:rPr>
          <w:rFonts w:eastAsia="仿宋"/>
          <w:color w:val="auto"/>
          <w:sz w:val="30"/>
          <w:szCs w:val="30"/>
        </w:rPr>
      </w:pPr>
      <w:r>
        <w:rPr>
          <w:rFonts w:hAnsi="仿宋" w:eastAsia="仿宋"/>
          <w:color w:val="auto"/>
          <w:sz w:val="30"/>
          <w:szCs w:val="30"/>
        </w:rPr>
        <w:t>我（姓名）系（供应商名称）的法定代表人，现授权委托本单位在职职工（姓名）为授权代表，以我方的名义参加项目编号：项目名称</w:t>
      </w:r>
      <w:r>
        <w:rPr>
          <w:rFonts w:hAnsi="仿宋" w:eastAsia="仿宋"/>
          <w:color w:val="auto"/>
          <w:sz w:val="30"/>
          <w:szCs w:val="30"/>
          <w:u w:val="single"/>
        </w:rPr>
        <w:t>：</w:t>
      </w:r>
      <w:r>
        <w:rPr>
          <w:rFonts w:hAnsi="仿宋" w:eastAsia="仿宋"/>
          <w:color w:val="auto"/>
          <w:sz w:val="30"/>
          <w:szCs w:val="30"/>
        </w:rPr>
        <w:t>项目的活动，并代表我方全权办理针对上述项目的具体事务签署相关文件。我方对授权代表的签名事项负全部责任。</w:t>
      </w:r>
    </w:p>
    <w:p w14:paraId="4147D4C6">
      <w:pPr>
        <w:snapToGrid w:val="0"/>
        <w:spacing w:beforeLines="50" w:after="50" w:line="460" w:lineRule="exact"/>
        <w:ind w:firstLine="480"/>
        <w:rPr>
          <w:rFonts w:eastAsia="仿宋"/>
          <w:color w:val="auto"/>
          <w:sz w:val="30"/>
          <w:szCs w:val="30"/>
        </w:rPr>
      </w:pPr>
      <w:r>
        <w:rPr>
          <w:rFonts w:hAnsi="仿宋" w:eastAsia="仿宋"/>
          <w:color w:val="auto"/>
          <w:sz w:val="30"/>
          <w:szCs w:val="30"/>
        </w:rPr>
        <w:t>在撤销授权的书面通知以前，本授权书一直有效。授权代表在授权书有效期内签署的所有文件不因授权的撤销而失效。</w:t>
      </w:r>
    </w:p>
    <w:p w14:paraId="11692341">
      <w:pPr>
        <w:snapToGrid w:val="0"/>
        <w:spacing w:beforeLines="50" w:after="50" w:line="460" w:lineRule="exact"/>
        <w:ind w:firstLine="480"/>
        <w:rPr>
          <w:rFonts w:eastAsia="仿宋"/>
          <w:color w:val="auto"/>
          <w:sz w:val="30"/>
          <w:szCs w:val="30"/>
        </w:rPr>
      </w:pPr>
      <w:r>
        <w:rPr>
          <w:rFonts w:hAnsi="仿宋" w:eastAsia="仿宋"/>
          <w:color w:val="auto"/>
          <w:sz w:val="30"/>
          <w:szCs w:val="30"/>
        </w:rPr>
        <w:t>授权代表无转委托权，特此委托。</w:t>
      </w:r>
    </w:p>
    <w:p w14:paraId="2B1BA8D9">
      <w:pPr>
        <w:snapToGrid w:val="0"/>
        <w:spacing w:beforeLines="50" w:after="50" w:line="460" w:lineRule="exact"/>
        <w:ind w:firstLine="480"/>
        <w:rPr>
          <w:rFonts w:eastAsia="仿宋"/>
          <w:color w:val="auto"/>
          <w:sz w:val="30"/>
          <w:szCs w:val="30"/>
        </w:rPr>
      </w:pPr>
    </w:p>
    <w:p w14:paraId="7098FC18">
      <w:pPr>
        <w:snapToGrid w:val="0"/>
        <w:spacing w:beforeLines="50" w:after="50" w:line="460" w:lineRule="exact"/>
        <w:ind w:firstLine="480"/>
        <w:rPr>
          <w:rFonts w:eastAsia="仿宋"/>
          <w:color w:val="auto"/>
          <w:sz w:val="30"/>
          <w:szCs w:val="30"/>
        </w:rPr>
      </w:pPr>
    </w:p>
    <w:p w14:paraId="3483D1C3">
      <w:pPr>
        <w:snapToGrid w:val="0"/>
        <w:spacing w:beforeLines="50" w:after="50" w:line="460" w:lineRule="exact"/>
        <w:rPr>
          <w:rFonts w:eastAsia="仿宋"/>
          <w:color w:val="auto"/>
          <w:sz w:val="30"/>
          <w:szCs w:val="30"/>
        </w:rPr>
      </w:pPr>
      <w:r>
        <w:rPr>
          <w:rFonts w:hAnsi="仿宋" w:eastAsia="仿宋"/>
          <w:color w:val="auto"/>
          <w:sz w:val="30"/>
          <w:szCs w:val="30"/>
        </w:rPr>
        <w:t>授权代表签名：职务：</w:t>
      </w:r>
    </w:p>
    <w:p w14:paraId="4E34D85A">
      <w:pPr>
        <w:snapToGrid w:val="0"/>
        <w:spacing w:beforeLines="50" w:after="50" w:line="460" w:lineRule="exact"/>
        <w:rPr>
          <w:rFonts w:eastAsia="仿宋"/>
          <w:color w:val="auto"/>
          <w:sz w:val="30"/>
          <w:szCs w:val="30"/>
        </w:rPr>
      </w:pPr>
      <w:r>
        <w:rPr>
          <w:rFonts w:hAnsi="仿宋" w:eastAsia="仿宋"/>
          <w:color w:val="auto"/>
          <w:sz w:val="30"/>
          <w:szCs w:val="30"/>
        </w:rPr>
        <w:t>授权代表身份证号码：</w:t>
      </w:r>
    </w:p>
    <w:p w14:paraId="0EA325A1">
      <w:pPr>
        <w:snapToGrid w:val="0"/>
        <w:spacing w:beforeLines="50" w:after="50" w:line="460" w:lineRule="exact"/>
        <w:rPr>
          <w:rFonts w:eastAsia="仿宋"/>
          <w:color w:val="auto"/>
          <w:sz w:val="30"/>
          <w:szCs w:val="30"/>
        </w:rPr>
      </w:pPr>
      <w:r>
        <w:rPr>
          <w:rFonts w:hAnsi="仿宋" w:eastAsia="仿宋"/>
          <w:color w:val="auto"/>
          <w:sz w:val="30"/>
          <w:szCs w:val="30"/>
        </w:rPr>
        <w:t>授权代表联系手机：</w:t>
      </w:r>
    </w:p>
    <w:p w14:paraId="4D45F749">
      <w:pPr>
        <w:snapToGrid w:val="0"/>
        <w:spacing w:beforeLines="50" w:after="50" w:line="460" w:lineRule="exact"/>
        <w:rPr>
          <w:rFonts w:eastAsia="仿宋"/>
          <w:color w:val="auto"/>
          <w:sz w:val="30"/>
          <w:szCs w:val="30"/>
        </w:rPr>
      </w:pPr>
      <w:r>
        <w:rPr>
          <w:rFonts w:hAnsi="仿宋" w:eastAsia="仿宋"/>
          <w:color w:val="auto"/>
          <w:sz w:val="30"/>
          <w:szCs w:val="30"/>
        </w:rPr>
        <w:t>法定代表人签名（或签名章）：职务：</w:t>
      </w:r>
    </w:p>
    <w:p w14:paraId="615E26E6">
      <w:pPr>
        <w:snapToGrid w:val="0"/>
        <w:spacing w:beforeLines="50" w:after="50" w:line="460" w:lineRule="exact"/>
        <w:rPr>
          <w:rFonts w:eastAsia="仿宋"/>
          <w:color w:val="auto"/>
          <w:sz w:val="30"/>
          <w:szCs w:val="30"/>
        </w:rPr>
      </w:pPr>
    </w:p>
    <w:p w14:paraId="0541BA5D">
      <w:pPr>
        <w:snapToGrid w:val="0"/>
        <w:spacing w:beforeLines="50" w:after="50" w:line="460" w:lineRule="exact"/>
        <w:rPr>
          <w:rFonts w:eastAsia="仿宋"/>
          <w:color w:val="auto"/>
          <w:sz w:val="30"/>
          <w:szCs w:val="30"/>
        </w:rPr>
      </w:pPr>
    </w:p>
    <w:p w14:paraId="08B22474">
      <w:pPr>
        <w:snapToGrid w:val="0"/>
        <w:spacing w:beforeLines="50" w:after="50" w:line="460" w:lineRule="exact"/>
        <w:ind w:firstLine="6150" w:firstLineChars="2050"/>
        <w:rPr>
          <w:rFonts w:eastAsia="仿宋"/>
          <w:color w:val="auto"/>
          <w:sz w:val="30"/>
          <w:szCs w:val="30"/>
        </w:rPr>
      </w:pPr>
    </w:p>
    <w:p w14:paraId="77717F39">
      <w:pPr>
        <w:snapToGrid w:val="0"/>
        <w:spacing w:beforeLines="50" w:after="50" w:line="460" w:lineRule="exact"/>
        <w:rPr>
          <w:rFonts w:eastAsia="仿宋"/>
          <w:color w:val="auto"/>
          <w:sz w:val="30"/>
          <w:szCs w:val="30"/>
          <w:u w:val="single"/>
        </w:rPr>
      </w:pPr>
      <w:r>
        <w:rPr>
          <w:rFonts w:hAnsi="仿宋" w:eastAsia="仿宋"/>
          <w:color w:val="auto"/>
          <w:sz w:val="30"/>
          <w:szCs w:val="30"/>
        </w:rPr>
        <w:t>供应商全称（公章）：日期：</w:t>
      </w:r>
    </w:p>
    <w:p w14:paraId="7879F91F">
      <w:pPr>
        <w:pStyle w:val="39"/>
        <w:spacing w:line="360" w:lineRule="auto"/>
        <w:jc w:val="both"/>
        <w:rPr>
          <w:color w:val="auto"/>
          <w:sz w:val="21"/>
          <w:szCs w:val="21"/>
        </w:rPr>
      </w:pPr>
    </w:p>
    <w:p w14:paraId="269E10CA">
      <w:pPr>
        <w:pStyle w:val="39"/>
        <w:spacing w:line="360" w:lineRule="auto"/>
        <w:jc w:val="both"/>
        <w:rPr>
          <w:color w:val="auto"/>
          <w:sz w:val="21"/>
          <w:szCs w:val="21"/>
        </w:rPr>
      </w:pPr>
    </w:p>
    <w:p w14:paraId="4E2CA3B1">
      <w:pPr>
        <w:pStyle w:val="39"/>
        <w:spacing w:line="360" w:lineRule="auto"/>
        <w:jc w:val="both"/>
        <w:rPr>
          <w:color w:val="auto"/>
          <w:sz w:val="21"/>
          <w:szCs w:val="21"/>
        </w:rPr>
      </w:pPr>
    </w:p>
    <w:p w14:paraId="000261E7">
      <w:pPr>
        <w:snapToGrid w:val="0"/>
        <w:spacing w:beforeLines="50" w:after="50" w:line="460" w:lineRule="exact"/>
        <w:rPr>
          <w:rFonts w:eastAsia="仿宋"/>
          <w:color w:val="auto"/>
          <w:sz w:val="30"/>
          <w:szCs w:val="30"/>
        </w:rPr>
      </w:pPr>
      <w:r>
        <w:rPr>
          <w:rFonts w:hAnsi="仿宋" w:eastAsia="仿宋"/>
          <w:color w:val="auto"/>
          <w:sz w:val="30"/>
          <w:szCs w:val="30"/>
        </w:rPr>
        <w:t>附件</w:t>
      </w:r>
      <w:r>
        <w:rPr>
          <w:rFonts w:hint="eastAsia" w:hAnsi="仿宋" w:eastAsia="仿宋"/>
          <w:color w:val="auto"/>
          <w:sz w:val="30"/>
          <w:szCs w:val="30"/>
        </w:rPr>
        <w:t>4</w:t>
      </w:r>
      <w:r>
        <w:rPr>
          <w:rFonts w:hAnsi="仿宋" w:eastAsia="仿宋"/>
          <w:color w:val="auto"/>
          <w:sz w:val="30"/>
          <w:szCs w:val="30"/>
        </w:rPr>
        <w:t>：</w:t>
      </w:r>
    </w:p>
    <w:p w14:paraId="6886FD11">
      <w:pPr>
        <w:jc w:val="center"/>
        <w:rPr>
          <w:b/>
          <w:color w:val="auto"/>
          <w:sz w:val="36"/>
          <w:szCs w:val="36"/>
        </w:rPr>
      </w:pPr>
      <w:r>
        <w:rPr>
          <w:b/>
          <w:color w:val="auto"/>
          <w:sz w:val="36"/>
          <w:szCs w:val="36"/>
        </w:rPr>
        <w:t>技术响应表</w:t>
      </w:r>
    </w:p>
    <w:p w14:paraId="5EA571CD">
      <w:pPr>
        <w:rPr>
          <w:color w:val="auto"/>
          <w:sz w:val="32"/>
          <w:szCs w:val="32"/>
          <w:u w:val="single"/>
        </w:rPr>
      </w:pPr>
      <w:r>
        <w:rPr>
          <w:color w:val="auto"/>
          <w:sz w:val="32"/>
          <w:szCs w:val="32"/>
        </w:rPr>
        <w:t>供应商全称（公章）：</w:t>
      </w:r>
    </w:p>
    <w:tbl>
      <w:tblPr>
        <w:tblStyle w:val="21"/>
        <w:tblW w:w="893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5"/>
        <w:gridCol w:w="3430"/>
        <w:gridCol w:w="1956"/>
      </w:tblGrid>
      <w:tr w14:paraId="03E8F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79154F61">
            <w:pPr>
              <w:jc w:val="center"/>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t>采购文件要求</w:t>
            </w: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168F5DBC">
            <w:pPr>
              <w:jc w:val="center"/>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t>响应情况</w:t>
            </w: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4BBC8AEB">
            <w:pPr>
              <w:jc w:val="center"/>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t>偏离情况</w:t>
            </w:r>
          </w:p>
        </w:tc>
      </w:tr>
      <w:tr w14:paraId="3AB8F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36F16208">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2A185527">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1D0775EF">
            <w:pPr>
              <w:jc w:val="center"/>
              <w:rPr>
                <w:rFonts w:asciiTheme="minorEastAsia" w:hAnsiTheme="minorEastAsia" w:eastAsiaTheme="minorEastAsia"/>
                <w:b/>
                <w:color w:val="auto"/>
                <w:sz w:val="28"/>
                <w:szCs w:val="28"/>
              </w:rPr>
            </w:pPr>
          </w:p>
        </w:tc>
      </w:tr>
      <w:tr w14:paraId="38FFC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010A1BA7">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56BE2932">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74EE76EA">
            <w:pPr>
              <w:jc w:val="center"/>
              <w:rPr>
                <w:rFonts w:asciiTheme="minorEastAsia" w:hAnsiTheme="minorEastAsia" w:eastAsiaTheme="minorEastAsia"/>
                <w:b/>
                <w:color w:val="auto"/>
                <w:sz w:val="28"/>
                <w:szCs w:val="28"/>
              </w:rPr>
            </w:pPr>
          </w:p>
        </w:tc>
      </w:tr>
      <w:tr w14:paraId="7665C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28B9CE18">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6E92BE71">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1D236107">
            <w:pPr>
              <w:jc w:val="center"/>
              <w:rPr>
                <w:rFonts w:asciiTheme="minorEastAsia" w:hAnsiTheme="minorEastAsia" w:eastAsiaTheme="minorEastAsia"/>
                <w:b/>
                <w:color w:val="auto"/>
                <w:sz w:val="28"/>
                <w:szCs w:val="28"/>
              </w:rPr>
            </w:pPr>
          </w:p>
        </w:tc>
      </w:tr>
      <w:tr w14:paraId="73A00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203B521D">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252C47E6">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5BA5C2AF">
            <w:pPr>
              <w:jc w:val="center"/>
              <w:rPr>
                <w:rFonts w:asciiTheme="minorEastAsia" w:hAnsiTheme="minorEastAsia" w:eastAsiaTheme="minorEastAsia"/>
                <w:b/>
                <w:color w:val="auto"/>
                <w:sz w:val="28"/>
                <w:szCs w:val="28"/>
              </w:rPr>
            </w:pPr>
          </w:p>
        </w:tc>
      </w:tr>
      <w:tr w14:paraId="75816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4C7D9E79">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11010645">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62D625E2">
            <w:pPr>
              <w:jc w:val="center"/>
              <w:rPr>
                <w:rFonts w:asciiTheme="minorEastAsia" w:hAnsiTheme="minorEastAsia" w:eastAsiaTheme="minorEastAsia"/>
                <w:b/>
                <w:color w:val="auto"/>
                <w:sz w:val="28"/>
                <w:szCs w:val="28"/>
              </w:rPr>
            </w:pPr>
          </w:p>
        </w:tc>
      </w:tr>
      <w:tr w14:paraId="1D2D3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21F11F85">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0E13C31F">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597A6893">
            <w:pPr>
              <w:jc w:val="center"/>
              <w:rPr>
                <w:rFonts w:asciiTheme="minorEastAsia" w:hAnsiTheme="minorEastAsia" w:eastAsiaTheme="minorEastAsia"/>
                <w:b/>
                <w:color w:val="auto"/>
                <w:sz w:val="28"/>
                <w:szCs w:val="28"/>
              </w:rPr>
            </w:pPr>
          </w:p>
        </w:tc>
      </w:tr>
      <w:tr w14:paraId="4E3AA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6D893711">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7374C047">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1A3955E3">
            <w:pPr>
              <w:jc w:val="center"/>
              <w:rPr>
                <w:rFonts w:asciiTheme="minorEastAsia" w:hAnsiTheme="minorEastAsia" w:eastAsiaTheme="minorEastAsia"/>
                <w:b/>
                <w:color w:val="auto"/>
                <w:sz w:val="28"/>
                <w:szCs w:val="28"/>
              </w:rPr>
            </w:pPr>
          </w:p>
        </w:tc>
      </w:tr>
      <w:tr w14:paraId="7AAE5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6E1F3842">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0CD52FAA">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2D8A27D5">
            <w:pPr>
              <w:jc w:val="center"/>
              <w:rPr>
                <w:rFonts w:asciiTheme="minorEastAsia" w:hAnsiTheme="minorEastAsia" w:eastAsiaTheme="minorEastAsia"/>
                <w:b/>
                <w:color w:val="auto"/>
                <w:sz w:val="28"/>
                <w:szCs w:val="28"/>
              </w:rPr>
            </w:pPr>
          </w:p>
        </w:tc>
      </w:tr>
      <w:tr w14:paraId="112E8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69C28938">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549564D5">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5BF213D2">
            <w:pPr>
              <w:jc w:val="center"/>
              <w:rPr>
                <w:rFonts w:asciiTheme="minorEastAsia" w:hAnsiTheme="minorEastAsia" w:eastAsiaTheme="minorEastAsia"/>
                <w:b/>
                <w:color w:val="auto"/>
                <w:sz w:val="28"/>
                <w:szCs w:val="28"/>
              </w:rPr>
            </w:pPr>
          </w:p>
        </w:tc>
      </w:tr>
      <w:tr w14:paraId="369DE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463614FA">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2BB4C2BD">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28904D50">
            <w:pPr>
              <w:jc w:val="center"/>
              <w:rPr>
                <w:rFonts w:asciiTheme="minorEastAsia" w:hAnsiTheme="minorEastAsia" w:eastAsiaTheme="minorEastAsia"/>
                <w:b/>
                <w:color w:val="auto"/>
                <w:sz w:val="28"/>
                <w:szCs w:val="28"/>
              </w:rPr>
            </w:pPr>
          </w:p>
        </w:tc>
      </w:tr>
      <w:tr w14:paraId="11190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2403304E">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3C40437D">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2203A1AE">
            <w:pPr>
              <w:jc w:val="center"/>
              <w:rPr>
                <w:rFonts w:asciiTheme="minorEastAsia" w:hAnsiTheme="minorEastAsia" w:eastAsiaTheme="minorEastAsia"/>
                <w:b/>
                <w:color w:val="auto"/>
                <w:sz w:val="28"/>
                <w:szCs w:val="28"/>
              </w:rPr>
            </w:pPr>
          </w:p>
        </w:tc>
      </w:tr>
      <w:tr w14:paraId="7AA62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0A25D6B2">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331889B2">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4064B296">
            <w:pPr>
              <w:jc w:val="center"/>
              <w:rPr>
                <w:rFonts w:asciiTheme="minorEastAsia" w:hAnsiTheme="minorEastAsia" w:eastAsiaTheme="minorEastAsia"/>
                <w:b/>
                <w:color w:val="auto"/>
                <w:sz w:val="28"/>
                <w:szCs w:val="28"/>
              </w:rPr>
            </w:pPr>
          </w:p>
        </w:tc>
      </w:tr>
    </w:tbl>
    <w:p w14:paraId="28C66A95">
      <w:pPr>
        <w:rPr>
          <w:color w:val="auto"/>
          <w:sz w:val="32"/>
          <w:szCs w:val="32"/>
          <w:u w:val="single"/>
        </w:rPr>
      </w:pPr>
    </w:p>
    <w:p w14:paraId="7889F6F1">
      <w:pPr>
        <w:rPr>
          <w:color w:val="auto"/>
          <w:sz w:val="32"/>
          <w:szCs w:val="32"/>
        </w:rPr>
      </w:pPr>
    </w:p>
    <w:p w14:paraId="775DE436">
      <w:pPr>
        <w:rPr>
          <w:color w:val="auto"/>
          <w:sz w:val="32"/>
          <w:szCs w:val="32"/>
          <w:u w:val="single"/>
        </w:rPr>
      </w:pPr>
      <w:r>
        <w:rPr>
          <w:color w:val="auto"/>
          <w:sz w:val="32"/>
          <w:szCs w:val="32"/>
        </w:rPr>
        <w:t>授权代表签名及手机：</w:t>
      </w:r>
    </w:p>
    <w:p w14:paraId="7E764AA9">
      <w:pPr>
        <w:rPr>
          <w:color w:val="auto"/>
          <w:sz w:val="32"/>
          <w:szCs w:val="32"/>
          <w:u w:val="single"/>
        </w:rPr>
      </w:pPr>
      <w:r>
        <w:rPr>
          <w:color w:val="auto"/>
          <w:sz w:val="32"/>
          <w:szCs w:val="32"/>
        </w:rPr>
        <w:t>日期：</w:t>
      </w:r>
    </w:p>
    <w:p w14:paraId="0AC5F8F9">
      <w:pPr>
        <w:pStyle w:val="39"/>
        <w:spacing w:line="360" w:lineRule="auto"/>
        <w:jc w:val="both"/>
        <w:rPr>
          <w:color w:val="auto"/>
          <w:sz w:val="21"/>
          <w:szCs w:val="21"/>
        </w:rPr>
      </w:pPr>
    </w:p>
    <w:p w14:paraId="2BB96431">
      <w:pPr>
        <w:pStyle w:val="39"/>
        <w:spacing w:line="360" w:lineRule="auto"/>
        <w:jc w:val="both"/>
        <w:rPr>
          <w:rFonts w:hAnsi="宋体"/>
          <w:color w:val="auto"/>
          <w:sz w:val="21"/>
          <w:szCs w:val="21"/>
        </w:rPr>
      </w:pPr>
      <w:r>
        <w:rPr>
          <w:color w:val="auto"/>
          <w:sz w:val="21"/>
          <w:szCs w:val="21"/>
        </w:rPr>
        <w:t>说明：</w:t>
      </w:r>
      <w:r>
        <w:rPr>
          <w:rFonts w:hAnsi="宋体"/>
          <w:color w:val="auto"/>
          <w:sz w:val="21"/>
          <w:szCs w:val="21"/>
        </w:rPr>
        <w:t>①</w:t>
      </w:r>
      <w:r>
        <w:rPr>
          <w:color w:val="auto"/>
          <w:sz w:val="21"/>
          <w:szCs w:val="21"/>
        </w:rPr>
        <w:t>采购文件要求列第一行填写项目名称，以下填写</w:t>
      </w:r>
      <w:r>
        <w:rPr>
          <w:rFonts w:hint="eastAsia"/>
          <w:b/>
          <w:color w:val="auto"/>
          <w:sz w:val="21"/>
          <w:szCs w:val="21"/>
        </w:rPr>
        <w:t>总体</w:t>
      </w:r>
      <w:r>
        <w:rPr>
          <w:b/>
          <w:color w:val="auto"/>
          <w:sz w:val="21"/>
          <w:szCs w:val="21"/>
        </w:rPr>
        <w:t>要求和</w:t>
      </w:r>
      <w:r>
        <w:rPr>
          <w:rFonts w:hint="eastAsia"/>
          <w:b/>
          <w:color w:val="auto"/>
          <w:sz w:val="21"/>
          <w:szCs w:val="21"/>
        </w:rPr>
        <w:t>采购内容</w:t>
      </w:r>
      <w:r>
        <w:rPr>
          <w:b/>
          <w:color w:val="auto"/>
          <w:sz w:val="21"/>
          <w:szCs w:val="21"/>
        </w:rPr>
        <w:t>技术要求</w:t>
      </w:r>
      <w:r>
        <w:rPr>
          <w:color w:val="auto"/>
          <w:sz w:val="21"/>
          <w:szCs w:val="21"/>
        </w:rPr>
        <w:t>。</w:t>
      </w:r>
      <w:r>
        <w:rPr>
          <w:rFonts w:hAnsi="宋体"/>
          <w:color w:val="auto"/>
          <w:sz w:val="21"/>
          <w:szCs w:val="21"/>
        </w:rPr>
        <w:t>②响应情况列</w:t>
      </w:r>
      <w:r>
        <w:rPr>
          <w:rFonts w:hint="eastAsia" w:hAnsi="宋体"/>
          <w:b/>
          <w:color w:val="auto"/>
          <w:sz w:val="21"/>
          <w:szCs w:val="21"/>
        </w:rPr>
        <w:t>如实</w:t>
      </w:r>
      <w:r>
        <w:rPr>
          <w:rFonts w:hAnsi="宋体"/>
          <w:b/>
          <w:color w:val="auto"/>
          <w:sz w:val="21"/>
          <w:szCs w:val="21"/>
        </w:rPr>
        <w:t>填写</w:t>
      </w:r>
      <w:r>
        <w:rPr>
          <w:rFonts w:hAnsi="宋体"/>
          <w:color w:val="auto"/>
          <w:sz w:val="21"/>
          <w:szCs w:val="21"/>
        </w:rPr>
        <w:t>项目响应情况。③注明</w:t>
      </w:r>
      <w:r>
        <w:rPr>
          <w:color w:val="auto"/>
          <w:sz w:val="21"/>
          <w:szCs w:val="21"/>
        </w:rPr>
        <w:t>“</w:t>
      </w:r>
      <w:r>
        <w:rPr>
          <w:rFonts w:hAnsi="宋体"/>
          <w:color w:val="auto"/>
          <w:sz w:val="21"/>
          <w:szCs w:val="21"/>
        </w:rPr>
        <w:t>正偏离</w:t>
      </w:r>
      <w:r>
        <w:rPr>
          <w:color w:val="auto"/>
          <w:sz w:val="21"/>
          <w:szCs w:val="21"/>
        </w:rPr>
        <w:t>”</w:t>
      </w:r>
      <w:r>
        <w:rPr>
          <w:rFonts w:hAnsi="宋体"/>
          <w:color w:val="auto"/>
          <w:sz w:val="21"/>
          <w:szCs w:val="21"/>
        </w:rPr>
        <w:t>、</w:t>
      </w:r>
      <w:r>
        <w:rPr>
          <w:color w:val="auto"/>
          <w:sz w:val="21"/>
          <w:szCs w:val="21"/>
        </w:rPr>
        <w:t>“</w:t>
      </w:r>
      <w:r>
        <w:rPr>
          <w:rFonts w:hAnsi="宋体"/>
          <w:color w:val="auto"/>
          <w:sz w:val="21"/>
          <w:szCs w:val="21"/>
        </w:rPr>
        <w:t>负偏离</w:t>
      </w:r>
      <w:r>
        <w:rPr>
          <w:color w:val="auto"/>
          <w:sz w:val="21"/>
          <w:szCs w:val="21"/>
        </w:rPr>
        <w:t>”</w:t>
      </w:r>
      <w:r>
        <w:rPr>
          <w:rFonts w:hAnsi="宋体"/>
          <w:color w:val="auto"/>
          <w:sz w:val="21"/>
          <w:szCs w:val="21"/>
        </w:rPr>
        <w:t>或</w:t>
      </w:r>
      <w:r>
        <w:rPr>
          <w:color w:val="auto"/>
          <w:sz w:val="21"/>
          <w:szCs w:val="21"/>
        </w:rPr>
        <w:t>“</w:t>
      </w:r>
      <w:r>
        <w:rPr>
          <w:rFonts w:hAnsi="宋体"/>
          <w:color w:val="auto"/>
          <w:sz w:val="21"/>
          <w:szCs w:val="21"/>
        </w:rPr>
        <w:t>无偏离</w:t>
      </w:r>
      <w:r>
        <w:rPr>
          <w:color w:val="auto"/>
          <w:sz w:val="21"/>
          <w:szCs w:val="21"/>
        </w:rPr>
        <w:t>”</w:t>
      </w:r>
      <w:r>
        <w:rPr>
          <w:rFonts w:hAnsi="宋体"/>
          <w:color w:val="auto"/>
          <w:sz w:val="21"/>
          <w:szCs w:val="21"/>
        </w:rPr>
        <w:t>。</w:t>
      </w:r>
    </w:p>
    <w:p w14:paraId="57BE7F20">
      <w:pPr>
        <w:snapToGrid w:val="0"/>
        <w:spacing w:beforeLines="50" w:after="50" w:line="460" w:lineRule="exact"/>
        <w:rPr>
          <w:rFonts w:hAnsi="仿宋" w:eastAsia="仿宋"/>
          <w:color w:val="auto"/>
          <w:sz w:val="30"/>
          <w:szCs w:val="30"/>
        </w:rPr>
      </w:pPr>
    </w:p>
    <w:p w14:paraId="58326B55">
      <w:pPr>
        <w:snapToGrid w:val="0"/>
        <w:spacing w:beforeLines="50" w:after="50" w:line="460" w:lineRule="exact"/>
        <w:rPr>
          <w:rFonts w:eastAsia="仿宋"/>
          <w:color w:val="auto"/>
          <w:sz w:val="30"/>
          <w:szCs w:val="30"/>
        </w:rPr>
      </w:pPr>
      <w:r>
        <w:rPr>
          <w:rFonts w:hAnsi="仿宋" w:eastAsia="仿宋"/>
          <w:color w:val="auto"/>
          <w:sz w:val="30"/>
          <w:szCs w:val="30"/>
        </w:rPr>
        <w:t>附件</w:t>
      </w:r>
      <w:r>
        <w:rPr>
          <w:rFonts w:hint="eastAsia" w:hAnsi="仿宋" w:eastAsia="仿宋"/>
          <w:color w:val="auto"/>
          <w:sz w:val="30"/>
          <w:szCs w:val="30"/>
        </w:rPr>
        <w:t>5</w:t>
      </w:r>
      <w:r>
        <w:rPr>
          <w:rFonts w:hAnsi="仿宋" w:eastAsia="仿宋"/>
          <w:color w:val="auto"/>
          <w:sz w:val="30"/>
          <w:szCs w:val="30"/>
        </w:rPr>
        <w:t>：</w:t>
      </w:r>
    </w:p>
    <w:p w14:paraId="6CA6FF9E">
      <w:pPr>
        <w:jc w:val="center"/>
        <w:rPr>
          <w:b/>
          <w:color w:val="auto"/>
          <w:sz w:val="36"/>
          <w:szCs w:val="36"/>
        </w:rPr>
      </w:pPr>
      <w:r>
        <w:rPr>
          <w:b/>
          <w:color w:val="auto"/>
          <w:sz w:val="36"/>
          <w:szCs w:val="36"/>
        </w:rPr>
        <w:t>报价明细表</w:t>
      </w:r>
    </w:p>
    <w:p w14:paraId="268DA767">
      <w:pPr>
        <w:rPr>
          <w:color w:val="auto"/>
          <w:sz w:val="32"/>
          <w:szCs w:val="32"/>
          <w:u w:val="single"/>
        </w:rPr>
      </w:pPr>
      <w:r>
        <w:rPr>
          <w:color w:val="auto"/>
          <w:sz w:val="32"/>
          <w:szCs w:val="32"/>
        </w:rPr>
        <w:t>供应商全称：</w:t>
      </w:r>
    </w:p>
    <w:p w14:paraId="5B88B55D">
      <w:pPr>
        <w:rPr>
          <w:color w:val="auto"/>
          <w:sz w:val="32"/>
          <w:szCs w:val="32"/>
          <w:u w:val="single"/>
        </w:rPr>
      </w:pPr>
      <w:r>
        <w:rPr>
          <w:color w:val="auto"/>
          <w:sz w:val="32"/>
          <w:szCs w:val="32"/>
        </w:rPr>
        <w:t>项目编号：</w:t>
      </w:r>
    </w:p>
    <w:tbl>
      <w:tblPr>
        <w:tblStyle w:val="21"/>
        <w:tblW w:w="893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2410"/>
        <w:gridCol w:w="2693"/>
        <w:gridCol w:w="1384"/>
        <w:gridCol w:w="1451"/>
      </w:tblGrid>
      <w:tr w14:paraId="3BFBF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gridSpan w:val="2"/>
            <w:tcBorders>
              <w:top w:val="single" w:color="000000" w:sz="4" w:space="0"/>
              <w:left w:val="single" w:color="000000" w:sz="4" w:space="0"/>
              <w:bottom w:val="single" w:color="000000" w:sz="4" w:space="0"/>
              <w:right w:val="single" w:color="000000" w:sz="4" w:space="0"/>
            </w:tcBorders>
            <w:shd w:val="clear" w:color="auto" w:fill="auto"/>
          </w:tcPr>
          <w:p w14:paraId="65DA59B4">
            <w:pPr>
              <w:jc w:val="center"/>
              <w:rPr>
                <w:rFonts w:asciiTheme="minorEastAsia" w:hAnsiTheme="minorEastAsia" w:eastAsiaTheme="minorEastAsia"/>
                <w:b/>
                <w:color w:val="auto"/>
                <w:sz w:val="28"/>
                <w:szCs w:val="28"/>
              </w:rPr>
            </w:pPr>
            <w:r>
              <w:rPr>
                <w:rFonts w:hint="eastAsia" w:asciiTheme="minorEastAsia" w:hAnsiTheme="minorEastAsia" w:eastAsiaTheme="minorEastAsia"/>
                <w:b/>
                <w:color w:val="auto"/>
                <w:sz w:val="28"/>
                <w:szCs w:val="28"/>
              </w:rPr>
              <w:t>项目</w:t>
            </w:r>
            <w:r>
              <w:rPr>
                <w:rFonts w:asciiTheme="minorEastAsia" w:hAnsiTheme="minorEastAsia" w:eastAsiaTheme="minorEastAsia"/>
                <w:b/>
                <w:color w:val="auto"/>
                <w:sz w:val="28"/>
                <w:szCs w:val="28"/>
              </w:rPr>
              <w:t>名称</w:t>
            </w:r>
          </w:p>
        </w:tc>
        <w:tc>
          <w:tcPr>
            <w:tcW w:w="2693" w:type="dxa"/>
            <w:tcBorders>
              <w:top w:val="single" w:color="000000" w:sz="4" w:space="0"/>
              <w:left w:val="single" w:color="000000" w:sz="4" w:space="0"/>
              <w:bottom w:val="single" w:color="000000" w:sz="4" w:space="0"/>
              <w:right w:val="single" w:color="000000" w:sz="4" w:space="0"/>
            </w:tcBorders>
            <w:shd w:val="clear" w:color="auto" w:fill="auto"/>
          </w:tcPr>
          <w:p w14:paraId="1AAD658D">
            <w:pPr>
              <w:jc w:val="center"/>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t>数量</w:t>
            </w:r>
            <w:r>
              <w:rPr>
                <w:rFonts w:hint="eastAsia" w:asciiTheme="minorEastAsia" w:hAnsiTheme="minorEastAsia" w:eastAsiaTheme="minorEastAsia"/>
                <w:b/>
                <w:color w:val="auto"/>
                <w:sz w:val="28"/>
                <w:szCs w:val="28"/>
              </w:rPr>
              <w:t>及单位</w:t>
            </w:r>
          </w:p>
        </w:tc>
        <w:tc>
          <w:tcPr>
            <w:tcW w:w="1384" w:type="dxa"/>
            <w:tcBorders>
              <w:top w:val="single" w:color="000000" w:sz="4" w:space="0"/>
              <w:left w:val="single" w:color="000000" w:sz="4" w:space="0"/>
              <w:bottom w:val="single" w:color="000000" w:sz="4" w:space="0"/>
              <w:right w:val="single" w:color="000000" w:sz="4" w:space="0"/>
            </w:tcBorders>
            <w:shd w:val="clear" w:color="auto" w:fill="auto"/>
          </w:tcPr>
          <w:p w14:paraId="03D7A641">
            <w:pPr>
              <w:jc w:val="center"/>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t>单价（元）</w:t>
            </w:r>
          </w:p>
        </w:tc>
        <w:tc>
          <w:tcPr>
            <w:tcW w:w="1451" w:type="dxa"/>
            <w:tcBorders>
              <w:top w:val="single" w:color="000000" w:sz="4" w:space="0"/>
              <w:left w:val="single" w:color="000000" w:sz="4" w:space="0"/>
              <w:bottom w:val="single" w:color="000000" w:sz="4" w:space="0"/>
              <w:right w:val="single" w:color="000000" w:sz="4" w:space="0"/>
            </w:tcBorders>
            <w:shd w:val="clear" w:color="auto" w:fill="auto"/>
          </w:tcPr>
          <w:p w14:paraId="4C172709">
            <w:pPr>
              <w:jc w:val="center"/>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t>总价（元）</w:t>
            </w:r>
          </w:p>
        </w:tc>
      </w:tr>
      <w:tr w14:paraId="0C538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gridSpan w:val="2"/>
            <w:tcBorders>
              <w:top w:val="single" w:color="000000" w:sz="4" w:space="0"/>
              <w:left w:val="single" w:color="000000" w:sz="4" w:space="0"/>
              <w:bottom w:val="single" w:color="000000" w:sz="4" w:space="0"/>
              <w:right w:val="single" w:color="000000" w:sz="4" w:space="0"/>
            </w:tcBorders>
            <w:shd w:val="clear" w:color="auto" w:fill="auto"/>
          </w:tcPr>
          <w:p w14:paraId="0E42C87A">
            <w:pPr>
              <w:rPr>
                <w:rFonts w:asciiTheme="minorEastAsia" w:hAnsiTheme="minorEastAsia" w:eastAsiaTheme="minorEastAsia"/>
                <w:color w:val="auto"/>
                <w:sz w:val="32"/>
                <w:szCs w:val="32"/>
              </w:rPr>
            </w:pPr>
          </w:p>
        </w:tc>
        <w:tc>
          <w:tcPr>
            <w:tcW w:w="2693" w:type="dxa"/>
            <w:tcBorders>
              <w:top w:val="single" w:color="000000" w:sz="4" w:space="0"/>
              <w:left w:val="single" w:color="000000" w:sz="4" w:space="0"/>
              <w:bottom w:val="single" w:color="000000" w:sz="4" w:space="0"/>
              <w:right w:val="single" w:color="000000" w:sz="4" w:space="0"/>
            </w:tcBorders>
            <w:shd w:val="clear" w:color="auto" w:fill="auto"/>
          </w:tcPr>
          <w:p w14:paraId="480191E5">
            <w:pPr>
              <w:rPr>
                <w:rFonts w:asciiTheme="minorEastAsia" w:hAnsiTheme="minorEastAsia" w:eastAsiaTheme="minorEastAsia"/>
                <w:color w:val="auto"/>
                <w:sz w:val="32"/>
                <w:szCs w:val="32"/>
              </w:rPr>
            </w:pPr>
          </w:p>
        </w:tc>
        <w:tc>
          <w:tcPr>
            <w:tcW w:w="1384" w:type="dxa"/>
            <w:tcBorders>
              <w:top w:val="single" w:color="000000" w:sz="4" w:space="0"/>
              <w:left w:val="single" w:color="000000" w:sz="4" w:space="0"/>
              <w:bottom w:val="single" w:color="000000" w:sz="4" w:space="0"/>
              <w:right w:val="single" w:color="000000" w:sz="4" w:space="0"/>
            </w:tcBorders>
            <w:shd w:val="clear" w:color="auto" w:fill="auto"/>
          </w:tcPr>
          <w:p w14:paraId="773C5F9E">
            <w:pPr>
              <w:rPr>
                <w:rFonts w:asciiTheme="minorEastAsia" w:hAnsiTheme="minorEastAsia" w:eastAsiaTheme="minorEastAsia"/>
                <w:color w:val="auto"/>
                <w:sz w:val="32"/>
                <w:szCs w:val="32"/>
              </w:rPr>
            </w:pPr>
          </w:p>
        </w:tc>
        <w:tc>
          <w:tcPr>
            <w:tcW w:w="1451" w:type="dxa"/>
            <w:tcBorders>
              <w:top w:val="single" w:color="000000" w:sz="4" w:space="0"/>
              <w:left w:val="single" w:color="000000" w:sz="4" w:space="0"/>
              <w:bottom w:val="single" w:color="000000" w:sz="4" w:space="0"/>
              <w:right w:val="single" w:color="000000" w:sz="4" w:space="0"/>
            </w:tcBorders>
            <w:shd w:val="clear" w:color="auto" w:fill="auto"/>
          </w:tcPr>
          <w:p w14:paraId="285E5C1F">
            <w:pPr>
              <w:rPr>
                <w:rFonts w:asciiTheme="minorEastAsia" w:hAnsiTheme="minorEastAsia" w:eastAsiaTheme="minorEastAsia"/>
                <w:color w:val="auto"/>
                <w:sz w:val="32"/>
                <w:szCs w:val="32"/>
              </w:rPr>
            </w:pPr>
          </w:p>
        </w:tc>
      </w:tr>
      <w:tr w14:paraId="60944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gridSpan w:val="2"/>
            <w:tcBorders>
              <w:top w:val="single" w:color="000000" w:sz="4" w:space="0"/>
              <w:left w:val="single" w:color="000000" w:sz="4" w:space="0"/>
              <w:bottom w:val="single" w:color="000000" w:sz="4" w:space="0"/>
              <w:right w:val="single" w:color="000000" w:sz="4" w:space="0"/>
            </w:tcBorders>
            <w:shd w:val="clear" w:color="auto" w:fill="auto"/>
          </w:tcPr>
          <w:p w14:paraId="1022E06D">
            <w:pPr>
              <w:rPr>
                <w:rFonts w:asciiTheme="minorEastAsia" w:hAnsiTheme="minorEastAsia" w:eastAsiaTheme="minorEastAsia"/>
                <w:color w:val="auto"/>
                <w:sz w:val="32"/>
                <w:szCs w:val="32"/>
              </w:rPr>
            </w:pPr>
          </w:p>
        </w:tc>
        <w:tc>
          <w:tcPr>
            <w:tcW w:w="2693" w:type="dxa"/>
            <w:tcBorders>
              <w:top w:val="single" w:color="000000" w:sz="4" w:space="0"/>
              <w:left w:val="single" w:color="000000" w:sz="4" w:space="0"/>
              <w:bottom w:val="single" w:color="000000" w:sz="4" w:space="0"/>
              <w:right w:val="single" w:color="000000" w:sz="4" w:space="0"/>
            </w:tcBorders>
            <w:shd w:val="clear" w:color="auto" w:fill="auto"/>
          </w:tcPr>
          <w:p w14:paraId="2388D3C8">
            <w:pPr>
              <w:rPr>
                <w:rFonts w:asciiTheme="minorEastAsia" w:hAnsiTheme="minorEastAsia" w:eastAsiaTheme="minorEastAsia"/>
                <w:color w:val="auto"/>
                <w:sz w:val="32"/>
                <w:szCs w:val="32"/>
              </w:rPr>
            </w:pPr>
          </w:p>
        </w:tc>
        <w:tc>
          <w:tcPr>
            <w:tcW w:w="1384" w:type="dxa"/>
            <w:tcBorders>
              <w:top w:val="single" w:color="000000" w:sz="4" w:space="0"/>
              <w:left w:val="single" w:color="000000" w:sz="4" w:space="0"/>
              <w:bottom w:val="single" w:color="000000" w:sz="4" w:space="0"/>
              <w:right w:val="single" w:color="000000" w:sz="4" w:space="0"/>
            </w:tcBorders>
            <w:shd w:val="clear" w:color="auto" w:fill="auto"/>
          </w:tcPr>
          <w:p w14:paraId="06944F91">
            <w:pPr>
              <w:rPr>
                <w:rFonts w:asciiTheme="minorEastAsia" w:hAnsiTheme="minorEastAsia" w:eastAsiaTheme="minorEastAsia"/>
                <w:color w:val="auto"/>
                <w:sz w:val="32"/>
                <w:szCs w:val="32"/>
              </w:rPr>
            </w:pPr>
          </w:p>
        </w:tc>
        <w:tc>
          <w:tcPr>
            <w:tcW w:w="1451" w:type="dxa"/>
            <w:tcBorders>
              <w:top w:val="single" w:color="000000" w:sz="4" w:space="0"/>
              <w:left w:val="single" w:color="000000" w:sz="4" w:space="0"/>
              <w:bottom w:val="single" w:color="000000" w:sz="4" w:space="0"/>
              <w:right w:val="single" w:color="000000" w:sz="4" w:space="0"/>
            </w:tcBorders>
            <w:shd w:val="clear" w:color="auto" w:fill="auto"/>
          </w:tcPr>
          <w:p w14:paraId="6D957AEE">
            <w:pPr>
              <w:rPr>
                <w:rFonts w:asciiTheme="minorEastAsia" w:hAnsiTheme="minorEastAsia" w:eastAsiaTheme="minorEastAsia"/>
                <w:color w:val="auto"/>
                <w:sz w:val="32"/>
                <w:szCs w:val="32"/>
              </w:rPr>
            </w:pPr>
          </w:p>
        </w:tc>
      </w:tr>
      <w:tr w14:paraId="78C0A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1" w:type="dxa"/>
            <w:gridSpan w:val="5"/>
            <w:tcBorders>
              <w:top w:val="single" w:color="000000" w:sz="4" w:space="0"/>
              <w:left w:val="single" w:color="000000" w:sz="4" w:space="0"/>
              <w:bottom w:val="single" w:color="000000" w:sz="4" w:space="0"/>
              <w:right w:val="single" w:color="000000" w:sz="4" w:space="0"/>
            </w:tcBorders>
            <w:shd w:val="clear" w:color="auto" w:fill="auto"/>
          </w:tcPr>
          <w:p w14:paraId="681B842E">
            <w:pPr>
              <w:rPr>
                <w:rFonts w:asciiTheme="minorEastAsia" w:hAnsiTheme="minorEastAsia" w:eastAsiaTheme="minorEastAsia"/>
                <w:color w:val="auto"/>
                <w:sz w:val="28"/>
                <w:szCs w:val="28"/>
                <w:u w:val="single"/>
              </w:rPr>
            </w:pPr>
            <w:r>
              <w:rPr>
                <w:rFonts w:asciiTheme="minorEastAsia" w:hAnsiTheme="minorEastAsia" w:eastAsiaTheme="minorEastAsia"/>
                <w:color w:val="auto"/>
                <w:sz w:val="28"/>
                <w:szCs w:val="28"/>
              </w:rPr>
              <w:t>合计金额大写：   小写：￥</w:t>
            </w:r>
          </w:p>
        </w:tc>
      </w:tr>
      <w:tr w14:paraId="7504B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Borders>
              <w:top w:val="single" w:color="000000" w:sz="4" w:space="0"/>
              <w:left w:val="single" w:color="000000" w:sz="4" w:space="0"/>
              <w:bottom w:val="single" w:color="000000" w:sz="4" w:space="0"/>
              <w:right w:val="single" w:color="000000" w:sz="4" w:space="0"/>
            </w:tcBorders>
            <w:shd w:val="clear" w:color="auto" w:fill="auto"/>
          </w:tcPr>
          <w:p w14:paraId="1FE65845">
            <w:pPr>
              <w:jc w:val="center"/>
              <w:rPr>
                <w:rFonts w:asciiTheme="minorEastAsia" w:hAnsiTheme="minorEastAsia" w:eastAsiaTheme="minorEastAsia"/>
                <w:color w:val="auto"/>
                <w:sz w:val="28"/>
                <w:szCs w:val="28"/>
              </w:rPr>
            </w:pPr>
          </w:p>
          <w:p w14:paraId="4C180B02">
            <w:pPr>
              <w:jc w:val="center"/>
              <w:rPr>
                <w:rFonts w:asciiTheme="minorEastAsia" w:hAnsiTheme="minorEastAsia" w:eastAsiaTheme="minorEastAsia"/>
                <w:color w:val="auto"/>
                <w:sz w:val="28"/>
                <w:szCs w:val="28"/>
              </w:rPr>
            </w:pPr>
          </w:p>
          <w:p w14:paraId="076F4CED">
            <w:pPr>
              <w:jc w:val="center"/>
              <w:rPr>
                <w:rFonts w:asciiTheme="minorEastAsia" w:hAnsiTheme="minorEastAsia" w:eastAsiaTheme="minorEastAsia"/>
                <w:color w:val="auto"/>
                <w:sz w:val="28"/>
                <w:szCs w:val="28"/>
              </w:rPr>
            </w:pPr>
          </w:p>
          <w:p w14:paraId="57CCEFF7">
            <w:pPr>
              <w:jc w:val="center"/>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备</w:t>
            </w:r>
          </w:p>
          <w:p w14:paraId="54B76886">
            <w:pPr>
              <w:jc w:val="center"/>
              <w:rPr>
                <w:rFonts w:asciiTheme="minorEastAsia" w:hAnsiTheme="minorEastAsia" w:eastAsiaTheme="minorEastAsia"/>
                <w:color w:val="auto"/>
                <w:sz w:val="28"/>
                <w:szCs w:val="28"/>
              </w:rPr>
            </w:pPr>
          </w:p>
          <w:p w14:paraId="10C45A8C">
            <w:pPr>
              <w:jc w:val="center"/>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注</w:t>
            </w:r>
          </w:p>
          <w:p w14:paraId="531E2456">
            <w:pPr>
              <w:jc w:val="center"/>
              <w:rPr>
                <w:rFonts w:asciiTheme="minorEastAsia" w:hAnsiTheme="minorEastAsia" w:eastAsiaTheme="minorEastAsia"/>
                <w:color w:val="auto"/>
                <w:sz w:val="28"/>
                <w:szCs w:val="28"/>
              </w:rPr>
            </w:pPr>
          </w:p>
          <w:p w14:paraId="6A7D132B">
            <w:pPr>
              <w:jc w:val="center"/>
              <w:rPr>
                <w:rFonts w:asciiTheme="minorEastAsia" w:hAnsiTheme="minorEastAsia" w:eastAsiaTheme="minorEastAsia"/>
                <w:color w:val="auto"/>
                <w:sz w:val="28"/>
                <w:szCs w:val="28"/>
              </w:rPr>
            </w:pPr>
          </w:p>
          <w:p w14:paraId="2602415B">
            <w:pPr>
              <w:jc w:val="center"/>
              <w:rPr>
                <w:rFonts w:asciiTheme="minorEastAsia" w:hAnsiTheme="minorEastAsia" w:eastAsiaTheme="minorEastAsia"/>
                <w:color w:val="auto"/>
                <w:sz w:val="28"/>
                <w:szCs w:val="28"/>
              </w:rPr>
            </w:pPr>
          </w:p>
        </w:tc>
        <w:tc>
          <w:tcPr>
            <w:tcW w:w="7938" w:type="dxa"/>
            <w:gridSpan w:val="4"/>
            <w:tcBorders>
              <w:top w:val="single" w:color="000000" w:sz="4" w:space="0"/>
              <w:left w:val="single" w:color="000000" w:sz="4" w:space="0"/>
              <w:bottom w:val="single" w:color="000000" w:sz="4" w:space="0"/>
              <w:right w:val="single" w:color="000000" w:sz="4" w:space="0"/>
            </w:tcBorders>
            <w:shd w:val="clear" w:color="auto" w:fill="auto"/>
          </w:tcPr>
          <w:p w14:paraId="55F3A46F">
            <w:pPr>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1、此表应按项目的明细情况列项填表，在填写时，如上表不适合本项目的实际情况，可在确保响应明细内容完整的情况下，根据上表格式自行划表填写。</w:t>
            </w:r>
          </w:p>
          <w:p w14:paraId="774DEC26">
            <w:pPr>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2、报价要求：项目费用包括项目实施所需的工程费、工时费、服务费、运输费、安装费调试费、税费及其他一切费用。</w:t>
            </w:r>
          </w:p>
          <w:p w14:paraId="58AD0013">
            <w:pPr>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3、报价中不允许出现报价优惠等字样，合计总价应与明细报价汇总相等。</w:t>
            </w:r>
          </w:p>
          <w:p w14:paraId="2FF333EB">
            <w:pPr>
              <w:rPr>
                <w:rFonts w:asciiTheme="minorEastAsia" w:hAnsiTheme="minorEastAsia" w:eastAsiaTheme="minorEastAsia"/>
                <w:color w:val="auto"/>
                <w:sz w:val="28"/>
                <w:szCs w:val="28"/>
              </w:rPr>
            </w:pPr>
          </w:p>
        </w:tc>
      </w:tr>
    </w:tbl>
    <w:p w14:paraId="2AAF5DCC">
      <w:pPr>
        <w:rPr>
          <w:color w:val="auto"/>
          <w:sz w:val="32"/>
          <w:szCs w:val="32"/>
        </w:rPr>
      </w:pPr>
    </w:p>
    <w:p w14:paraId="66C221F0">
      <w:pPr>
        <w:rPr>
          <w:color w:val="auto"/>
          <w:sz w:val="32"/>
          <w:szCs w:val="32"/>
          <w:u w:val="single"/>
        </w:rPr>
      </w:pPr>
      <w:r>
        <w:rPr>
          <w:color w:val="auto"/>
          <w:sz w:val="32"/>
          <w:szCs w:val="32"/>
        </w:rPr>
        <w:t>授权代表签名：</w:t>
      </w:r>
    </w:p>
    <w:p w14:paraId="190AB458">
      <w:pPr>
        <w:rPr>
          <w:color w:val="auto"/>
          <w:sz w:val="32"/>
          <w:szCs w:val="32"/>
          <w:u w:val="single"/>
        </w:rPr>
      </w:pPr>
      <w:r>
        <w:rPr>
          <w:color w:val="auto"/>
          <w:sz w:val="32"/>
          <w:szCs w:val="32"/>
        </w:rPr>
        <w:t>日期：</w:t>
      </w:r>
    </w:p>
    <w:p w14:paraId="4BA8C5DF">
      <w:pPr>
        <w:rPr>
          <w:color w:val="auto"/>
          <w:szCs w:val="22"/>
        </w:rPr>
      </w:pPr>
    </w:p>
    <w:p w14:paraId="2E7076C0">
      <w:pPr>
        <w:rPr>
          <w:color w:val="auto"/>
          <w:szCs w:val="22"/>
        </w:rPr>
      </w:pPr>
    </w:p>
    <w:p w14:paraId="57FE012B">
      <w:pPr>
        <w:rPr>
          <w:color w:val="auto"/>
          <w:szCs w:val="22"/>
        </w:rPr>
      </w:pPr>
    </w:p>
    <w:p w14:paraId="6913B855">
      <w:pPr>
        <w:pStyle w:val="19"/>
        <w:numPr>
          <w:ilvl w:val="0"/>
          <w:numId w:val="11"/>
        </w:numPr>
        <w:rPr>
          <w:rFonts w:hint="eastAsia" w:eastAsia="宋体"/>
          <w:color w:val="auto"/>
        </w:rPr>
      </w:pPr>
      <w:bookmarkStart w:id="13" w:name="_Toc3195"/>
      <w:r>
        <w:rPr>
          <w:rFonts w:hint="eastAsia" w:eastAsia="宋体"/>
          <w:color w:val="auto"/>
        </w:rPr>
        <w:t>合同主要条款</w:t>
      </w:r>
      <w:bookmarkEnd w:id="13"/>
    </w:p>
    <w:p w14:paraId="2C8E760B">
      <w:pPr>
        <w:spacing w:line="480" w:lineRule="exact"/>
        <w:ind w:right="140" w:firstLine="280" w:firstLineChars="100"/>
        <w:jc w:val="center"/>
        <w:rPr>
          <w:rFonts w:ascii="微软雅黑" w:hAnsi="微软雅黑" w:eastAsia="微软雅黑"/>
          <w:b/>
          <w:color w:val="auto"/>
          <w:sz w:val="28"/>
        </w:rPr>
      </w:pPr>
      <w:r>
        <w:rPr>
          <w:rFonts w:ascii="微软雅黑" w:hAnsi="微软雅黑" w:eastAsia="微软雅黑"/>
          <w:b/>
          <w:color w:val="auto"/>
          <w:sz w:val="28"/>
        </w:rPr>
        <w:t>浙江</w:t>
      </w:r>
      <w:r>
        <w:rPr>
          <w:rFonts w:hint="eastAsia" w:ascii="微软雅黑" w:hAnsi="微软雅黑" w:eastAsia="微软雅黑"/>
          <w:b/>
          <w:color w:val="auto"/>
          <w:sz w:val="28"/>
        </w:rPr>
        <w:t>大学医学院附属妇产科医院</w:t>
      </w:r>
    </w:p>
    <w:p w14:paraId="406FBB52">
      <w:pPr>
        <w:spacing w:line="480" w:lineRule="exact"/>
        <w:ind w:right="140" w:firstLine="280" w:firstLineChars="100"/>
        <w:jc w:val="center"/>
        <w:rPr>
          <w:rFonts w:ascii="微软雅黑" w:hAnsi="微软雅黑" w:eastAsia="微软雅黑"/>
          <w:b/>
          <w:color w:val="auto"/>
          <w:sz w:val="18"/>
          <w:szCs w:val="18"/>
        </w:rPr>
      </w:pPr>
      <w:r>
        <w:rPr>
          <w:rFonts w:hint="eastAsia" w:ascii="微软雅黑" w:hAnsi="微软雅黑" w:eastAsia="微软雅黑"/>
          <w:b/>
          <w:color w:val="auto"/>
          <w:sz w:val="28"/>
        </w:rPr>
        <w:t xml:space="preserve">           </w:t>
      </w:r>
      <w:r>
        <w:rPr>
          <w:rFonts w:hint="eastAsia" w:ascii="微软雅黑" w:hAnsi="微软雅黑" w:eastAsia="微软雅黑"/>
          <w:b/>
          <w:color w:val="auto"/>
          <w:sz w:val="28"/>
          <w:u w:val="single"/>
        </w:rPr>
        <w:t xml:space="preserve"> XXXX信息项目</w:t>
      </w:r>
      <w:r>
        <w:rPr>
          <w:rFonts w:ascii="微软雅黑" w:hAnsi="微软雅黑" w:eastAsia="微软雅黑"/>
          <w:b/>
          <w:color w:val="auto"/>
          <w:sz w:val="28"/>
        </w:rPr>
        <w:t>采购合同</w:t>
      </w:r>
      <w:r>
        <w:rPr>
          <w:rFonts w:hint="eastAsia" w:ascii="微软雅黑" w:hAnsi="微软雅黑" w:eastAsia="微软雅黑"/>
          <w:b/>
          <w:color w:val="auto"/>
          <w:szCs w:val="21"/>
          <w:highlight w:val="yellow"/>
        </w:rPr>
        <w:t>(最终以双方签字盖章的文本为准)</w:t>
      </w:r>
    </w:p>
    <w:p w14:paraId="0FE18785">
      <w:pPr>
        <w:snapToGrid w:val="0"/>
        <w:spacing w:before="120" w:after="120"/>
        <w:rPr>
          <w:rFonts w:ascii="微软雅黑" w:hAnsi="微软雅黑" w:eastAsia="微软雅黑"/>
          <w:color w:val="auto"/>
          <w:sz w:val="24"/>
          <w:lang w:val="zh-CN"/>
        </w:rPr>
      </w:pPr>
      <w:r>
        <w:rPr>
          <w:rFonts w:ascii="微软雅黑" w:hAnsi="微软雅黑" w:eastAsia="微软雅黑"/>
          <w:color w:val="auto"/>
          <w:sz w:val="24"/>
          <w:lang w:val="zh-CN"/>
        </w:rPr>
        <w:t xml:space="preserve">合同编号： </w:t>
      </w:r>
    </w:p>
    <w:p w14:paraId="487E915E">
      <w:pPr>
        <w:spacing w:line="360" w:lineRule="auto"/>
        <w:rPr>
          <w:rFonts w:hint="eastAsia" w:ascii="微软雅黑" w:hAnsi="微软雅黑" w:eastAsia="微软雅黑" w:cs="Times New Roman"/>
          <w:color w:val="auto"/>
          <w:sz w:val="24"/>
          <w:szCs w:val="24"/>
        </w:rPr>
      </w:pPr>
      <w:r>
        <w:rPr>
          <w:rFonts w:ascii="微软雅黑" w:hAnsi="微软雅黑" w:eastAsia="微软雅黑" w:cs="Times New Roman"/>
          <w:color w:val="auto"/>
          <w:sz w:val="24"/>
          <w:szCs w:val="24"/>
        </w:rPr>
        <w:t>甲方（采购单位）：</w:t>
      </w:r>
      <w:r>
        <w:rPr>
          <w:rFonts w:ascii="微软雅黑" w:hAnsi="微软雅黑" w:eastAsia="微软雅黑" w:cs="Times New Roman"/>
          <w:color w:val="auto"/>
          <w:sz w:val="24"/>
          <w:szCs w:val="24"/>
          <w:u w:val="single"/>
        </w:rPr>
        <w:t>浙江大学医学院附属妇产科医院</w:t>
      </w:r>
    </w:p>
    <w:p w14:paraId="3A9BA48E">
      <w:pPr>
        <w:spacing w:line="360" w:lineRule="auto"/>
        <w:rPr>
          <w:rFonts w:hint="eastAsia" w:ascii="微软雅黑" w:hAnsi="微软雅黑" w:eastAsia="微软雅黑" w:cs="Times New Roman"/>
          <w:color w:val="auto"/>
          <w:sz w:val="24"/>
          <w:szCs w:val="24"/>
        </w:rPr>
      </w:pPr>
      <w:r>
        <w:rPr>
          <w:rFonts w:ascii="微软雅黑" w:hAnsi="微软雅黑" w:eastAsia="微软雅黑" w:cs="Times New Roman"/>
          <w:color w:val="auto"/>
          <w:sz w:val="24"/>
          <w:szCs w:val="24"/>
        </w:rPr>
        <w:t>乙方（供应商）：</w:t>
      </w:r>
      <w:r>
        <w:rPr>
          <w:rFonts w:hint="eastAsia" w:ascii="微软雅黑" w:hAnsi="微软雅黑" w:eastAsia="微软雅黑" w:cs="Times New Roman"/>
          <w:color w:val="auto"/>
          <w:sz w:val="24"/>
          <w:szCs w:val="24"/>
          <w:u w:val="single"/>
        </w:rPr>
        <w:t xml:space="preserve">  XXXXXXXXXXXXXXXXXXXX  </w:t>
      </w:r>
    </w:p>
    <w:p w14:paraId="0004BA86">
      <w:pPr>
        <w:adjustRightInd w:val="0"/>
        <w:snapToGrid w:val="0"/>
        <w:spacing w:before="120" w:after="120"/>
        <w:rPr>
          <w:rFonts w:hint="eastAsia" w:ascii="微软雅黑" w:hAnsi="微软雅黑" w:eastAsia="微软雅黑" w:cs="Times New Roman"/>
          <w:b/>
          <w:color w:val="auto"/>
          <w:sz w:val="24"/>
          <w:szCs w:val="24"/>
          <w:lang w:val="zh-CN"/>
        </w:rPr>
      </w:pPr>
      <w:r>
        <w:rPr>
          <w:rFonts w:hint="eastAsia" w:ascii="微软雅黑" w:hAnsi="微软雅黑" w:eastAsia="微软雅黑" w:cs="Times New Roman"/>
          <w:b/>
          <w:snapToGrid w:val="0"/>
          <w:color w:val="auto"/>
          <w:kern w:val="0"/>
          <w:sz w:val="24"/>
          <w:szCs w:val="24"/>
          <w:lang w:val="zh-CN"/>
        </w:rPr>
        <w:tab/>
      </w:r>
      <w:r>
        <w:rPr>
          <w:rFonts w:ascii="微软雅黑" w:hAnsi="微软雅黑" w:eastAsia="微软雅黑" w:cs="Times New Roman"/>
          <w:b/>
          <w:snapToGrid w:val="0"/>
          <w:color w:val="auto"/>
          <w:kern w:val="0"/>
          <w:sz w:val="24"/>
          <w:szCs w:val="24"/>
          <w:lang w:val="zh-CN"/>
        </w:rPr>
        <w:t>一、</w:t>
      </w:r>
      <w:r>
        <w:rPr>
          <w:rFonts w:hint="eastAsia" w:ascii="微软雅黑" w:hAnsi="微软雅黑" w:eastAsia="微软雅黑" w:cs="Times New Roman"/>
          <w:b/>
          <w:snapToGrid w:val="0"/>
          <w:color w:val="auto"/>
          <w:kern w:val="0"/>
          <w:sz w:val="24"/>
          <w:szCs w:val="24"/>
          <w:lang w:val="zh-CN"/>
        </w:rPr>
        <w:t>采购内容</w:t>
      </w:r>
      <w:r>
        <w:rPr>
          <w:rFonts w:ascii="微软雅黑" w:hAnsi="微软雅黑" w:eastAsia="微软雅黑" w:cs="Times New Roman"/>
          <w:b/>
          <w:color w:val="auto"/>
          <w:sz w:val="24"/>
          <w:szCs w:val="24"/>
          <w:lang w:val="zh-CN"/>
        </w:rPr>
        <w:t>及合同价格</w:t>
      </w:r>
    </w:p>
    <w:tbl>
      <w:tblPr>
        <w:tblStyle w:val="21"/>
        <w:tblW w:w="8848" w:type="dxa"/>
        <w:jc w:val="center"/>
        <w:tblLayout w:type="autofit"/>
        <w:tblCellMar>
          <w:top w:w="0" w:type="dxa"/>
          <w:left w:w="108" w:type="dxa"/>
          <w:bottom w:w="0" w:type="dxa"/>
          <w:right w:w="108" w:type="dxa"/>
        </w:tblCellMar>
      </w:tblPr>
      <w:tblGrid>
        <w:gridCol w:w="3559"/>
        <w:gridCol w:w="1547"/>
        <w:gridCol w:w="709"/>
        <w:gridCol w:w="1559"/>
        <w:gridCol w:w="1474"/>
      </w:tblGrid>
      <w:tr w14:paraId="30FB4FE8">
        <w:tblPrEx>
          <w:tblCellMar>
            <w:top w:w="0" w:type="dxa"/>
            <w:left w:w="108" w:type="dxa"/>
            <w:bottom w:w="0" w:type="dxa"/>
            <w:right w:w="108" w:type="dxa"/>
          </w:tblCellMar>
        </w:tblPrEx>
        <w:trPr>
          <w:trHeight w:val="300" w:hRule="atLeast"/>
          <w:jc w:val="center"/>
        </w:trPr>
        <w:tc>
          <w:tcPr>
            <w:tcW w:w="3559" w:type="dxa"/>
            <w:tcBorders>
              <w:top w:val="single" w:color="auto" w:sz="8" w:space="0"/>
              <w:left w:val="single" w:color="auto" w:sz="8" w:space="0"/>
              <w:bottom w:val="single" w:color="auto" w:sz="8" w:space="0"/>
              <w:right w:val="single" w:color="auto" w:sz="8" w:space="0"/>
            </w:tcBorders>
            <w:shd w:val="clear" w:color="auto" w:fill="auto"/>
            <w:vAlign w:val="center"/>
          </w:tcPr>
          <w:p w14:paraId="50745F7A">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服务项目</w:t>
            </w:r>
          </w:p>
        </w:tc>
        <w:tc>
          <w:tcPr>
            <w:tcW w:w="1547" w:type="dxa"/>
            <w:tcBorders>
              <w:top w:val="single" w:color="auto" w:sz="8" w:space="0"/>
              <w:left w:val="nil"/>
              <w:bottom w:val="single" w:color="auto" w:sz="8" w:space="0"/>
              <w:right w:val="single" w:color="auto" w:sz="8" w:space="0"/>
            </w:tcBorders>
            <w:shd w:val="clear" w:color="auto" w:fill="auto"/>
            <w:vAlign w:val="center"/>
          </w:tcPr>
          <w:p w14:paraId="1B7F9906">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要求说明</w:t>
            </w:r>
          </w:p>
        </w:tc>
        <w:tc>
          <w:tcPr>
            <w:tcW w:w="709" w:type="dxa"/>
            <w:tcBorders>
              <w:top w:val="single" w:color="auto" w:sz="8" w:space="0"/>
              <w:left w:val="nil"/>
              <w:bottom w:val="single" w:color="auto" w:sz="8" w:space="0"/>
              <w:right w:val="single" w:color="auto" w:sz="8" w:space="0"/>
            </w:tcBorders>
            <w:shd w:val="clear" w:color="auto" w:fill="auto"/>
            <w:vAlign w:val="center"/>
          </w:tcPr>
          <w:p w14:paraId="091E4A62">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数量</w:t>
            </w:r>
          </w:p>
        </w:tc>
        <w:tc>
          <w:tcPr>
            <w:tcW w:w="1559" w:type="dxa"/>
            <w:tcBorders>
              <w:top w:val="single" w:color="auto" w:sz="8" w:space="0"/>
              <w:left w:val="nil"/>
              <w:bottom w:val="single" w:color="auto" w:sz="8" w:space="0"/>
              <w:right w:val="single" w:color="auto" w:sz="8" w:space="0"/>
            </w:tcBorders>
            <w:shd w:val="clear" w:color="auto" w:fill="auto"/>
            <w:vAlign w:val="center"/>
          </w:tcPr>
          <w:p w14:paraId="6A1844DA">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单价（元）</w:t>
            </w:r>
          </w:p>
        </w:tc>
        <w:tc>
          <w:tcPr>
            <w:tcW w:w="1474" w:type="dxa"/>
            <w:tcBorders>
              <w:top w:val="single" w:color="auto" w:sz="8" w:space="0"/>
              <w:left w:val="nil"/>
              <w:bottom w:val="single" w:color="auto" w:sz="8" w:space="0"/>
              <w:right w:val="single" w:color="auto" w:sz="8" w:space="0"/>
            </w:tcBorders>
            <w:shd w:val="clear" w:color="auto" w:fill="auto"/>
            <w:vAlign w:val="center"/>
          </w:tcPr>
          <w:p w14:paraId="40164253">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金额（元）</w:t>
            </w:r>
          </w:p>
        </w:tc>
      </w:tr>
      <w:tr w14:paraId="36BACE80">
        <w:tblPrEx>
          <w:tblCellMar>
            <w:top w:w="0" w:type="dxa"/>
            <w:left w:w="108" w:type="dxa"/>
            <w:bottom w:w="0" w:type="dxa"/>
            <w:right w:w="108" w:type="dxa"/>
          </w:tblCellMar>
        </w:tblPrEx>
        <w:trPr>
          <w:trHeight w:val="645" w:hRule="atLeast"/>
          <w:jc w:val="center"/>
        </w:trPr>
        <w:tc>
          <w:tcPr>
            <w:tcW w:w="3559" w:type="dxa"/>
            <w:tcBorders>
              <w:top w:val="nil"/>
              <w:left w:val="single" w:color="auto" w:sz="8" w:space="0"/>
              <w:bottom w:val="single" w:color="auto" w:sz="8" w:space="0"/>
              <w:right w:val="single" w:color="auto" w:sz="8" w:space="0"/>
            </w:tcBorders>
            <w:shd w:val="clear" w:color="auto" w:fill="auto"/>
            <w:vAlign w:val="center"/>
          </w:tcPr>
          <w:p w14:paraId="34354462">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XXXXXXXXXX（项目名称，如有细项，以附录形式列在最后）</w:t>
            </w:r>
          </w:p>
        </w:tc>
        <w:tc>
          <w:tcPr>
            <w:tcW w:w="1547" w:type="dxa"/>
            <w:tcBorders>
              <w:top w:val="nil"/>
              <w:left w:val="nil"/>
              <w:bottom w:val="single" w:color="auto" w:sz="8" w:space="0"/>
              <w:right w:val="single" w:color="auto" w:sz="8" w:space="0"/>
            </w:tcBorders>
            <w:shd w:val="clear" w:color="auto" w:fill="auto"/>
            <w:vAlign w:val="center"/>
          </w:tcPr>
          <w:p w14:paraId="7A8D39EA">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详见十一、项目内容说明</w:t>
            </w:r>
          </w:p>
        </w:tc>
        <w:tc>
          <w:tcPr>
            <w:tcW w:w="709" w:type="dxa"/>
            <w:tcBorders>
              <w:top w:val="nil"/>
              <w:left w:val="nil"/>
              <w:bottom w:val="single" w:color="auto" w:sz="8" w:space="0"/>
              <w:right w:val="single" w:color="auto" w:sz="8" w:space="0"/>
            </w:tcBorders>
            <w:shd w:val="clear" w:color="auto" w:fill="auto"/>
            <w:vAlign w:val="center"/>
          </w:tcPr>
          <w:p w14:paraId="16F3CFCE">
            <w:pPr>
              <w:widowControl/>
              <w:jc w:val="left"/>
              <w:rPr>
                <w:rFonts w:ascii="Times New Roman" w:hAnsi="Times New Roman" w:eastAsia="宋体" w:cs="Times New Roman"/>
                <w:color w:val="auto"/>
                <w:kern w:val="0"/>
                <w:sz w:val="24"/>
                <w:szCs w:val="24"/>
              </w:rPr>
            </w:pPr>
          </w:p>
        </w:tc>
        <w:tc>
          <w:tcPr>
            <w:tcW w:w="1559" w:type="dxa"/>
            <w:tcBorders>
              <w:top w:val="nil"/>
              <w:left w:val="nil"/>
              <w:bottom w:val="single" w:color="auto" w:sz="8" w:space="0"/>
              <w:right w:val="single" w:color="auto" w:sz="8" w:space="0"/>
            </w:tcBorders>
            <w:shd w:val="clear" w:color="auto" w:fill="auto"/>
            <w:vAlign w:val="center"/>
          </w:tcPr>
          <w:p w14:paraId="2277C6D0">
            <w:pPr>
              <w:widowControl/>
              <w:jc w:val="left"/>
              <w:rPr>
                <w:rFonts w:hint="eastAsia" w:ascii="华文宋体" w:hAnsi="华文宋体" w:eastAsia="华文宋体" w:cs="宋体"/>
                <w:color w:val="auto"/>
                <w:kern w:val="0"/>
                <w:sz w:val="24"/>
                <w:szCs w:val="24"/>
              </w:rPr>
            </w:pPr>
            <w:r>
              <w:rPr>
                <w:rFonts w:hint="eastAsia" w:ascii="宋体" w:hAnsi="宋体" w:eastAsia="宋体" w:cs="Times New Roman"/>
                <w:bCs/>
                <w:color w:val="auto"/>
                <w:spacing w:val="20"/>
                <w:sz w:val="24"/>
                <w:szCs w:val="24"/>
              </w:rPr>
              <w:t>￥</w:t>
            </w:r>
          </w:p>
        </w:tc>
        <w:tc>
          <w:tcPr>
            <w:tcW w:w="1474" w:type="dxa"/>
            <w:tcBorders>
              <w:top w:val="nil"/>
              <w:left w:val="nil"/>
              <w:bottom w:val="single" w:color="auto" w:sz="8" w:space="0"/>
              <w:right w:val="single" w:color="auto" w:sz="8" w:space="0"/>
            </w:tcBorders>
            <w:shd w:val="clear" w:color="auto" w:fill="auto"/>
            <w:vAlign w:val="center"/>
          </w:tcPr>
          <w:p w14:paraId="6812DD25">
            <w:pPr>
              <w:widowControl/>
              <w:jc w:val="left"/>
              <w:rPr>
                <w:rFonts w:hint="eastAsia" w:ascii="华文宋体" w:hAnsi="华文宋体" w:eastAsia="华文宋体" w:cs="宋体"/>
                <w:color w:val="auto"/>
                <w:kern w:val="0"/>
                <w:sz w:val="24"/>
                <w:szCs w:val="24"/>
              </w:rPr>
            </w:pPr>
            <w:r>
              <w:rPr>
                <w:rFonts w:hint="eastAsia" w:ascii="宋体" w:hAnsi="宋体" w:eastAsia="宋体" w:cs="Times New Roman"/>
                <w:bCs/>
                <w:color w:val="auto"/>
                <w:spacing w:val="20"/>
                <w:sz w:val="24"/>
                <w:szCs w:val="24"/>
              </w:rPr>
              <w:t>￥</w:t>
            </w:r>
          </w:p>
        </w:tc>
      </w:tr>
      <w:tr w14:paraId="4F819A32">
        <w:tblPrEx>
          <w:tblCellMar>
            <w:top w:w="0" w:type="dxa"/>
            <w:left w:w="108" w:type="dxa"/>
            <w:bottom w:w="0" w:type="dxa"/>
            <w:right w:w="108" w:type="dxa"/>
          </w:tblCellMar>
        </w:tblPrEx>
        <w:trPr>
          <w:trHeight w:val="330" w:hRule="atLeast"/>
          <w:jc w:val="center"/>
        </w:trPr>
        <w:tc>
          <w:tcPr>
            <w:tcW w:w="7374" w:type="dxa"/>
            <w:gridSpan w:val="4"/>
            <w:tcBorders>
              <w:top w:val="single" w:color="auto" w:sz="4" w:space="0"/>
              <w:left w:val="single" w:color="auto" w:sz="4" w:space="0"/>
              <w:bottom w:val="single" w:color="auto" w:sz="4" w:space="0"/>
              <w:right w:val="single" w:color="auto" w:sz="8" w:space="0"/>
            </w:tcBorders>
            <w:shd w:val="clear" w:color="auto" w:fill="auto"/>
            <w:noWrap/>
            <w:vAlign w:val="bottom"/>
          </w:tcPr>
          <w:p w14:paraId="3790DA38">
            <w:pPr>
              <w:widowControl/>
              <w:jc w:val="center"/>
              <w:rPr>
                <w:rFonts w:hint="eastAsia" w:ascii="华文宋体" w:hAnsi="华文宋体" w:eastAsia="华文宋体" w:cs="宋体"/>
                <w:color w:val="auto"/>
                <w:kern w:val="0"/>
                <w:sz w:val="24"/>
                <w:szCs w:val="24"/>
              </w:rPr>
            </w:pPr>
            <w:r>
              <w:rPr>
                <w:rFonts w:hint="eastAsia" w:ascii="宋体" w:hAnsi="宋体" w:eastAsia="宋体" w:cs="Times New Roman"/>
                <w:bCs/>
                <w:color w:val="auto"/>
                <w:spacing w:val="20"/>
                <w:sz w:val="24"/>
                <w:szCs w:val="24"/>
              </w:rPr>
              <w:t>金额总计：</w:t>
            </w:r>
            <w:r>
              <w:rPr>
                <w:rFonts w:ascii="宋体" w:hAnsi="宋体" w:eastAsia="宋体" w:cs="Times New Roman"/>
                <w:bCs/>
                <w:color w:val="auto"/>
                <w:spacing w:val="20"/>
                <w:sz w:val="24"/>
                <w:szCs w:val="24"/>
              </w:rPr>
              <w:t xml:space="preserve"> </w:t>
            </w:r>
            <w:r>
              <w:rPr>
                <w:rFonts w:hint="eastAsia" w:ascii="宋体" w:hAnsi="宋体" w:eastAsia="宋体" w:cs="Times New Roman"/>
                <w:bCs/>
                <w:color w:val="auto"/>
                <w:spacing w:val="20"/>
                <w:sz w:val="24"/>
                <w:szCs w:val="24"/>
              </w:rPr>
              <w:t xml:space="preserve"> </w:t>
            </w:r>
            <w:r>
              <w:rPr>
                <w:rFonts w:ascii="宋体" w:hAnsi="宋体" w:eastAsia="宋体" w:cs="Times New Roman"/>
                <w:bCs/>
                <w:color w:val="auto"/>
                <w:spacing w:val="20"/>
                <w:sz w:val="24"/>
                <w:szCs w:val="24"/>
              </w:rPr>
              <w:t>人民币</w:t>
            </w:r>
            <w:r>
              <w:rPr>
                <w:rFonts w:hint="eastAsia" w:ascii="宋体" w:hAnsi="宋体" w:eastAsia="宋体" w:cs="Times New Roman"/>
                <w:bCs/>
                <w:color w:val="auto"/>
                <w:spacing w:val="20"/>
                <w:sz w:val="24"/>
                <w:szCs w:val="24"/>
                <w:u w:val="single"/>
              </w:rPr>
              <w:t xml:space="preserve">         </w:t>
            </w:r>
            <w:r>
              <w:rPr>
                <w:rFonts w:hint="eastAsia" w:ascii="宋体" w:hAnsi="宋体" w:eastAsia="宋体" w:cs="Times New Roman"/>
                <w:bCs/>
                <w:color w:val="auto"/>
                <w:spacing w:val="20"/>
                <w:sz w:val="24"/>
                <w:szCs w:val="24"/>
              </w:rPr>
              <w:t>元整</w:t>
            </w:r>
          </w:p>
        </w:tc>
        <w:tc>
          <w:tcPr>
            <w:tcW w:w="1474" w:type="dxa"/>
            <w:tcBorders>
              <w:top w:val="nil"/>
              <w:left w:val="nil"/>
              <w:bottom w:val="single" w:color="auto" w:sz="8" w:space="0"/>
              <w:right w:val="single" w:color="auto" w:sz="8" w:space="0"/>
            </w:tcBorders>
            <w:shd w:val="clear" w:color="auto" w:fill="auto"/>
            <w:vAlign w:val="center"/>
          </w:tcPr>
          <w:p w14:paraId="4B106864">
            <w:pPr>
              <w:widowControl/>
              <w:jc w:val="left"/>
              <w:rPr>
                <w:rFonts w:hint="eastAsia" w:ascii="华文宋体" w:hAnsi="华文宋体" w:eastAsia="华文宋体" w:cs="宋体"/>
                <w:color w:val="auto"/>
                <w:kern w:val="0"/>
                <w:sz w:val="24"/>
                <w:szCs w:val="24"/>
              </w:rPr>
            </w:pPr>
            <w:r>
              <w:rPr>
                <w:rFonts w:hint="eastAsia" w:ascii="宋体" w:hAnsi="宋体" w:eastAsia="宋体" w:cs="Times New Roman"/>
                <w:bCs/>
                <w:color w:val="auto"/>
                <w:spacing w:val="20"/>
                <w:sz w:val="24"/>
                <w:szCs w:val="24"/>
              </w:rPr>
              <w:t>￥</w:t>
            </w:r>
          </w:p>
        </w:tc>
      </w:tr>
    </w:tbl>
    <w:p w14:paraId="3A055026">
      <w:pPr>
        <w:adjustRightInd w:val="0"/>
        <w:snapToGrid w:val="0"/>
        <w:spacing w:before="120" w:after="120"/>
        <w:ind w:firstLine="511" w:firstLineChars="213"/>
        <w:jc w:val="right"/>
        <w:rPr>
          <w:rFonts w:hint="eastAsia" w:ascii="微软雅黑" w:hAnsi="微软雅黑" w:eastAsia="微软雅黑" w:cs="Times New Roman"/>
          <w:color w:val="auto"/>
          <w:sz w:val="24"/>
          <w:szCs w:val="24"/>
          <w:lang w:val="zh-CN"/>
        </w:rPr>
      </w:pPr>
      <w:r>
        <w:rPr>
          <w:rFonts w:ascii="微软雅黑" w:hAnsi="微软雅黑" w:eastAsia="微软雅黑" w:cs="Times New Roman"/>
          <w:color w:val="auto"/>
          <w:sz w:val="24"/>
          <w:szCs w:val="24"/>
          <w:lang w:val="zh-CN"/>
        </w:rPr>
        <w:t xml:space="preserve">金额单位：元 </w:t>
      </w:r>
    </w:p>
    <w:p w14:paraId="78E08F6D">
      <w:pPr>
        <w:snapToGrid w:val="0"/>
        <w:spacing w:before="120" w:after="120"/>
        <w:ind w:left="-178" w:leftChars="-85" w:firstLine="511" w:firstLineChars="213"/>
        <w:rPr>
          <w:rFonts w:hint="eastAsia" w:ascii="微软雅黑" w:hAnsi="微软雅黑" w:eastAsia="微软雅黑" w:cs="Times New Roman"/>
          <w:color w:val="auto"/>
          <w:sz w:val="24"/>
          <w:szCs w:val="24"/>
          <w:lang w:val="zh-CN"/>
        </w:rPr>
      </w:pPr>
      <w:r>
        <w:rPr>
          <w:rFonts w:ascii="微软雅黑" w:hAnsi="微软雅黑" w:eastAsia="微软雅黑" w:cs="Times New Roman"/>
          <w:color w:val="auto"/>
          <w:sz w:val="24"/>
          <w:szCs w:val="24"/>
          <w:lang w:val="zh-CN"/>
        </w:rPr>
        <w:t>注：</w:t>
      </w:r>
      <w:r>
        <w:rPr>
          <w:rFonts w:hint="eastAsia" w:ascii="微软雅黑" w:hAnsi="微软雅黑" w:eastAsia="微软雅黑" w:cs="Times New Roman"/>
          <w:color w:val="auto"/>
          <w:sz w:val="24"/>
          <w:szCs w:val="24"/>
          <w:lang w:val="zh-CN"/>
        </w:rPr>
        <w:t>1</w:t>
      </w:r>
      <w:r>
        <w:rPr>
          <w:rFonts w:ascii="微软雅黑" w:hAnsi="微软雅黑" w:eastAsia="微软雅黑" w:cs="Times New Roman"/>
          <w:color w:val="auto"/>
          <w:sz w:val="24"/>
          <w:szCs w:val="24"/>
          <w:lang w:val="zh-CN"/>
        </w:rPr>
        <w:t>、</w:t>
      </w:r>
      <w:r>
        <w:rPr>
          <w:rFonts w:ascii="微软雅黑" w:hAnsi="微软雅黑" w:eastAsia="微软雅黑" w:cs="Times New Roman"/>
          <w:color w:val="auto"/>
          <w:sz w:val="24"/>
          <w:szCs w:val="20"/>
          <w:lang w:val="zh-CN"/>
        </w:rPr>
        <w:t>以上合同总价</w:t>
      </w:r>
      <w:r>
        <w:rPr>
          <w:rFonts w:hint="eastAsia" w:ascii="微软雅黑" w:hAnsi="微软雅黑" w:eastAsia="微软雅黑" w:cs="Times New Roman"/>
          <w:color w:val="auto"/>
          <w:sz w:val="24"/>
          <w:szCs w:val="20"/>
          <w:lang w:val="zh-CN"/>
        </w:rPr>
        <w:t>，</w:t>
      </w:r>
      <w:r>
        <w:rPr>
          <w:rFonts w:ascii="微软雅黑" w:hAnsi="微软雅黑" w:eastAsia="微软雅黑" w:cs="Times New Roman"/>
          <w:color w:val="auto"/>
          <w:sz w:val="24"/>
          <w:szCs w:val="20"/>
          <w:lang w:val="zh-CN"/>
        </w:rPr>
        <w:t>包含产品到达用户</w:t>
      </w:r>
      <w:r>
        <w:rPr>
          <w:rFonts w:hint="eastAsia" w:ascii="微软雅黑" w:hAnsi="微软雅黑" w:eastAsia="微软雅黑" w:cs="Times New Roman"/>
          <w:color w:val="auto"/>
          <w:sz w:val="24"/>
          <w:szCs w:val="20"/>
          <w:lang w:val="zh-CN"/>
        </w:rPr>
        <w:t>、达到用户要求的使用性能、</w:t>
      </w:r>
      <w:r>
        <w:rPr>
          <w:rFonts w:ascii="微软雅黑" w:hAnsi="微软雅黑" w:eastAsia="微软雅黑" w:cs="Times New Roman"/>
          <w:color w:val="auto"/>
          <w:sz w:val="24"/>
          <w:szCs w:val="20"/>
          <w:lang w:val="zh-CN"/>
        </w:rPr>
        <w:t>并能</w:t>
      </w:r>
      <w:r>
        <w:rPr>
          <w:rFonts w:hint="eastAsia" w:ascii="微软雅黑" w:hAnsi="微软雅黑" w:eastAsia="微软雅黑" w:cs="Times New Roman"/>
          <w:color w:val="auto"/>
          <w:sz w:val="24"/>
          <w:szCs w:val="20"/>
          <w:lang w:val="zh-CN"/>
        </w:rPr>
        <w:t>在用户要求的期限内</w:t>
      </w:r>
      <w:r>
        <w:rPr>
          <w:rFonts w:ascii="微软雅黑" w:hAnsi="微软雅黑" w:eastAsia="微软雅黑" w:cs="Times New Roman"/>
          <w:color w:val="auto"/>
          <w:sz w:val="24"/>
          <w:szCs w:val="20"/>
          <w:lang w:val="zh-CN"/>
        </w:rPr>
        <w:t>正常使用所需的一切费用。</w:t>
      </w:r>
    </w:p>
    <w:p w14:paraId="59EB4FB1">
      <w:pPr>
        <w:snapToGrid w:val="0"/>
        <w:spacing w:before="120" w:after="120"/>
        <w:ind w:left="-178" w:leftChars="-85" w:firstLine="511" w:firstLineChars="213"/>
        <w:rPr>
          <w:rFonts w:hint="eastAsia" w:ascii="微软雅黑" w:hAnsi="微软雅黑" w:eastAsia="微软雅黑" w:cs="Times New Roman"/>
          <w:color w:val="auto"/>
          <w:sz w:val="24"/>
          <w:szCs w:val="24"/>
          <w:u w:val="single"/>
          <w:lang w:val="zh-CN"/>
        </w:rPr>
      </w:pPr>
      <w:r>
        <w:rPr>
          <w:rFonts w:hint="eastAsia" w:ascii="微软雅黑" w:hAnsi="微软雅黑" w:eastAsia="微软雅黑" w:cs="Times New Roman"/>
          <w:color w:val="auto"/>
          <w:sz w:val="24"/>
          <w:szCs w:val="24"/>
          <w:lang w:val="zh-CN"/>
        </w:rPr>
        <w:tab/>
      </w:r>
      <w:r>
        <w:rPr>
          <w:rFonts w:hint="eastAsia" w:ascii="微软雅黑" w:hAnsi="微软雅黑" w:eastAsia="微软雅黑" w:cs="Times New Roman"/>
          <w:color w:val="auto"/>
          <w:sz w:val="24"/>
          <w:szCs w:val="24"/>
          <w:lang w:val="zh-CN"/>
        </w:rPr>
        <w:t xml:space="preserve">  2、招标文件、投标文件与本合同具有同等法律效力。</w:t>
      </w:r>
    </w:p>
    <w:p w14:paraId="335D2653">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二、技术资料</w:t>
      </w:r>
    </w:p>
    <w:p w14:paraId="1793FCA5">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1.乙方应按招标文件规定的时间</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向甲方提供</w:t>
      </w:r>
      <w:r>
        <w:rPr>
          <w:rFonts w:hint="eastAsia" w:ascii="微软雅黑" w:hAnsi="微软雅黑" w:eastAsia="微软雅黑" w:cs="Times New Roman"/>
          <w:snapToGrid w:val="0"/>
          <w:color w:val="auto"/>
          <w:kern w:val="0"/>
          <w:sz w:val="24"/>
          <w:szCs w:val="24"/>
          <w:lang w:val="zh-CN"/>
        </w:rPr>
        <w:t>全部合法有效</w:t>
      </w:r>
      <w:r>
        <w:rPr>
          <w:rFonts w:ascii="微软雅黑" w:hAnsi="微软雅黑" w:eastAsia="微软雅黑" w:cs="Times New Roman"/>
          <w:snapToGrid w:val="0"/>
          <w:color w:val="auto"/>
          <w:kern w:val="0"/>
          <w:sz w:val="24"/>
          <w:szCs w:val="24"/>
          <w:lang w:val="zh-CN"/>
        </w:rPr>
        <w:t>技术资料。</w:t>
      </w:r>
    </w:p>
    <w:p w14:paraId="23500C27">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50EEEF36">
      <w:pPr>
        <w:adjustRightInd w:val="0"/>
        <w:snapToGrid w:val="0"/>
        <w:spacing w:before="120" w:after="120" w:line="360" w:lineRule="auto"/>
        <w:ind w:firstLine="475" w:firstLineChars="198"/>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三、知识产权</w:t>
      </w:r>
    </w:p>
    <w:p w14:paraId="795BC98C">
      <w:pPr>
        <w:adjustRightInd w:val="0"/>
        <w:snapToGrid w:val="0"/>
        <w:spacing w:before="120" w:after="120" w:line="360" w:lineRule="auto"/>
        <w:ind w:firstLine="511" w:firstLineChars="213"/>
        <w:rPr>
          <w:rFonts w:hint="eastAsia" w:ascii="微软雅黑" w:hAnsi="微软雅黑" w:eastAsia="微软雅黑" w:cs="Times New Roman"/>
          <w:bCs/>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乙方应保证所提供的货物或其任何一部分</w:t>
      </w:r>
      <w:r>
        <w:rPr>
          <w:rFonts w:hint="eastAsia" w:ascii="微软雅黑" w:hAnsi="微软雅黑" w:eastAsia="微软雅黑" w:cs="Times New Roman"/>
          <w:snapToGrid w:val="0"/>
          <w:color w:val="auto"/>
          <w:kern w:val="0"/>
          <w:sz w:val="24"/>
          <w:szCs w:val="24"/>
          <w:lang w:val="zh-CN"/>
        </w:rPr>
        <w:t>包括软件等，</w:t>
      </w:r>
      <w:r>
        <w:rPr>
          <w:rFonts w:ascii="微软雅黑" w:hAnsi="微软雅黑" w:eastAsia="微软雅黑" w:cs="Times New Roman"/>
          <w:snapToGrid w:val="0"/>
          <w:color w:val="auto"/>
          <w:kern w:val="0"/>
          <w:sz w:val="24"/>
          <w:szCs w:val="24"/>
          <w:lang w:val="zh-CN"/>
        </w:rPr>
        <w:t>均不会侵犯任何第三方的知识产权</w:t>
      </w:r>
      <w:r>
        <w:rPr>
          <w:rFonts w:ascii="微软雅黑" w:hAnsi="微软雅黑" w:eastAsia="微软雅黑" w:cs="Times New Roman"/>
          <w:bCs/>
          <w:snapToGrid w:val="0"/>
          <w:color w:val="auto"/>
          <w:kern w:val="0"/>
          <w:sz w:val="24"/>
          <w:szCs w:val="24"/>
          <w:lang w:val="zh-CN"/>
        </w:rPr>
        <w:t>。</w:t>
      </w:r>
      <w:r>
        <w:rPr>
          <w:rFonts w:hint="eastAsia" w:ascii="微软雅黑" w:hAnsi="微软雅黑" w:eastAsia="微软雅黑" w:cs="Times New Roman"/>
          <w:bCs/>
          <w:snapToGrid w:val="0"/>
          <w:color w:val="auto"/>
          <w:kern w:val="0"/>
          <w:sz w:val="24"/>
          <w:szCs w:val="24"/>
          <w:lang w:val="zh-CN"/>
        </w:rPr>
        <w:t>任何第三方对本合同标的主张知识产权的，均由乙方承担全部责任。甲方先行承担责任的，有权向乙方追偿。</w:t>
      </w:r>
    </w:p>
    <w:p w14:paraId="51500562">
      <w:pPr>
        <w:adjustRightInd w:val="0"/>
        <w:snapToGrid w:val="0"/>
        <w:spacing w:before="120" w:after="120" w:line="360" w:lineRule="auto"/>
        <w:ind w:firstLine="475" w:firstLineChars="198"/>
        <w:rPr>
          <w:rFonts w:hint="eastAsia" w:ascii="微软雅黑" w:hAnsi="微软雅黑" w:eastAsia="微软雅黑" w:cs="Times New Roman"/>
          <w:snapToGrid w:val="0"/>
          <w:color w:val="auto"/>
          <w:kern w:val="0"/>
          <w:sz w:val="24"/>
          <w:szCs w:val="24"/>
          <w:u w:val="single"/>
          <w:lang w:val="zh-CN"/>
        </w:rPr>
      </w:pPr>
      <w:r>
        <w:rPr>
          <w:rFonts w:ascii="微软雅黑" w:hAnsi="微软雅黑" w:eastAsia="微软雅黑" w:cs="Times New Roman"/>
          <w:b/>
          <w:snapToGrid w:val="0"/>
          <w:color w:val="auto"/>
          <w:kern w:val="0"/>
          <w:sz w:val="24"/>
          <w:szCs w:val="24"/>
          <w:lang w:val="zh-CN"/>
        </w:rPr>
        <w:t>四、产权担保</w:t>
      </w:r>
    </w:p>
    <w:p w14:paraId="05EB4E75">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乙方保证所交付的</w:t>
      </w:r>
      <w:bookmarkStart w:id="14" w:name="_Hlk169698889"/>
      <w:r>
        <w:rPr>
          <w:rFonts w:ascii="微软雅黑" w:hAnsi="微软雅黑" w:eastAsia="微软雅黑" w:cs="Times New Roman"/>
          <w:snapToGrid w:val="0"/>
          <w:color w:val="auto"/>
          <w:kern w:val="0"/>
          <w:sz w:val="24"/>
          <w:szCs w:val="24"/>
          <w:lang w:val="zh-CN"/>
        </w:rPr>
        <w:t>货物</w:t>
      </w:r>
      <w:bookmarkEnd w:id="14"/>
      <w:r>
        <w:rPr>
          <w:rFonts w:ascii="微软雅黑" w:hAnsi="微软雅黑" w:eastAsia="微软雅黑" w:cs="Times New Roman"/>
          <w:snapToGrid w:val="0"/>
          <w:color w:val="auto"/>
          <w:kern w:val="0"/>
          <w:sz w:val="24"/>
          <w:szCs w:val="24"/>
          <w:lang w:val="zh-CN"/>
        </w:rPr>
        <w:t>所有权</w:t>
      </w:r>
      <w:r>
        <w:rPr>
          <w:rFonts w:hint="eastAsia" w:ascii="微软雅黑" w:hAnsi="微软雅黑" w:eastAsia="微软雅黑" w:cs="Times New Roman"/>
          <w:snapToGrid w:val="0"/>
          <w:color w:val="auto"/>
          <w:kern w:val="0"/>
          <w:sz w:val="24"/>
          <w:szCs w:val="24"/>
          <w:lang w:val="zh-CN"/>
        </w:rPr>
        <w:t>，在交付之时，</w:t>
      </w:r>
      <w:r>
        <w:rPr>
          <w:rFonts w:ascii="微软雅黑" w:hAnsi="微软雅黑" w:eastAsia="微软雅黑" w:cs="Times New Roman"/>
          <w:snapToGrid w:val="0"/>
          <w:color w:val="auto"/>
          <w:kern w:val="0"/>
          <w:sz w:val="24"/>
          <w:szCs w:val="24"/>
          <w:lang w:val="zh-CN"/>
        </w:rPr>
        <w:t>完全属于乙方且无任何抵押、查封等产权瑕疵。</w:t>
      </w:r>
    </w:p>
    <w:p w14:paraId="2F2D876B">
      <w:pPr>
        <w:adjustRightInd w:val="0"/>
        <w:snapToGrid w:val="0"/>
        <w:spacing w:before="120" w:after="120" w:line="360" w:lineRule="auto"/>
        <w:ind w:firstLine="475" w:firstLineChars="198"/>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五、转包或分包</w:t>
      </w:r>
    </w:p>
    <w:p w14:paraId="00B0CE18">
      <w:pPr>
        <w:adjustRightInd w:val="0"/>
        <w:snapToGrid w:val="0"/>
        <w:spacing w:before="156" w:beforeLines="50" w:after="156" w:afterLines="50" w:line="360" w:lineRule="auto"/>
        <w:ind w:firstLine="511" w:firstLineChars="213"/>
        <w:rPr>
          <w:rFonts w:hint="eastAsia" w:ascii="微软雅黑" w:hAnsi="微软雅黑" w:eastAsia="微软雅黑" w:cs="Times New Roman"/>
          <w:snapToGrid w:val="0"/>
          <w:color w:val="auto"/>
          <w:kern w:val="0"/>
          <w:sz w:val="24"/>
          <w:szCs w:val="24"/>
        </w:rPr>
      </w:pPr>
      <w:r>
        <w:rPr>
          <w:rFonts w:ascii="微软雅黑" w:hAnsi="微软雅黑" w:eastAsia="微软雅黑" w:cs="Times New Roman"/>
          <w:snapToGrid w:val="0"/>
          <w:color w:val="auto"/>
          <w:kern w:val="0"/>
          <w:sz w:val="24"/>
          <w:szCs w:val="24"/>
        </w:rPr>
        <w:t>本合同范围的货物，应由乙方直接供应，不得转让他人供应，否则，甲方有权解除合同并追究乙方的违约责任。</w:t>
      </w:r>
    </w:p>
    <w:p w14:paraId="19DF275E">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六、质保</w:t>
      </w:r>
      <w:r>
        <w:rPr>
          <w:rFonts w:hint="eastAsia" w:ascii="微软雅黑" w:hAnsi="微软雅黑" w:eastAsia="微软雅黑" w:cs="Times New Roman"/>
          <w:b/>
          <w:snapToGrid w:val="0"/>
          <w:color w:val="auto"/>
          <w:kern w:val="0"/>
          <w:sz w:val="24"/>
          <w:szCs w:val="24"/>
          <w:lang w:val="zh-CN"/>
        </w:rPr>
        <w:t>或维保周期</w:t>
      </w:r>
    </w:p>
    <w:p w14:paraId="20F600EA">
      <w:pPr>
        <w:adjustRightInd w:val="0"/>
        <w:snapToGrid w:val="0"/>
        <w:spacing w:before="120" w:after="120" w:line="360" w:lineRule="auto"/>
        <w:ind w:firstLine="480" w:firstLineChars="200"/>
        <w:jc w:val="left"/>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项目终验合格后</w:t>
      </w:r>
      <w:r>
        <w:rPr>
          <w:rFonts w:ascii="微软雅黑" w:hAnsi="微软雅黑" w:eastAsia="微软雅黑" w:cs="Times New Roman"/>
          <w:snapToGrid w:val="0"/>
          <w:color w:val="auto"/>
          <w:kern w:val="0"/>
          <w:sz w:val="24"/>
          <w:szCs w:val="24"/>
          <w:lang w:val="zh-CN"/>
        </w:rPr>
        <w:t>质保</w:t>
      </w:r>
      <w:r>
        <w:rPr>
          <w:rFonts w:hint="eastAsia" w:ascii="微软雅黑" w:hAnsi="微软雅黑" w:eastAsia="微软雅黑" w:cs="Times New Roman"/>
          <w:snapToGrid w:val="0"/>
          <w:color w:val="auto"/>
          <w:kern w:val="0"/>
          <w:sz w:val="24"/>
          <w:szCs w:val="24"/>
          <w:u w:val="single"/>
          <w:lang w:val="zh-CN"/>
        </w:rPr>
        <w:t xml:space="preserve"> </w:t>
      </w:r>
      <w:r>
        <w:rPr>
          <w:rFonts w:hint="eastAsia" w:ascii="微软雅黑" w:hAnsi="微软雅黑" w:eastAsia="微软雅黑" w:cs="Times New Roman"/>
          <w:b/>
          <w:snapToGrid w:val="0"/>
          <w:color w:val="auto"/>
          <w:kern w:val="0"/>
          <w:sz w:val="24"/>
          <w:szCs w:val="24"/>
          <w:u w:val="single"/>
          <w:lang w:val="en-US" w:eastAsia="zh-CN"/>
        </w:rPr>
        <w:t xml:space="preserve"> </w:t>
      </w:r>
      <w:r>
        <w:rPr>
          <w:rFonts w:hint="eastAsia" w:ascii="微软雅黑" w:hAnsi="微软雅黑" w:eastAsia="微软雅黑" w:cs="Times New Roman"/>
          <w:b/>
          <w:snapToGrid w:val="0"/>
          <w:color w:val="auto"/>
          <w:kern w:val="0"/>
          <w:sz w:val="24"/>
          <w:szCs w:val="24"/>
          <w:u w:val="single"/>
          <w:lang w:val="zh-CN"/>
        </w:rPr>
        <w:t xml:space="preserve"> </w:t>
      </w:r>
      <w:r>
        <w:rPr>
          <w:rFonts w:ascii="微软雅黑" w:hAnsi="微软雅黑" w:eastAsia="微软雅黑" w:cs="Times New Roman"/>
          <w:snapToGrid w:val="0"/>
          <w:color w:val="auto"/>
          <w:kern w:val="0"/>
          <w:sz w:val="24"/>
          <w:szCs w:val="24"/>
          <w:lang w:val="zh-CN"/>
        </w:rPr>
        <w:t>年。</w:t>
      </w:r>
    </w:p>
    <w:p w14:paraId="188DE617">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七、交货期、交货方式及地点</w:t>
      </w:r>
    </w:p>
    <w:p w14:paraId="16C0D0B8">
      <w:pPr>
        <w:adjustRightInd w:val="0"/>
        <w:snapToGrid w:val="0"/>
        <w:spacing w:before="120" w:after="120" w:line="360" w:lineRule="auto"/>
        <w:ind w:firstLine="511" w:firstLineChars="213"/>
        <w:rPr>
          <w:rFonts w:hint="eastAsia" w:ascii="微软雅黑" w:hAnsi="微软雅黑" w:eastAsia="微软雅黑" w:cs="Times New Roman"/>
          <w:bCs/>
          <w:snapToGrid w:val="0"/>
          <w:color w:val="auto"/>
          <w:kern w:val="0"/>
          <w:sz w:val="24"/>
          <w:szCs w:val="24"/>
          <w:lang w:val="zh-CN"/>
        </w:rPr>
      </w:pPr>
      <w:r>
        <w:rPr>
          <w:rFonts w:ascii="微软雅黑" w:hAnsi="微软雅黑" w:eastAsia="微软雅黑" w:cs="Times New Roman"/>
          <w:bCs/>
          <w:snapToGrid w:val="0"/>
          <w:color w:val="auto"/>
          <w:kern w:val="0"/>
          <w:sz w:val="24"/>
          <w:szCs w:val="24"/>
          <w:lang w:val="zh-CN"/>
        </w:rPr>
        <w:t>1. 交货期：</w:t>
      </w:r>
    </w:p>
    <w:p w14:paraId="7E13E231">
      <w:pPr>
        <w:adjustRightInd w:val="0"/>
        <w:snapToGrid w:val="0"/>
        <w:spacing w:before="120" w:after="120" w:line="360" w:lineRule="auto"/>
        <w:ind w:firstLine="511" w:firstLineChars="213"/>
        <w:rPr>
          <w:rFonts w:hint="eastAsia" w:ascii="微软雅黑" w:hAnsi="微软雅黑" w:eastAsia="微软雅黑" w:cs="Times New Roman"/>
          <w:bCs/>
          <w:snapToGrid w:val="0"/>
          <w:color w:val="auto"/>
          <w:kern w:val="0"/>
          <w:sz w:val="24"/>
          <w:szCs w:val="24"/>
          <w:lang w:val="zh-CN"/>
        </w:rPr>
      </w:pPr>
      <w:r>
        <w:rPr>
          <w:rFonts w:hint="eastAsia" w:ascii="微软雅黑" w:hAnsi="微软雅黑" w:eastAsia="微软雅黑" w:cs="Times New Roman"/>
          <w:bCs/>
          <w:snapToGrid w:val="0"/>
          <w:color w:val="auto"/>
          <w:kern w:val="0"/>
          <w:sz w:val="24"/>
          <w:szCs w:val="24"/>
          <w:lang w:val="zh-CN"/>
        </w:rPr>
        <w:t>本合同签订之日起</w:t>
      </w:r>
      <w:r>
        <w:rPr>
          <w:rFonts w:hint="eastAsia" w:ascii="微软雅黑" w:hAnsi="微软雅黑" w:eastAsia="微软雅黑" w:cs="Times New Roman"/>
          <w:bCs/>
          <w:snapToGrid w:val="0"/>
          <w:color w:val="auto"/>
          <w:kern w:val="0"/>
          <w:sz w:val="24"/>
          <w:szCs w:val="24"/>
          <w:u w:val="single"/>
        </w:rPr>
        <w:t>XX（工作日/月）</w:t>
      </w:r>
      <w:r>
        <w:rPr>
          <w:rFonts w:hint="eastAsia" w:ascii="微软雅黑" w:hAnsi="微软雅黑" w:eastAsia="微软雅黑" w:cs="Times New Roman"/>
          <w:bCs/>
          <w:snapToGrid w:val="0"/>
          <w:color w:val="auto"/>
          <w:kern w:val="0"/>
          <w:sz w:val="24"/>
          <w:szCs w:val="24"/>
          <w:lang w:val="zh-CN"/>
        </w:rPr>
        <w:t>内，乙方将产品</w:t>
      </w:r>
      <w:r>
        <w:rPr>
          <w:rFonts w:ascii="微软雅黑" w:hAnsi="微软雅黑" w:eastAsia="微软雅黑" w:cs="Times New Roman"/>
          <w:bCs/>
          <w:snapToGrid w:val="0"/>
          <w:color w:val="auto"/>
          <w:kern w:val="0"/>
          <w:sz w:val="24"/>
          <w:szCs w:val="24"/>
          <w:lang w:val="zh-CN"/>
        </w:rPr>
        <w:t>/</w:t>
      </w:r>
      <w:r>
        <w:rPr>
          <w:rFonts w:hint="eastAsia" w:ascii="微软雅黑" w:hAnsi="微软雅黑" w:eastAsia="微软雅黑" w:cs="Times New Roman"/>
          <w:bCs/>
          <w:snapToGrid w:val="0"/>
          <w:color w:val="auto"/>
          <w:kern w:val="0"/>
          <w:sz w:val="24"/>
          <w:szCs w:val="24"/>
          <w:lang w:val="zh-CN"/>
        </w:rPr>
        <w:t>服务交付到甲方指定地点。</w:t>
      </w:r>
    </w:p>
    <w:p w14:paraId="5BD974F6">
      <w:pPr>
        <w:adjustRightInd w:val="0"/>
        <w:snapToGrid w:val="0"/>
        <w:spacing w:before="120" w:after="120" w:line="360" w:lineRule="auto"/>
        <w:ind w:firstLine="511" w:firstLineChars="213"/>
        <w:rPr>
          <w:rFonts w:hint="eastAsia" w:ascii="微软雅黑" w:hAnsi="微软雅黑" w:eastAsia="微软雅黑" w:cs="Times New Roman"/>
          <w:bCs/>
          <w:snapToGrid w:val="0"/>
          <w:color w:val="auto"/>
          <w:kern w:val="0"/>
          <w:sz w:val="24"/>
          <w:szCs w:val="24"/>
          <w:lang w:val="zh-CN"/>
        </w:rPr>
      </w:pPr>
      <w:r>
        <w:rPr>
          <w:rFonts w:ascii="微软雅黑" w:hAnsi="微软雅黑" w:eastAsia="微软雅黑" w:cs="Times New Roman"/>
          <w:bCs/>
          <w:snapToGrid w:val="0"/>
          <w:color w:val="auto"/>
          <w:kern w:val="0"/>
          <w:sz w:val="24"/>
          <w:szCs w:val="24"/>
          <w:lang w:val="zh-CN"/>
        </w:rPr>
        <w:t>2. 交货方式</w:t>
      </w:r>
      <w:r>
        <w:rPr>
          <w:rFonts w:hint="eastAsia" w:ascii="微软雅黑" w:hAnsi="微软雅黑" w:eastAsia="微软雅黑" w:cs="Times New Roman"/>
          <w:bCs/>
          <w:snapToGrid w:val="0"/>
          <w:color w:val="auto"/>
          <w:kern w:val="0"/>
          <w:sz w:val="24"/>
          <w:szCs w:val="24"/>
          <w:lang w:val="zh-CN"/>
        </w:rPr>
        <w:t>及</w:t>
      </w:r>
      <w:r>
        <w:rPr>
          <w:rFonts w:ascii="微软雅黑" w:hAnsi="微软雅黑" w:eastAsia="微软雅黑" w:cs="Times New Roman"/>
          <w:bCs/>
          <w:snapToGrid w:val="0"/>
          <w:color w:val="auto"/>
          <w:kern w:val="0"/>
          <w:sz w:val="24"/>
          <w:szCs w:val="24"/>
          <w:lang w:val="zh-CN"/>
        </w:rPr>
        <w:t>地点：</w:t>
      </w:r>
    </w:p>
    <w:p w14:paraId="4068ED0A">
      <w:pPr>
        <w:adjustRightInd w:val="0"/>
        <w:snapToGrid w:val="0"/>
        <w:spacing w:before="120" w:after="120" w:line="360" w:lineRule="auto"/>
        <w:ind w:firstLine="511" w:firstLineChars="213"/>
        <w:rPr>
          <w:rFonts w:hint="eastAsia" w:ascii="微软雅黑" w:hAnsi="微软雅黑" w:eastAsia="微软雅黑" w:cs="Times New Roman"/>
          <w:bCs/>
          <w:snapToGrid w:val="0"/>
          <w:color w:val="auto"/>
          <w:kern w:val="0"/>
          <w:sz w:val="24"/>
          <w:szCs w:val="24"/>
          <w:lang w:val="zh-CN"/>
        </w:rPr>
      </w:pPr>
      <w:r>
        <w:rPr>
          <w:rFonts w:hint="eastAsia" w:ascii="微软雅黑" w:hAnsi="微软雅黑" w:eastAsia="微软雅黑" w:cs="Times New Roman"/>
          <w:bCs/>
          <w:snapToGrid w:val="0"/>
          <w:color w:val="auto"/>
          <w:kern w:val="0"/>
          <w:sz w:val="24"/>
          <w:szCs w:val="24"/>
          <w:lang w:val="zh-CN"/>
        </w:rPr>
        <w:t>乙方将产品交付到甲方指定地点，并在货物到货后</w:t>
      </w:r>
      <w:r>
        <w:rPr>
          <w:rFonts w:hint="eastAsia" w:ascii="微软雅黑" w:hAnsi="微软雅黑" w:eastAsia="微软雅黑" w:cs="Times New Roman"/>
          <w:bCs/>
          <w:snapToGrid w:val="0"/>
          <w:color w:val="auto"/>
          <w:kern w:val="0"/>
          <w:sz w:val="24"/>
          <w:szCs w:val="24"/>
          <w:u w:val="single"/>
        </w:rPr>
        <w:t>XX（工作日/月）</w:t>
      </w:r>
      <w:r>
        <w:rPr>
          <w:rFonts w:hint="eastAsia" w:ascii="微软雅黑" w:hAnsi="微软雅黑" w:eastAsia="微软雅黑" w:cs="Times New Roman"/>
          <w:bCs/>
          <w:snapToGrid w:val="0"/>
          <w:color w:val="auto"/>
          <w:kern w:val="0"/>
          <w:sz w:val="24"/>
          <w:szCs w:val="24"/>
          <w:lang w:val="zh-CN"/>
        </w:rPr>
        <w:t>内完成安装调试，确保可用。</w:t>
      </w:r>
    </w:p>
    <w:p w14:paraId="145A7326">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hint="eastAsia" w:ascii="微软雅黑" w:hAnsi="微软雅黑" w:eastAsia="微软雅黑" w:cs="Times New Roman"/>
          <w:b/>
          <w:snapToGrid w:val="0"/>
          <w:color w:val="auto"/>
          <w:kern w:val="0"/>
          <w:sz w:val="24"/>
          <w:szCs w:val="24"/>
          <w:lang w:val="zh-CN"/>
        </w:rPr>
        <w:t>八、</w:t>
      </w:r>
      <w:r>
        <w:rPr>
          <w:rFonts w:hint="eastAsia" w:ascii="微软雅黑" w:hAnsi="微软雅黑" w:eastAsia="微软雅黑" w:cs="Times New Roman"/>
          <w:b/>
          <w:snapToGrid w:val="0"/>
          <w:color w:val="auto"/>
          <w:kern w:val="0"/>
          <w:sz w:val="24"/>
          <w:szCs w:val="24"/>
          <w:lang w:val="en-US" w:eastAsia="zh-CN"/>
        </w:rPr>
        <w:t>项目</w:t>
      </w:r>
      <w:r>
        <w:rPr>
          <w:rFonts w:ascii="微软雅黑" w:hAnsi="微软雅黑" w:eastAsia="微软雅黑" w:cs="Times New Roman"/>
          <w:b/>
          <w:snapToGrid w:val="0"/>
          <w:color w:val="auto"/>
          <w:kern w:val="0"/>
          <w:sz w:val="24"/>
          <w:szCs w:val="24"/>
          <w:lang w:val="zh-CN"/>
        </w:rPr>
        <w:t>款支付</w:t>
      </w:r>
    </w:p>
    <w:p w14:paraId="6D003C76">
      <w:pPr>
        <w:adjustRightInd w:val="0"/>
        <w:snapToGrid w:val="0"/>
        <w:spacing w:before="120" w:after="120" w:line="360" w:lineRule="auto"/>
        <w:ind w:firstLine="511" w:firstLineChars="213"/>
        <w:rPr>
          <w:rFonts w:hint="eastAsia" w:ascii="微软雅黑" w:hAnsi="微软雅黑" w:eastAsia="微软雅黑" w:cs="Times New Roman"/>
          <w:color w:val="auto"/>
          <w:sz w:val="24"/>
          <w:szCs w:val="21"/>
          <w:lang w:val="zh-CN"/>
        </w:rPr>
      </w:pPr>
      <w:r>
        <w:rPr>
          <w:rFonts w:ascii="微软雅黑" w:hAnsi="微软雅黑" w:eastAsia="微软雅黑" w:cs="Times New Roman"/>
          <w:bCs/>
          <w:snapToGrid w:val="0"/>
          <w:color w:val="auto"/>
          <w:kern w:val="0"/>
          <w:sz w:val="24"/>
          <w:szCs w:val="24"/>
          <w:lang w:val="zh-CN"/>
        </w:rPr>
        <w:t xml:space="preserve"> 付款方式：</w:t>
      </w:r>
      <w:r>
        <w:rPr>
          <w:rFonts w:hint="eastAsia" w:ascii="微软雅黑" w:hAnsi="微软雅黑" w:eastAsia="微软雅黑" w:cs="Times New Roman"/>
          <w:color w:val="auto"/>
          <w:sz w:val="24"/>
          <w:szCs w:val="21"/>
          <w:lang w:val="zh-CN"/>
        </w:rPr>
        <w:t>甲方采用银行转帐或电汇方式将款项汇入乙方指定账户，付款时间如下：</w:t>
      </w:r>
    </w:p>
    <w:p w14:paraId="250B538C">
      <w:pPr>
        <w:spacing w:line="360" w:lineRule="auto"/>
        <w:ind w:firstLine="480" w:firstLineChars="200"/>
        <w:rPr>
          <w:rFonts w:ascii="宋体" w:hAnsi="宋体"/>
          <w:bCs/>
          <w:snapToGrid w:val="0"/>
          <w:color w:val="auto"/>
          <w:kern w:val="0"/>
          <w:sz w:val="24"/>
          <w:highlight w:val="none"/>
        </w:rPr>
      </w:pPr>
      <w:r>
        <w:rPr>
          <w:rFonts w:hint="eastAsia" w:ascii="宋体" w:hAnsi="宋体"/>
          <w:bCs/>
          <w:snapToGrid w:val="0"/>
          <w:color w:val="auto"/>
          <w:kern w:val="0"/>
          <w:sz w:val="24"/>
          <w:highlight w:val="none"/>
          <w:lang w:val="zh-CN"/>
        </w:rPr>
        <w:t>（</w:t>
      </w:r>
      <w:r>
        <w:rPr>
          <w:rFonts w:hint="eastAsia" w:ascii="宋体" w:hAnsi="宋体"/>
          <w:bCs/>
          <w:snapToGrid w:val="0"/>
          <w:color w:val="auto"/>
          <w:kern w:val="0"/>
          <w:sz w:val="24"/>
          <w:highlight w:val="none"/>
          <w:lang w:val="en-US" w:eastAsia="zh-CN"/>
        </w:rPr>
        <w:t>按招标文件付款方式</w:t>
      </w:r>
      <w:r>
        <w:rPr>
          <w:rFonts w:hint="eastAsia" w:ascii="宋体" w:hAnsi="宋体"/>
          <w:bCs/>
          <w:snapToGrid w:val="0"/>
          <w:color w:val="auto"/>
          <w:kern w:val="0"/>
          <w:sz w:val="24"/>
          <w:highlight w:val="none"/>
          <w:lang w:val="zh-CN"/>
        </w:rPr>
        <w:t>）</w:t>
      </w:r>
    </w:p>
    <w:p w14:paraId="108BF8F7">
      <w:pPr>
        <w:spacing w:line="360" w:lineRule="auto"/>
        <w:ind w:left="885"/>
        <w:rPr>
          <w:rFonts w:hint="eastAsia" w:ascii="微软雅黑" w:hAnsi="微软雅黑" w:eastAsia="微软雅黑" w:cs="Times New Roman"/>
          <w:color w:val="auto"/>
          <w:sz w:val="24"/>
          <w:szCs w:val="21"/>
          <w:lang w:val="zh-CN"/>
        </w:rPr>
      </w:pPr>
      <w:r>
        <w:rPr>
          <w:rFonts w:hint="eastAsia" w:ascii="微软雅黑" w:hAnsi="微软雅黑" w:eastAsia="微软雅黑" w:cs="Times New Roman"/>
          <w:color w:val="auto"/>
          <w:sz w:val="24"/>
          <w:szCs w:val="21"/>
          <w:lang w:val="zh-CN"/>
        </w:rPr>
        <w:t>乙方指定账户：</w:t>
      </w:r>
    </w:p>
    <w:p w14:paraId="64DAE7DB">
      <w:pPr>
        <w:spacing w:line="360" w:lineRule="auto"/>
        <w:ind w:left="885"/>
        <w:rPr>
          <w:rFonts w:hint="eastAsia" w:ascii="微软雅黑" w:hAnsi="微软雅黑" w:eastAsia="微软雅黑" w:cs="Times New Roman"/>
          <w:color w:val="auto"/>
          <w:sz w:val="24"/>
          <w:szCs w:val="21"/>
          <w:lang w:val="zh-CN"/>
        </w:rPr>
      </w:pPr>
      <w:r>
        <w:rPr>
          <w:rFonts w:hint="eastAsia" w:ascii="微软雅黑" w:hAnsi="微软雅黑" w:eastAsia="微软雅黑" w:cs="Times New Roman"/>
          <w:color w:val="auto"/>
          <w:sz w:val="24"/>
          <w:szCs w:val="21"/>
          <w:lang w:val="zh-CN"/>
        </w:rPr>
        <w:t>账户名称：</w:t>
      </w:r>
      <w:r>
        <w:rPr>
          <w:rFonts w:ascii="微软雅黑" w:hAnsi="微软雅黑" w:eastAsia="微软雅黑" w:cs="Times New Roman"/>
          <w:color w:val="auto"/>
          <w:sz w:val="24"/>
          <w:szCs w:val="21"/>
          <w:lang w:val="zh-CN"/>
        </w:rPr>
        <w:t xml:space="preserve">  </w:t>
      </w:r>
      <w:r>
        <w:rPr>
          <w:rFonts w:hint="eastAsia" w:ascii="微软雅黑" w:hAnsi="微软雅黑" w:eastAsia="微软雅黑" w:cs="Times New Roman"/>
          <w:color w:val="auto"/>
          <w:sz w:val="24"/>
          <w:szCs w:val="21"/>
          <w:u w:val="single"/>
          <w:lang w:val="zh-CN"/>
        </w:rPr>
        <w:t xml:space="preserve">                          </w:t>
      </w:r>
      <w:r>
        <w:rPr>
          <w:rFonts w:ascii="微软雅黑" w:hAnsi="微软雅黑" w:eastAsia="微软雅黑" w:cs="Times New Roman"/>
          <w:color w:val="auto"/>
          <w:sz w:val="24"/>
          <w:szCs w:val="21"/>
          <w:lang w:val="zh-CN"/>
        </w:rPr>
        <w:t xml:space="preserve">  </w:t>
      </w:r>
    </w:p>
    <w:p w14:paraId="3CFDAB61">
      <w:pPr>
        <w:spacing w:line="360" w:lineRule="auto"/>
        <w:ind w:left="885"/>
        <w:rPr>
          <w:rFonts w:hint="eastAsia" w:ascii="微软雅黑" w:hAnsi="微软雅黑" w:eastAsia="微软雅黑" w:cs="Times New Roman"/>
          <w:color w:val="auto"/>
          <w:sz w:val="24"/>
          <w:szCs w:val="21"/>
          <w:lang w:val="zh-CN"/>
        </w:rPr>
      </w:pPr>
      <w:r>
        <w:rPr>
          <w:rFonts w:hint="eastAsia" w:ascii="微软雅黑" w:hAnsi="微软雅黑" w:eastAsia="微软雅黑" w:cs="Times New Roman"/>
          <w:color w:val="auto"/>
          <w:sz w:val="24"/>
          <w:szCs w:val="21"/>
          <w:lang w:val="zh-CN"/>
        </w:rPr>
        <w:t>账户开户银行：</w:t>
      </w:r>
      <w:r>
        <w:rPr>
          <w:rFonts w:hint="eastAsia" w:ascii="微软雅黑" w:hAnsi="微软雅黑" w:eastAsia="微软雅黑" w:cs="Times New Roman"/>
          <w:color w:val="auto"/>
          <w:sz w:val="24"/>
          <w:szCs w:val="21"/>
          <w:u w:val="single"/>
          <w:lang w:val="zh-CN"/>
        </w:rPr>
        <w:t xml:space="preserve">                           </w:t>
      </w:r>
    </w:p>
    <w:p w14:paraId="6AA47483">
      <w:pPr>
        <w:spacing w:line="360" w:lineRule="auto"/>
        <w:ind w:left="885"/>
        <w:rPr>
          <w:rFonts w:hint="eastAsia" w:ascii="微软雅黑" w:hAnsi="微软雅黑" w:eastAsia="微软雅黑" w:cs="Times New Roman"/>
          <w:color w:val="auto"/>
          <w:sz w:val="24"/>
          <w:szCs w:val="21"/>
          <w:u w:val="single"/>
          <w:lang w:val="zh-CN"/>
        </w:rPr>
      </w:pPr>
      <w:r>
        <w:rPr>
          <w:rFonts w:hint="eastAsia" w:ascii="微软雅黑" w:hAnsi="微软雅黑" w:eastAsia="微软雅黑" w:cs="Times New Roman"/>
          <w:color w:val="auto"/>
          <w:sz w:val="24"/>
          <w:szCs w:val="21"/>
          <w:lang w:val="zh-CN"/>
        </w:rPr>
        <w:t>账户银行账号：</w:t>
      </w:r>
      <w:r>
        <w:rPr>
          <w:rFonts w:hint="eastAsia" w:ascii="微软雅黑" w:hAnsi="微软雅黑" w:eastAsia="微软雅黑" w:cs="Times New Roman"/>
          <w:color w:val="auto"/>
          <w:sz w:val="24"/>
          <w:szCs w:val="21"/>
          <w:u w:val="single"/>
          <w:lang w:val="zh-CN"/>
        </w:rPr>
        <w:t xml:space="preserve">                           </w:t>
      </w:r>
    </w:p>
    <w:p w14:paraId="4216C258">
      <w:pPr>
        <w:adjustRightInd w:val="0"/>
        <w:snapToGrid w:val="0"/>
        <w:spacing w:before="156" w:beforeLines="50" w:after="156" w:afterLines="50" w:line="360" w:lineRule="auto"/>
        <w:ind w:firstLine="511" w:firstLineChars="213"/>
        <w:rPr>
          <w:rFonts w:hint="eastAsia" w:ascii="微软雅黑" w:hAnsi="微软雅黑" w:eastAsia="微软雅黑" w:cs="Times New Roman"/>
          <w:b/>
          <w:snapToGrid w:val="0"/>
          <w:color w:val="auto"/>
          <w:kern w:val="0"/>
          <w:sz w:val="24"/>
          <w:szCs w:val="24"/>
        </w:rPr>
      </w:pPr>
      <w:r>
        <w:rPr>
          <w:rFonts w:hint="eastAsia" w:ascii="微软雅黑" w:hAnsi="微软雅黑" w:eastAsia="微软雅黑" w:cs="Times New Roman"/>
          <w:b/>
          <w:snapToGrid w:val="0"/>
          <w:color w:val="auto"/>
          <w:kern w:val="0"/>
          <w:sz w:val="24"/>
          <w:szCs w:val="24"/>
        </w:rPr>
        <w:t>九</w:t>
      </w:r>
      <w:r>
        <w:rPr>
          <w:rFonts w:ascii="微软雅黑" w:hAnsi="微软雅黑" w:eastAsia="微软雅黑" w:cs="Times New Roman"/>
          <w:b/>
          <w:snapToGrid w:val="0"/>
          <w:color w:val="auto"/>
          <w:kern w:val="0"/>
          <w:sz w:val="24"/>
          <w:szCs w:val="24"/>
        </w:rPr>
        <w:t>、税费</w:t>
      </w:r>
    </w:p>
    <w:p w14:paraId="7E2A945D">
      <w:pPr>
        <w:adjustRightInd w:val="0"/>
        <w:snapToGrid w:val="0"/>
        <w:spacing w:before="156" w:beforeLines="50" w:after="156" w:afterLines="50" w:line="360" w:lineRule="auto"/>
        <w:ind w:firstLine="511" w:firstLineChars="213"/>
        <w:rPr>
          <w:rFonts w:hint="eastAsia" w:ascii="微软雅黑" w:hAnsi="微软雅黑" w:eastAsia="微软雅黑" w:cs="Times New Roman"/>
          <w:snapToGrid w:val="0"/>
          <w:color w:val="auto"/>
          <w:kern w:val="0"/>
          <w:sz w:val="24"/>
          <w:szCs w:val="24"/>
        </w:rPr>
      </w:pPr>
      <w:r>
        <w:rPr>
          <w:rFonts w:ascii="微软雅黑" w:hAnsi="微软雅黑" w:eastAsia="微软雅黑" w:cs="Times New Roman"/>
          <w:snapToGrid w:val="0"/>
          <w:color w:val="auto"/>
          <w:kern w:val="0"/>
          <w:sz w:val="24"/>
          <w:szCs w:val="24"/>
        </w:rPr>
        <w:t>本合同执行中相关的一切税费均由乙方负担。</w:t>
      </w:r>
    </w:p>
    <w:p w14:paraId="428AB14A">
      <w:pPr>
        <w:adjustRightInd w:val="0"/>
        <w:snapToGrid w:val="0"/>
        <w:spacing w:before="156" w:beforeLines="50" w:after="156" w:afterLines="50" w:line="360" w:lineRule="auto"/>
        <w:ind w:firstLine="511" w:firstLineChars="213"/>
        <w:rPr>
          <w:rFonts w:hint="eastAsia" w:ascii="微软雅黑" w:hAnsi="微软雅黑" w:eastAsia="微软雅黑" w:cs="Times New Roman"/>
          <w:b/>
          <w:snapToGrid w:val="0"/>
          <w:color w:val="auto"/>
          <w:kern w:val="0"/>
          <w:sz w:val="24"/>
          <w:szCs w:val="24"/>
        </w:rPr>
      </w:pPr>
      <w:r>
        <w:rPr>
          <w:rFonts w:hint="eastAsia" w:ascii="微软雅黑" w:hAnsi="微软雅黑" w:eastAsia="微软雅黑" w:cs="Times New Roman"/>
          <w:b/>
          <w:snapToGrid w:val="0"/>
          <w:color w:val="auto"/>
          <w:kern w:val="0"/>
          <w:sz w:val="24"/>
          <w:szCs w:val="24"/>
        </w:rPr>
        <w:t>十、各方职责</w:t>
      </w:r>
    </w:p>
    <w:p w14:paraId="5DC04750">
      <w:pPr>
        <w:autoSpaceDE w:val="0"/>
        <w:autoSpaceDN w:val="0"/>
        <w:adjustRightInd w:val="0"/>
        <w:spacing w:line="360" w:lineRule="auto"/>
        <w:ind w:firstLine="360" w:firstLineChars="150"/>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1、甲方职责：</w:t>
      </w:r>
    </w:p>
    <w:p w14:paraId="347CA354">
      <w:pPr>
        <w:numPr>
          <w:ilvl w:val="0"/>
          <w:numId w:val="12"/>
        </w:numPr>
        <w:autoSpaceDE w:val="0"/>
        <w:autoSpaceDN w:val="0"/>
        <w:adjustRightInd w:val="0"/>
        <w:spacing w:line="360" w:lineRule="auto"/>
        <w:ind w:firstLine="6"/>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甲方应向乙方提供采购内容所需要的技术资料和数据，参与整个项目的全过程，协助配合乙方做好需求调研、方案设计及现场等工作，对各项业务的需求报告及时确认。</w:t>
      </w:r>
    </w:p>
    <w:p w14:paraId="2C928A22">
      <w:pPr>
        <w:numPr>
          <w:ilvl w:val="0"/>
          <w:numId w:val="12"/>
        </w:numPr>
        <w:spacing w:line="360" w:lineRule="auto"/>
        <w:ind w:firstLine="6"/>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确保有专人负责软件的使用和管理，确保设施运行环境（包括计算机、打印机及相关硬件设备）的安全，为软件正常运行提供保障。</w:t>
      </w:r>
    </w:p>
    <w:p w14:paraId="0CCA122C">
      <w:pPr>
        <w:numPr>
          <w:ilvl w:val="0"/>
          <w:numId w:val="12"/>
        </w:numPr>
        <w:spacing w:line="360" w:lineRule="auto"/>
        <w:ind w:firstLine="6"/>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在乙方进行维护与技术支持时，根据乙方要求，指定配合工作的员工，提供必要的设备,配合检查软件系统运行是否正常。</w:t>
      </w:r>
    </w:p>
    <w:p w14:paraId="3F27D0F7">
      <w:pPr>
        <w:autoSpaceDE w:val="0"/>
        <w:autoSpaceDN w:val="0"/>
        <w:adjustRightInd w:val="0"/>
        <w:spacing w:line="360" w:lineRule="auto"/>
        <w:ind w:firstLine="480" w:firstLineChars="200"/>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2、乙方职责：</w:t>
      </w:r>
    </w:p>
    <w:p w14:paraId="7588694C">
      <w:pPr>
        <w:numPr>
          <w:ilvl w:val="0"/>
          <w:numId w:val="13"/>
        </w:numPr>
        <w:autoSpaceDE w:val="0"/>
        <w:autoSpaceDN w:val="0"/>
        <w:adjustRightInd w:val="0"/>
        <w:spacing w:line="360" w:lineRule="auto"/>
        <w:ind w:firstLine="6"/>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乙方承诺按照本合同约定的服务内容和服务进度向甲方提供合格的服务，并做好项目管理，指定项目负责人。</w:t>
      </w:r>
    </w:p>
    <w:p w14:paraId="0D3C7316">
      <w:pPr>
        <w:numPr>
          <w:ilvl w:val="0"/>
          <w:numId w:val="13"/>
        </w:numPr>
        <w:autoSpaceDE w:val="0"/>
        <w:autoSpaceDN w:val="0"/>
        <w:adjustRightInd w:val="0"/>
        <w:spacing w:line="360" w:lineRule="auto"/>
        <w:ind w:firstLine="6"/>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乙方保证提供的技术资料具有科学性，正确性，简明性，可操作性和规范性。乙方须进行必要的技术指导，并保证甲方能正确、安全、有效的使用服务成果。</w:t>
      </w:r>
      <w:r>
        <w:rPr>
          <w:rFonts w:ascii="微软雅黑" w:hAnsi="微软雅黑" w:eastAsia="微软雅黑" w:cs="Times New Roman"/>
          <w:snapToGrid w:val="0"/>
          <w:color w:val="auto"/>
          <w:kern w:val="0"/>
          <w:sz w:val="24"/>
          <w:szCs w:val="24"/>
        </w:rPr>
        <w:t xml:space="preserve"> </w:t>
      </w:r>
    </w:p>
    <w:p w14:paraId="6317CAD0">
      <w:pPr>
        <w:numPr>
          <w:ilvl w:val="0"/>
          <w:numId w:val="13"/>
        </w:numPr>
        <w:autoSpaceDE w:val="0"/>
        <w:autoSpaceDN w:val="0"/>
        <w:adjustRightInd w:val="0"/>
        <w:spacing w:line="360" w:lineRule="auto"/>
        <w:ind w:firstLine="6"/>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乙方保证派驻甲方的人员遵守甲方的有关制度、工作纪律和规定，乙方服务人员应在甲方规定的工作场地范围内工作。</w:t>
      </w:r>
    </w:p>
    <w:p w14:paraId="22CC73C4">
      <w:pPr>
        <w:numPr>
          <w:ilvl w:val="0"/>
          <w:numId w:val="13"/>
        </w:numPr>
        <w:autoSpaceDE w:val="0"/>
        <w:autoSpaceDN w:val="0"/>
        <w:adjustRightInd w:val="0"/>
        <w:spacing w:line="360" w:lineRule="auto"/>
        <w:ind w:firstLine="6"/>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乙方在履行合同过程中，对甲方的信息数据、软件源代码、有关文档保密，未经审批不得向第三方泄露，若有违反，经查证后根据情节轻重扣减合同款。</w:t>
      </w:r>
    </w:p>
    <w:p w14:paraId="1881F6C1">
      <w:pPr>
        <w:numPr>
          <w:ilvl w:val="0"/>
          <w:numId w:val="14"/>
        </w:numPr>
        <w:adjustRightInd w:val="0"/>
        <w:snapToGrid w:val="0"/>
        <w:spacing w:before="120" w:after="120"/>
        <w:ind w:left="420" w:leftChars="0" w:firstLine="0" w:firstLineChars="0"/>
        <w:rPr>
          <w:rFonts w:hint="eastAsia" w:ascii="微软雅黑" w:hAnsi="微软雅黑" w:eastAsia="微软雅黑" w:cs="Times New Roman"/>
          <w:b/>
          <w:color w:val="auto"/>
          <w:sz w:val="24"/>
          <w:szCs w:val="24"/>
          <w:lang w:val="zh-CN"/>
        </w:rPr>
      </w:pPr>
      <w:r>
        <w:rPr>
          <w:rFonts w:hint="eastAsia" w:ascii="微软雅黑" w:hAnsi="微软雅黑" w:eastAsia="微软雅黑" w:cs="Times New Roman"/>
          <w:b/>
          <w:color w:val="auto"/>
          <w:sz w:val="24"/>
          <w:szCs w:val="24"/>
          <w:lang w:val="zh-CN"/>
        </w:rPr>
        <w:t>项目内容说明</w:t>
      </w:r>
    </w:p>
    <w:p w14:paraId="0D7DA7FE">
      <w:pPr>
        <w:spacing w:line="360" w:lineRule="auto"/>
        <w:ind w:firstLine="480" w:firstLineChars="200"/>
        <w:rPr>
          <w:rFonts w:hint="eastAsia"/>
          <w:color w:val="auto"/>
          <w:highlight w:val="none"/>
        </w:rPr>
      </w:pPr>
      <w:r>
        <w:rPr>
          <w:rFonts w:hint="eastAsia" w:ascii="宋体" w:hAnsi="宋体"/>
          <w:bCs/>
          <w:snapToGrid w:val="0"/>
          <w:color w:val="auto"/>
          <w:kern w:val="0"/>
          <w:sz w:val="24"/>
          <w:highlight w:val="none"/>
          <w:lang w:val="zh-CN"/>
        </w:rPr>
        <w:t>（</w:t>
      </w:r>
      <w:r>
        <w:rPr>
          <w:rFonts w:hint="eastAsia" w:ascii="宋体" w:hAnsi="宋体"/>
          <w:bCs/>
          <w:snapToGrid w:val="0"/>
          <w:color w:val="auto"/>
          <w:kern w:val="0"/>
          <w:sz w:val="24"/>
          <w:highlight w:val="none"/>
          <w:lang w:val="en-US" w:eastAsia="zh-CN"/>
        </w:rPr>
        <w:t>投标文件项目内容</w:t>
      </w:r>
      <w:r>
        <w:rPr>
          <w:rFonts w:hint="eastAsia" w:ascii="宋体" w:hAnsi="宋体"/>
          <w:bCs/>
          <w:snapToGrid w:val="0"/>
          <w:color w:val="auto"/>
          <w:kern w:val="0"/>
          <w:sz w:val="24"/>
          <w:highlight w:val="none"/>
          <w:lang w:val="zh-CN"/>
        </w:rPr>
        <w:t>）</w:t>
      </w:r>
    </w:p>
    <w:p w14:paraId="63086A11">
      <w:pPr>
        <w:spacing w:line="360" w:lineRule="auto"/>
        <w:rPr>
          <w:rFonts w:hint="eastAsia" w:ascii="宋体" w:hAnsi="宋体" w:eastAsia="宋体" w:cs="Times New Roman"/>
          <w:b/>
          <w:color w:val="auto"/>
          <w:sz w:val="24"/>
          <w:szCs w:val="24"/>
        </w:rPr>
      </w:pPr>
    </w:p>
    <w:p w14:paraId="54D9FAAC">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bookmarkStart w:id="15" w:name="_Toc144721928"/>
      <w:bookmarkStart w:id="16" w:name="_Toc142970449"/>
      <w:r>
        <w:rPr>
          <w:rFonts w:ascii="微软雅黑" w:hAnsi="微软雅黑" w:eastAsia="微软雅黑" w:cs="Times New Roman"/>
          <w:b/>
          <w:snapToGrid w:val="0"/>
          <w:color w:val="auto"/>
          <w:kern w:val="0"/>
          <w:sz w:val="24"/>
          <w:szCs w:val="24"/>
          <w:lang w:val="zh-CN"/>
        </w:rPr>
        <w:t>十</w:t>
      </w:r>
      <w:r>
        <w:rPr>
          <w:rFonts w:hint="eastAsia" w:ascii="微软雅黑" w:hAnsi="微软雅黑" w:eastAsia="微软雅黑" w:cs="Times New Roman"/>
          <w:b/>
          <w:snapToGrid w:val="0"/>
          <w:color w:val="auto"/>
          <w:kern w:val="0"/>
          <w:sz w:val="24"/>
          <w:szCs w:val="24"/>
          <w:lang w:val="zh-CN"/>
        </w:rPr>
        <w:t>二</w:t>
      </w:r>
      <w:r>
        <w:rPr>
          <w:rFonts w:ascii="微软雅黑" w:hAnsi="微软雅黑" w:eastAsia="微软雅黑" w:cs="Times New Roman"/>
          <w:b/>
          <w:snapToGrid w:val="0"/>
          <w:color w:val="auto"/>
          <w:kern w:val="0"/>
          <w:sz w:val="24"/>
          <w:szCs w:val="24"/>
          <w:lang w:val="zh-CN"/>
        </w:rPr>
        <w:t>、</w:t>
      </w:r>
      <w:r>
        <w:rPr>
          <w:rFonts w:hint="eastAsia" w:ascii="微软雅黑" w:hAnsi="微软雅黑" w:eastAsia="微软雅黑" w:cs="Times New Roman"/>
          <w:b/>
          <w:snapToGrid w:val="0"/>
          <w:color w:val="auto"/>
          <w:kern w:val="0"/>
          <w:sz w:val="24"/>
          <w:szCs w:val="24"/>
          <w:lang w:val="zh-CN"/>
        </w:rPr>
        <w:t>项目</w:t>
      </w:r>
      <w:r>
        <w:rPr>
          <w:rFonts w:hint="eastAsia" w:ascii="微软雅黑" w:hAnsi="微软雅黑" w:eastAsia="微软雅黑" w:cs="Times New Roman"/>
          <w:b/>
          <w:snapToGrid w:val="0"/>
          <w:color w:val="auto"/>
          <w:kern w:val="0"/>
          <w:sz w:val="24"/>
          <w:szCs w:val="24"/>
          <w:lang w:val="en-US" w:eastAsia="zh-CN"/>
        </w:rPr>
        <w:t>实施和</w:t>
      </w:r>
      <w:r>
        <w:rPr>
          <w:rFonts w:ascii="微软雅黑" w:hAnsi="微软雅黑" w:eastAsia="微软雅黑" w:cs="Times New Roman"/>
          <w:b/>
          <w:snapToGrid w:val="0"/>
          <w:color w:val="auto"/>
          <w:kern w:val="0"/>
          <w:sz w:val="24"/>
          <w:szCs w:val="24"/>
          <w:lang w:val="zh-CN"/>
        </w:rPr>
        <w:t>验收</w:t>
      </w:r>
    </w:p>
    <w:p w14:paraId="547FC280">
      <w:pPr>
        <w:adjustRightInd w:val="0"/>
        <w:snapToGrid w:val="0"/>
        <w:spacing w:before="120" w:after="120" w:line="360" w:lineRule="auto"/>
        <w:ind w:firstLine="511" w:firstLineChars="213"/>
        <w:jc w:val="left"/>
        <w:rPr>
          <w:rFonts w:hint="eastAsia"/>
          <w:color w:val="auto"/>
          <w:lang w:val="zh-CN"/>
        </w:rPr>
      </w:pPr>
      <w:r>
        <w:rPr>
          <w:rFonts w:ascii="微软雅黑" w:hAnsi="微软雅黑" w:eastAsia="微软雅黑" w:cs="Times New Roman"/>
          <w:snapToGrid w:val="0"/>
          <w:color w:val="auto"/>
          <w:kern w:val="0"/>
          <w:sz w:val="24"/>
          <w:szCs w:val="24"/>
          <w:lang w:val="zh-CN"/>
        </w:rPr>
        <w:t>1</w:t>
      </w:r>
      <w:r>
        <w:rPr>
          <w:rFonts w:hint="eastAsia" w:ascii="微软雅黑" w:hAnsi="微软雅黑" w:eastAsia="微软雅黑" w:cs="Times New Roman"/>
          <w:snapToGrid w:val="0"/>
          <w:color w:val="auto"/>
          <w:kern w:val="0"/>
          <w:sz w:val="24"/>
          <w:szCs w:val="24"/>
          <w:lang w:val="zh-CN"/>
        </w:rPr>
        <w:t>.乙方根据约定服务范围与内容提供技术资料和数据，确保能让甲方正常使用，完成服务内容后可提出</w:t>
      </w:r>
      <w:r>
        <w:rPr>
          <w:rFonts w:hint="eastAsia" w:ascii="微软雅黑" w:hAnsi="微软雅黑" w:eastAsia="微软雅黑" w:cs="Times New Roman"/>
          <w:snapToGrid w:val="0"/>
          <w:color w:val="auto"/>
          <w:kern w:val="0"/>
          <w:sz w:val="24"/>
          <w:szCs w:val="24"/>
          <w:highlight w:val="none"/>
          <w:lang w:val="en-US" w:eastAsia="zh-CN"/>
        </w:rPr>
        <w:t>初步</w:t>
      </w:r>
      <w:r>
        <w:rPr>
          <w:rFonts w:hint="eastAsia" w:ascii="微软雅黑" w:hAnsi="微软雅黑" w:eastAsia="微软雅黑" w:cs="Times New Roman"/>
          <w:snapToGrid w:val="0"/>
          <w:color w:val="auto"/>
          <w:kern w:val="0"/>
          <w:sz w:val="24"/>
          <w:szCs w:val="24"/>
          <w:highlight w:val="none"/>
          <w:lang w:val="zh-CN"/>
        </w:rPr>
        <w:t>验收</w:t>
      </w:r>
      <w:r>
        <w:rPr>
          <w:rFonts w:hint="eastAsia" w:ascii="微软雅黑" w:hAnsi="微软雅黑" w:eastAsia="微软雅黑" w:cs="Times New Roman"/>
          <w:snapToGrid w:val="0"/>
          <w:color w:val="auto"/>
          <w:kern w:val="0"/>
          <w:sz w:val="24"/>
          <w:szCs w:val="24"/>
          <w:highlight w:val="none"/>
          <w:lang w:val="en-US" w:eastAsia="zh-CN"/>
        </w:rPr>
        <w:t>申请，</w:t>
      </w:r>
      <w:r>
        <w:rPr>
          <w:rFonts w:hint="eastAsia" w:ascii="微软雅黑" w:hAnsi="微软雅黑" w:eastAsia="微软雅黑" w:cs="Times New Roman"/>
          <w:snapToGrid w:val="0"/>
          <w:color w:val="auto"/>
          <w:kern w:val="0"/>
          <w:sz w:val="24"/>
          <w:szCs w:val="24"/>
          <w:highlight w:val="none"/>
          <w:lang w:val="zh-CN"/>
        </w:rPr>
        <w:t>初验通过后进入试运行</w:t>
      </w:r>
      <w:r>
        <w:rPr>
          <w:rFonts w:hint="eastAsia" w:ascii="微软雅黑" w:hAnsi="微软雅黑" w:eastAsia="微软雅黑" w:cs="Times New Roman"/>
          <w:snapToGrid w:val="0"/>
          <w:color w:val="auto"/>
          <w:kern w:val="0"/>
          <w:sz w:val="24"/>
          <w:szCs w:val="24"/>
          <w:highlight w:val="none"/>
          <w:lang w:val="en-US" w:eastAsia="zh-CN"/>
        </w:rPr>
        <w:t>阶段</w:t>
      </w:r>
      <w:r>
        <w:rPr>
          <w:rFonts w:hint="eastAsia" w:ascii="微软雅黑" w:hAnsi="微软雅黑" w:eastAsia="微软雅黑" w:cs="Times New Roman"/>
          <w:snapToGrid w:val="0"/>
          <w:color w:val="auto"/>
          <w:kern w:val="0"/>
          <w:sz w:val="24"/>
          <w:szCs w:val="24"/>
          <w:highlight w:val="none"/>
          <w:lang w:val="zh-CN"/>
        </w:rPr>
        <w:t>，</w:t>
      </w:r>
      <w:r>
        <w:rPr>
          <w:rFonts w:hint="eastAsia" w:ascii="微软雅黑" w:hAnsi="微软雅黑" w:eastAsia="微软雅黑" w:cs="Times New Roman"/>
          <w:snapToGrid w:val="0"/>
          <w:color w:val="auto"/>
          <w:kern w:val="0"/>
          <w:sz w:val="24"/>
          <w:szCs w:val="24"/>
          <w:highlight w:val="none"/>
          <w:lang w:val="en-US" w:eastAsia="zh-CN"/>
        </w:rPr>
        <w:t>满一个月且整体稳定后，乙方可</w:t>
      </w:r>
      <w:r>
        <w:rPr>
          <w:rFonts w:hint="eastAsia" w:ascii="微软雅黑" w:hAnsi="微软雅黑" w:eastAsia="微软雅黑" w:cs="Times New Roman"/>
          <w:snapToGrid w:val="0"/>
          <w:color w:val="auto"/>
          <w:kern w:val="0"/>
          <w:sz w:val="24"/>
          <w:szCs w:val="24"/>
          <w:highlight w:val="none"/>
          <w:lang w:val="zh-CN"/>
        </w:rPr>
        <w:t>提出最终验收申请</w:t>
      </w:r>
      <w:r>
        <w:rPr>
          <w:rFonts w:hint="eastAsia" w:ascii="微软雅黑" w:hAnsi="微软雅黑" w:eastAsia="微软雅黑" w:cs="Times New Roman"/>
          <w:snapToGrid w:val="0"/>
          <w:color w:val="auto"/>
          <w:kern w:val="0"/>
          <w:sz w:val="24"/>
          <w:szCs w:val="24"/>
          <w:lang w:val="en-US" w:eastAsia="zh-CN"/>
        </w:rPr>
        <w:t>，</w:t>
      </w:r>
      <w:r>
        <w:rPr>
          <w:rFonts w:hint="eastAsia" w:ascii="微软雅黑" w:hAnsi="微软雅黑" w:eastAsia="微软雅黑" w:cs="Times New Roman"/>
          <w:snapToGrid w:val="0"/>
          <w:color w:val="auto"/>
          <w:kern w:val="0"/>
          <w:sz w:val="24"/>
          <w:szCs w:val="24"/>
          <w:lang w:val="zh-CN"/>
        </w:rPr>
        <w:t>甲方需在十个工作日内</w:t>
      </w:r>
      <w:r>
        <w:rPr>
          <w:rFonts w:hint="eastAsia" w:ascii="微软雅黑" w:hAnsi="微软雅黑" w:eastAsia="微软雅黑" w:cs="Times New Roman"/>
          <w:snapToGrid w:val="0"/>
          <w:color w:val="auto"/>
          <w:kern w:val="0"/>
          <w:sz w:val="24"/>
          <w:szCs w:val="24"/>
          <w:lang w:val="en-US" w:eastAsia="zh-CN"/>
        </w:rPr>
        <w:t>组织</w:t>
      </w:r>
      <w:r>
        <w:rPr>
          <w:rFonts w:hint="eastAsia" w:ascii="微软雅黑" w:hAnsi="微软雅黑" w:eastAsia="微软雅黑" w:cs="Times New Roman"/>
          <w:snapToGrid w:val="0"/>
          <w:color w:val="auto"/>
          <w:kern w:val="0"/>
          <w:sz w:val="24"/>
          <w:szCs w:val="24"/>
          <w:lang w:val="zh-CN"/>
        </w:rPr>
        <w:t>验收。</w:t>
      </w:r>
    </w:p>
    <w:p w14:paraId="46AFAACA">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 xml:space="preserve">2. </w:t>
      </w:r>
      <w:r>
        <w:rPr>
          <w:rFonts w:hint="eastAsia" w:ascii="微软雅黑" w:hAnsi="微软雅黑" w:eastAsia="微软雅黑" w:cs="Times New Roman"/>
          <w:snapToGrid w:val="0"/>
          <w:color w:val="auto"/>
          <w:kern w:val="0"/>
          <w:sz w:val="24"/>
          <w:szCs w:val="24"/>
          <w:lang w:val="zh-CN"/>
        </w:rPr>
        <w:t>验收前，</w:t>
      </w:r>
      <w:r>
        <w:rPr>
          <w:rFonts w:ascii="微软雅黑" w:hAnsi="微软雅黑" w:eastAsia="微软雅黑" w:cs="Times New Roman"/>
          <w:snapToGrid w:val="0"/>
          <w:color w:val="auto"/>
          <w:kern w:val="0"/>
          <w:sz w:val="24"/>
          <w:szCs w:val="24"/>
          <w:lang w:val="zh-CN"/>
        </w:rPr>
        <w:t>乙方应对产品</w:t>
      </w:r>
      <w:r>
        <w:rPr>
          <w:rFonts w:hint="eastAsia" w:ascii="微软雅黑" w:hAnsi="微软雅黑" w:eastAsia="微软雅黑" w:cs="Times New Roman"/>
          <w:snapToGrid w:val="0"/>
          <w:color w:val="auto"/>
          <w:kern w:val="0"/>
          <w:sz w:val="24"/>
          <w:szCs w:val="24"/>
          <w:lang w:val="en-US" w:eastAsia="zh-CN"/>
        </w:rPr>
        <w:t>进行</w:t>
      </w:r>
      <w:r>
        <w:rPr>
          <w:rFonts w:ascii="微软雅黑" w:hAnsi="微软雅黑" w:eastAsia="微软雅黑" w:cs="Times New Roman"/>
          <w:snapToGrid w:val="0"/>
          <w:color w:val="auto"/>
          <w:kern w:val="0"/>
          <w:sz w:val="24"/>
          <w:szCs w:val="24"/>
          <w:lang w:val="zh-CN"/>
        </w:rPr>
        <w:t>全面检查和对验收文件进行整理，并列出清单，</w:t>
      </w:r>
      <w:r>
        <w:rPr>
          <w:rFonts w:hint="eastAsia" w:ascii="微软雅黑" w:hAnsi="微软雅黑" w:eastAsia="微软雅黑" w:cs="Times New Roman"/>
          <w:snapToGrid w:val="0"/>
          <w:color w:val="auto"/>
          <w:kern w:val="0"/>
          <w:sz w:val="24"/>
          <w:szCs w:val="24"/>
          <w:lang w:val="zh-CN"/>
        </w:rPr>
        <w:t>拟订验收报告</w:t>
      </w:r>
      <w:r>
        <w:rPr>
          <w:rFonts w:ascii="微软雅黑" w:hAnsi="微软雅黑" w:eastAsia="微软雅黑" w:cs="Times New Roman"/>
          <w:snapToGrid w:val="0"/>
          <w:color w:val="auto"/>
          <w:kern w:val="0"/>
          <w:sz w:val="24"/>
          <w:szCs w:val="24"/>
          <w:lang w:val="zh-CN"/>
        </w:rPr>
        <w:t>交</w:t>
      </w:r>
      <w:r>
        <w:rPr>
          <w:rFonts w:hint="eastAsia" w:ascii="微软雅黑" w:hAnsi="微软雅黑" w:eastAsia="微软雅黑" w:cs="Times New Roman"/>
          <w:snapToGrid w:val="0"/>
          <w:color w:val="auto"/>
          <w:kern w:val="0"/>
          <w:sz w:val="24"/>
          <w:szCs w:val="24"/>
          <w:lang w:val="zh-CN"/>
        </w:rPr>
        <w:t>与</w:t>
      </w:r>
      <w:r>
        <w:rPr>
          <w:rFonts w:ascii="微软雅黑" w:hAnsi="微软雅黑" w:eastAsia="微软雅黑" w:cs="Times New Roman"/>
          <w:snapToGrid w:val="0"/>
          <w:color w:val="auto"/>
          <w:kern w:val="0"/>
          <w:sz w:val="24"/>
          <w:szCs w:val="24"/>
          <w:lang w:val="zh-CN"/>
        </w:rPr>
        <w:t>甲方。</w:t>
      </w:r>
    </w:p>
    <w:p w14:paraId="5C37E62A">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u w:val="single"/>
          <w:lang w:val="zh-CN"/>
        </w:rPr>
      </w:pPr>
      <w:r>
        <w:rPr>
          <w:rFonts w:ascii="微软雅黑" w:hAnsi="微软雅黑" w:eastAsia="微软雅黑" w:cs="Times New Roman"/>
          <w:snapToGrid w:val="0"/>
          <w:color w:val="auto"/>
          <w:kern w:val="0"/>
          <w:sz w:val="24"/>
          <w:szCs w:val="24"/>
          <w:lang w:val="zh-CN"/>
        </w:rPr>
        <w:t>3. 甲方</w:t>
      </w:r>
      <w:r>
        <w:rPr>
          <w:rFonts w:hint="eastAsia" w:ascii="微软雅黑" w:hAnsi="微软雅黑" w:eastAsia="微软雅黑" w:cs="Times New Roman"/>
          <w:snapToGrid w:val="0"/>
          <w:color w:val="auto"/>
          <w:kern w:val="0"/>
          <w:sz w:val="24"/>
          <w:szCs w:val="24"/>
          <w:lang w:val="zh-CN"/>
        </w:rPr>
        <w:t>根据合同约定审查项目完成情况</w:t>
      </w:r>
      <w:r>
        <w:rPr>
          <w:rFonts w:ascii="微软雅黑" w:hAnsi="微软雅黑" w:eastAsia="微软雅黑" w:cs="Times New Roman"/>
          <w:snapToGrid w:val="0"/>
          <w:color w:val="auto"/>
          <w:kern w:val="0"/>
          <w:sz w:val="24"/>
          <w:szCs w:val="24"/>
          <w:lang w:val="zh-CN"/>
        </w:rPr>
        <w:t>，直到符合技术要求，甲方才做最终验收。</w:t>
      </w:r>
    </w:p>
    <w:p w14:paraId="5B95E258">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4</w:t>
      </w:r>
      <w:r>
        <w:rPr>
          <w:rFonts w:ascii="微软雅黑" w:hAnsi="微软雅黑" w:eastAsia="微软雅黑" w:cs="Times New Roman"/>
          <w:snapToGrid w:val="0"/>
          <w:color w:val="auto"/>
          <w:kern w:val="0"/>
          <w:sz w:val="24"/>
          <w:szCs w:val="24"/>
          <w:lang w:val="zh-CN"/>
        </w:rPr>
        <w:t>. 验收时乙方必须在现场，</w:t>
      </w:r>
      <w:r>
        <w:rPr>
          <w:rFonts w:hint="eastAsia" w:ascii="微软雅黑" w:hAnsi="微软雅黑" w:eastAsia="微软雅黑" w:cs="Times New Roman"/>
          <w:snapToGrid w:val="0"/>
          <w:color w:val="auto"/>
          <w:kern w:val="0"/>
          <w:sz w:val="24"/>
          <w:szCs w:val="24"/>
          <w:lang w:val="en-US" w:eastAsia="zh-CN"/>
        </w:rPr>
        <w:t>验收</w:t>
      </w:r>
      <w:r>
        <w:rPr>
          <w:rFonts w:ascii="微软雅黑" w:hAnsi="微软雅黑" w:eastAsia="微软雅黑" w:cs="Times New Roman"/>
          <w:snapToGrid w:val="0"/>
          <w:color w:val="auto"/>
          <w:kern w:val="0"/>
          <w:sz w:val="24"/>
          <w:szCs w:val="24"/>
          <w:lang w:val="zh-CN"/>
        </w:rPr>
        <w:t>完毕后</w:t>
      </w:r>
      <w:r>
        <w:rPr>
          <w:rFonts w:hint="eastAsia" w:ascii="微软雅黑" w:hAnsi="微软雅黑" w:eastAsia="微软雅黑" w:cs="Times New Roman"/>
          <w:snapToGrid w:val="0"/>
          <w:color w:val="auto"/>
          <w:kern w:val="0"/>
          <w:sz w:val="24"/>
          <w:szCs w:val="24"/>
          <w:lang w:val="zh-CN"/>
        </w:rPr>
        <w:t>十五个工作日内</w:t>
      </w:r>
      <w:r>
        <w:rPr>
          <w:rFonts w:ascii="微软雅黑" w:hAnsi="微软雅黑" w:eastAsia="微软雅黑" w:cs="Times New Roman"/>
          <w:snapToGrid w:val="0"/>
          <w:color w:val="auto"/>
          <w:kern w:val="0"/>
          <w:sz w:val="24"/>
          <w:szCs w:val="24"/>
          <w:lang w:val="zh-CN"/>
        </w:rPr>
        <w:t>作出验收结果报告；验收费用由乙方负责。</w:t>
      </w:r>
    </w:p>
    <w:p w14:paraId="13A9C46A">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hint="eastAsia" w:ascii="微软雅黑" w:hAnsi="微软雅黑" w:eastAsia="微软雅黑" w:cs="Times New Roman"/>
          <w:b/>
          <w:snapToGrid w:val="0"/>
          <w:color w:val="auto"/>
          <w:kern w:val="0"/>
          <w:sz w:val="24"/>
          <w:szCs w:val="24"/>
          <w:lang w:val="zh-CN"/>
        </w:rPr>
        <w:t>十三、服务质量考核</w:t>
      </w:r>
    </w:p>
    <w:p w14:paraId="72E0D718">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乙方须严格按照合同要求提供技术服务。为了确保服务工作得到有效监督，保证服务质量，甲方按照合同要求对乙方的服务进行考核评价，并约定如下：</w:t>
      </w:r>
    </w:p>
    <w:p w14:paraId="5F8D06C2">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1、维保服务到期或项目终验前，甲方根据服务内容要求</w:t>
      </w:r>
      <w:r>
        <w:rPr>
          <w:rFonts w:ascii="微软雅黑" w:hAnsi="微软雅黑" w:eastAsia="微软雅黑" w:cs="Times New Roman"/>
          <w:snapToGrid w:val="0"/>
          <w:color w:val="auto"/>
          <w:kern w:val="0"/>
          <w:sz w:val="24"/>
          <w:szCs w:val="24"/>
          <w:lang w:val="zh-CN"/>
        </w:rPr>
        <w:t>对</w:t>
      </w:r>
      <w:r>
        <w:rPr>
          <w:rFonts w:hint="eastAsia" w:ascii="微软雅黑" w:hAnsi="微软雅黑" w:eastAsia="微软雅黑" w:cs="Times New Roman"/>
          <w:snapToGrid w:val="0"/>
          <w:color w:val="auto"/>
          <w:kern w:val="0"/>
          <w:sz w:val="24"/>
          <w:szCs w:val="24"/>
          <w:lang w:val="zh-CN"/>
        </w:rPr>
        <w:t>乙</w:t>
      </w:r>
      <w:r>
        <w:rPr>
          <w:rFonts w:ascii="微软雅黑" w:hAnsi="微软雅黑" w:eastAsia="微软雅黑" w:cs="Times New Roman"/>
          <w:snapToGrid w:val="0"/>
          <w:color w:val="auto"/>
          <w:kern w:val="0"/>
          <w:sz w:val="24"/>
          <w:szCs w:val="24"/>
          <w:lang w:val="zh-CN"/>
        </w:rPr>
        <w:t>方实行</w:t>
      </w:r>
      <w:r>
        <w:rPr>
          <w:rFonts w:hint="eastAsia" w:ascii="微软雅黑" w:hAnsi="微软雅黑" w:eastAsia="微软雅黑" w:cs="Times New Roman"/>
          <w:snapToGrid w:val="0"/>
          <w:color w:val="auto"/>
          <w:kern w:val="0"/>
          <w:sz w:val="24"/>
          <w:szCs w:val="24"/>
          <w:lang w:val="zh-CN"/>
        </w:rPr>
        <w:t>评分</w:t>
      </w:r>
      <w:r>
        <w:rPr>
          <w:rFonts w:ascii="微软雅黑" w:hAnsi="微软雅黑" w:eastAsia="微软雅黑" w:cs="Times New Roman"/>
          <w:snapToGrid w:val="0"/>
          <w:color w:val="auto"/>
          <w:kern w:val="0"/>
          <w:sz w:val="24"/>
          <w:szCs w:val="24"/>
          <w:lang w:val="zh-CN"/>
        </w:rPr>
        <w:t>，评分结果作为衡量服务质量的依据。</w:t>
      </w:r>
      <w:r>
        <w:rPr>
          <w:rFonts w:hint="eastAsia" w:ascii="微软雅黑" w:hAnsi="微软雅黑" w:eastAsia="微软雅黑" w:cs="Times New Roman"/>
          <w:snapToGrid w:val="0"/>
          <w:color w:val="auto"/>
          <w:kern w:val="0"/>
          <w:sz w:val="24"/>
          <w:szCs w:val="24"/>
          <w:lang w:val="zh-CN"/>
        </w:rPr>
        <w:t>评分</w:t>
      </w:r>
      <w:r>
        <w:rPr>
          <w:rFonts w:ascii="微软雅黑" w:hAnsi="微软雅黑" w:eastAsia="微软雅黑" w:cs="Times New Roman"/>
          <w:snapToGrid w:val="0"/>
          <w:color w:val="auto"/>
          <w:kern w:val="0"/>
          <w:sz w:val="24"/>
          <w:szCs w:val="24"/>
          <w:lang w:val="zh-CN"/>
        </w:rPr>
        <w:t>等级分为非常满意、满意、一般、不满意四档。如考核为</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非常满意</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或</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满意</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不扣服务费</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如考核为</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一般</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可扣除合同款的</w:t>
      </w:r>
      <w:r>
        <w:rPr>
          <w:rFonts w:hint="eastAsia" w:ascii="微软雅黑" w:hAnsi="微软雅黑" w:eastAsia="微软雅黑" w:cs="Times New Roman"/>
          <w:snapToGrid w:val="0"/>
          <w:color w:val="auto"/>
          <w:kern w:val="0"/>
          <w:sz w:val="24"/>
          <w:szCs w:val="24"/>
          <w:lang w:val="zh-CN"/>
        </w:rPr>
        <w:t>百分之五。</w:t>
      </w:r>
    </w:p>
    <w:p w14:paraId="36A8A396">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考核为</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不满意</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的，</w:t>
      </w:r>
      <w:r>
        <w:rPr>
          <w:rFonts w:hint="eastAsia" w:ascii="微软雅黑" w:hAnsi="微软雅黑" w:eastAsia="微软雅黑" w:cs="Times New Roman"/>
          <w:snapToGrid w:val="0"/>
          <w:color w:val="auto"/>
          <w:kern w:val="0"/>
          <w:sz w:val="24"/>
          <w:szCs w:val="24"/>
          <w:lang w:val="zh-CN"/>
        </w:rPr>
        <w:t>甲方有权解除合同，同时乙方应向甲方支付合同总价百分之五的违约金，同时退回甲方已支付的全部款项。</w:t>
      </w:r>
      <w:r>
        <w:rPr>
          <w:rFonts w:ascii="微软雅黑" w:hAnsi="微软雅黑" w:eastAsia="微软雅黑" w:cs="Times New Roman"/>
          <w:snapToGrid w:val="0"/>
          <w:color w:val="auto"/>
          <w:kern w:val="0"/>
          <w:sz w:val="24"/>
          <w:szCs w:val="24"/>
          <w:lang w:val="zh-CN"/>
        </w:rPr>
        <w:t>由此产生的一切损失和费用由</w:t>
      </w:r>
      <w:r>
        <w:rPr>
          <w:rFonts w:hint="eastAsia" w:ascii="微软雅黑" w:hAnsi="微软雅黑" w:eastAsia="微软雅黑" w:cs="Times New Roman"/>
          <w:snapToGrid w:val="0"/>
          <w:color w:val="auto"/>
          <w:kern w:val="0"/>
          <w:sz w:val="24"/>
          <w:szCs w:val="24"/>
          <w:lang w:val="zh-CN"/>
        </w:rPr>
        <w:t>乙</w:t>
      </w:r>
      <w:r>
        <w:rPr>
          <w:rFonts w:ascii="微软雅黑" w:hAnsi="微软雅黑" w:eastAsia="微软雅黑" w:cs="Times New Roman"/>
          <w:snapToGrid w:val="0"/>
          <w:color w:val="auto"/>
          <w:kern w:val="0"/>
          <w:sz w:val="24"/>
          <w:szCs w:val="24"/>
          <w:lang w:val="zh-CN"/>
        </w:rPr>
        <w:t>方承担。</w:t>
      </w:r>
    </w:p>
    <w:p w14:paraId="7E9892AC">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2</w:t>
      </w:r>
      <w:r>
        <w:rPr>
          <w:rFonts w:ascii="微软雅黑" w:hAnsi="微软雅黑" w:eastAsia="微软雅黑" w:cs="Times New Roman"/>
          <w:snapToGrid w:val="0"/>
          <w:color w:val="auto"/>
          <w:kern w:val="0"/>
          <w:sz w:val="24"/>
          <w:szCs w:val="24"/>
          <w:lang w:val="zh-CN"/>
        </w:rPr>
        <w:t>、若因</w:t>
      </w:r>
      <w:r>
        <w:rPr>
          <w:rFonts w:hint="eastAsia" w:ascii="微软雅黑" w:hAnsi="微软雅黑" w:eastAsia="微软雅黑" w:cs="Times New Roman"/>
          <w:snapToGrid w:val="0"/>
          <w:color w:val="auto"/>
          <w:kern w:val="0"/>
          <w:sz w:val="24"/>
          <w:szCs w:val="24"/>
          <w:lang w:val="zh-CN"/>
        </w:rPr>
        <w:t>乙</w:t>
      </w:r>
      <w:r>
        <w:rPr>
          <w:rFonts w:ascii="微软雅黑" w:hAnsi="微软雅黑" w:eastAsia="微软雅黑" w:cs="Times New Roman"/>
          <w:snapToGrid w:val="0"/>
          <w:color w:val="auto"/>
          <w:kern w:val="0"/>
          <w:sz w:val="24"/>
          <w:szCs w:val="24"/>
          <w:lang w:val="zh-CN"/>
        </w:rPr>
        <w:t>方人员操作失误造成系统瘫痪超过一个工作日的，医院有权一次扣除合同金额的</w:t>
      </w:r>
      <w:r>
        <w:rPr>
          <w:rFonts w:hint="eastAsia" w:ascii="微软雅黑" w:hAnsi="微软雅黑" w:eastAsia="微软雅黑" w:cs="Times New Roman"/>
          <w:snapToGrid w:val="0"/>
          <w:color w:val="auto"/>
          <w:kern w:val="0"/>
          <w:sz w:val="24"/>
          <w:szCs w:val="24"/>
          <w:lang w:val="zh-CN"/>
        </w:rPr>
        <w:t>百分之五</w:t>
      </w:r>
      <w:r>
        <w:rPr>
          <w:rFonts w:ascii="微软雅黑" w:hAnsi="微软雅黑" w:eastAsia="微软雅黑" w:cs="Times New Roman"/>
          <w:snapToGrid w:val="0"/>
          <w:color w:val="auto"/>
          <w:kern w:val="0"/>
          <w:sz w:val="24"/>
          <w:szCs w:val="24"/>
          <w:lang w:val="zh-CN"/>
        </w:rPr>
        <w:t>。对蓄意破坏信息系统设施或泄密的，一经查证，医院有权即时终止合同，涉案人员</w:t>
      </w:r>
      <w:r>
        <w:rPr>
          <w:rFonts w:hint="eastAsia" w:ascii="微软雅黑" w:hAnsi="微软雅黑" w:eastAsia="微软雅黑" w:cs="Times New Roman"/>
          <w:snapToGrid w:val="0"/>
          <w:color w:val="auto"/>
          <w:kern w:val="0"/>
          <w:sz w:val="24"/>
          <w:szCs w:val="24"/>
          <w:lang w:val="zh-CN"/>
        </w:rPr>
        <w:t>移交司法机关</w:t>
      </w:r>
      <w:r>
        <w:rPr>
          <w:rFonts w:ascii="微软雅黑" w:hAnsi="微软雅黑" w:eastAsia="微软雅黑" w:cs="Times New Roman"/>
          <w:snapToGrid w:val="0"/>
          <w:color w:val="auto"/>
          <w:kern w:val="0"/>
          <w:sz w:val="24"/>
          <w:szCs w:val="24"/>
          <w:lang w:val="zh-CN"/>
        </w:rPr>
        <w:t>依法处理。</w:t>
      </w:r>
    </w:p>
    <w:p w14:paraId="3E3FC0E1">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3</w:t>
      </w:r>
      <w:r>
        <w:rPr>
          <w:rFonts w:ascii="微软雅黑" w:hAnsi="微软雅黑" w:eastAsia="微软雅黑" w:cs="Times New Roman"/>
          <w:snapToGrid w:val="0"/>
          <w:color w:val="auto"/>
          <w:kern w:val="0"/>
          <w:sz w:val="24"/>
          <w:szCs w:val="24"/>
          <w:lang w:val="zh-CN"/>
        </w:rPr>
        <w:t>、因</w:t>
      </w:r>
      <w:r>
        <w:rPr>
          <w:rFonts w:hint="eastAsia" w:ascii="微软雅黑" w:hAnsi="微软雅黑" w:eastAsia="微软雅黑" w:cs="Times New Roman"/>
          <w:snapToGrid w:val="0"/>
          <w:color w:val="auto"/>
          <w:kern w:val="0"/>
          <w:sz w:val="24"/>
          <w:szCs w:val="24"/>
        </w:rPr>
        <w:t>服务考核评价</w:t>
      </w:r>
      <w:r>
        <w:rPr>
          <w:rFonts w:ascii="微软雅黑" w:hAnsi="微软雅黑" w:eastAsia="微软雅黑" w:cs="Times New Roman"/>
          <w:snapToGrid w:val="0"/>
          <w:color w:val="auto"/>
          <w:kern w:val="0"/>
          <w:sz w:val="24"/>
          <w:szCs w:val="24"/>
          <w:lang w:val="zh-CN"/>
        </w:rPr>
        <w:t>而发生的扣罚款项，经双方项目负责人签字确认，交由医院财务部在服务款中扣除。</w:t>
      </w:r>
    </w:p>
    <w:p w14:paraId="2ED73CE6">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hint="eastAsia" w:ascii="微软雅黑" w:hAnsi="微软雅黑" w:eastAsia="微软雅黑" w:cs="Times New Roman"/>
          <w:b/>
          <w:snapToGrid w:val="0"/>
          <w:color w:val="auto"/>
          <w:kern w:val="0"/>
          <w:sz w:val="24"/>
          <w:szCs w:val="24"/>
          <w:lang w:val="zh-CN"/>
        </w:rPr>
        <w:t>十四、违约责任</w:t>
      </w:r>
    </w:p>
    <w:p w14:paraId="12481022">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1.</w:t>
      </w:r>
      <w:r>
        <w:rPr>
          <w:rFonts w:ascii="微软雅黑" w:hAnsi="微软雅黑" w:eastAsia="微软雅黑" w:cs="Times New Roman"/>
          <w:snapToGrid w:val="0"/>
          <w:color w:val="auto"/>
          <w:kern w:val="0"/>
          <w:sz w:val="24"/>
          <w:szCs w:val="24"/>
          <w:lang w:val="zh-CN"/>
        </w:rPr>
        <w:t xml:space="preserve"> </w:t>
      </w:r>
      <w:r>
        <w:rPr>
          <w:rFonts w:hint="eastAsia" w:ascii="微软雅黑" w:hAnsi="微软雅黑" w:eastAsia="微软雅黑" w:cs="Times New Roman"/>
          <w:snapToGrid w:val="0"/>
          <w:color w:val="auto"/>
          <w:kern w:val="0"/>
          <w:sz w:val="24"/>
          <w:szCs w:val="24"/>
          <w:lang w:val="zh-CN"/>
        </w:rPr>
        <w:t>乙方无正当理由逾期履行合同的，自逾期之日起，向甲方每日偿付合同总价万分之五的违约金；乙方无正当理由逾期30日不能交货的，应向甲方支付合同总价百分之五的违约金；乙方无正当理由逾期三个月不能交货的，应向甲方支付合同总价百分之十五的违约金；乙方无正当理由逾期六个月不能交货的，甲方有权解除合同，同时乙方应向甲方支付合同总价百分之三十的违约金，同时退回甲方已支付全部款项。如造成甲方损失超过违约金的，超出部分由乙方继续承担赔偿责任。</w:t>
      </w:r>
    </w:p>
    <w:p w14:paraId="719FB440">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2.</w:t>
      </w:r>
      <w:r>
        <w:rPr>
          <w:rFonts w:ascii="微软雅黑" w:hAnsi="微软雅黑" w:eastAsia="微软雅黑" w:cs="Times New Roman"/>
          <w:snapToGrid w:val="0"/>
          <w:color w:val="auto"/>
          <w:kern w:val="0"/>
          <w:sz w:val="24"/>
          <w:szCs w:val="24"/>
          <w:lang w:val="zh-CN"/>
        </w:rPr>
        <w:t xml:space="preserve"> </w:t>
      </w:r>
      <w:r>
        <w:rPr>
          <w:rFonts w:hint="eastAsia" w:ascii="微软雅黑" w:hAnsi="微软雅黑" w:eastAsia="微软雅黑" w:cs="Times New Roman"/>
          <w:snapToGrid w:val="0"/>
          <w:color w:val="auto"/>
          <w:kern w:val="0"/>
          <w:sz w:val="24"/>
          <w:szCs w:val="24"/>
          <w:lang w:val="zh-CN"/>
        </w:rPr>
        <w:t>甲方无正当理由逾期支付货款的，应向乙方每日偿付合同总价万分之五的违约金。甲方无正当理由而拒收货物、拒付货款的，应向乙方偿付合同总价百分之五的违约金。</w:t>
      </w:r>
    </w:p>
    <w:bookmarkEnd w:id="15"/>
    <w:bookmarkEnd w:id="16"/>
    <w:p w14:paraId="16D2FB88">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十</w:t>
      </w:r>
      <w:r>
        <w:rPr>
          <w:rFonts w:hint="eastAsia" w:ascii="微软雅黑" w:hAnsi="微软雅黑" w:eastAsia="微软雅黑" w:cs="Times New Roman"/>
          <w:b/>
          <w:snapToGrid w:val="0"/>
          <w:color w:val="auto"/>
          <w:kern w:val="0"/>
          <w:sz w:val="24"/>
          <w:szCs w:val="24"/>
          <w:lang w:val="zh-CN"/>
        </w:rPr>
        <w:t>五</w:t>
      </w:r>
      <w:r>
        <w:rPr>
          <w:rFonts w:ascii="微软雅黑" w:hAnsi="微软雅黑" w:eastAsia="微软雅黑" w:cs="Times New Roman"/>
          <w:b/>
          <w:snapToGrid w:val="0"/>
          <w:color w:val="auto"/>
          <w:kern w:val="0"/>
          <w:sz w:val="24"/>
          <w:szCs w:val="24"/>
          <w:lang w:val="zh-CN"/>
        </w:rPr>
        <w:t>、不可抗力事件处理</w:t>
      </w:r>
    </w:p>
    <w:p w14:paraId="370842AF">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 xml:space="preserve">1. </w:t>
      </w:r>
      <w:r>
        <w:rPr>
          <w:rFonts w:ascii="微软雅黑" w:hAnsi="微软雅黑" w:eastAsia="微软雅黑" w:cs="Times New Roman"/>
          <w:snapToGrid w:val="0"/>
          <w:color w:val="auto"/>
          <w:kern w:val="0"/>
          <w:sz w:val="24"/>
          <w:szCs w:val="24"/>
          <w:lang w:val="zh-CN"/>
        </w:rPr>
        <w:t>合同有效期内，任何一方因不可抗力事件导致不能履行合同，则合同履行期可延长，其延长期与不可抗力影响期相同。</w:t>
      </w:r>
    </w:p>
    <w:p w14:paraId="52F308D7">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2. 不可抗力事件发生后，应立即通知对方，并寄送有关权威机构出具的证明。</w:t>
      </w:r>
    </w:p>
    <w:p w14:paraId="50A71511">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3. 不可抗力事件延续120天以上，双方应通过友好协商，确定是否继续履行合同。</w:t>
      </w:r>
    </w:p>
    <w:p w14:paraId="34E01BC5">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十</w:t>
      </w:r>
      <w:r>
        <w:rPr>
          <w:rFonts w:hint="eastAsia" w:ascii="微软雅黑" w:hAnsi="微软雅黑" w:eastAsia="微软雅黑" w:cs="Times New Roman"/>
          <w:b/>
          <w:snapToGrid w:val="0"/>
          <w:color w:val="auto"/>
          <w:kern w:val="0"/>
          <w:sz w:val="24"/>
          <w:szCs w:val="24"/>
          <w:lang w:val="zh-CN"/>
        </w:rPr>
        <w:t>六</w:t>
      </w:r>
      <w:r>
        <w:rPr>
          <w:rFonts w:ascii="微软雅黑" w:hAnsi="微软雅黑" w:eastAsia="微软雅黑" w:cs="Times New Roman"/>
          <w:b/>
          <w:snapToGrid w:val="0"/>
          <w:color w:val="auto"/>
          <w:kern w:val="0"/>
          <w:sz w:val="24"/>
          <w:szCs w:val="24"/>
          <w:lang w:val="zh-CN"/>
        </w:rPr>
        <w:t>、诉讼</w:t>
      </w:r>
    </w:p>
    <w:p w14:paraId="1496324E">
      <w:pPr>
        <w:adjustRightInd w:val="0"/>
        <w:snapToGrid w:val="0"/>
        <w:spacing w:before="120" w:after="120" w:line="360" w:lineRule="auto"/>
        <w:ind w:left="2"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双方在执行合同中所发生的一切争议，应通过协商解决。如协商不成，可向甲方所在地法院起诉。</w:t>
      </w:r>
    </w:p>
    <w:p w14:paraId="611496BA">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十</w:t>
      </w:r>
      <w:r>
        <w:rPr>
          <w:rFonts w:hint="eastAsia" w:ascii="微软雅黑" w:hAnsi="微软雅黑" w:eastAsia="微软雅黑" w:cs="Times New Roman"/>
          <w:b/>
          <w:snapToGrid w:val="0"/>
          <w:color w:val="auto"/>
          <w:kern w:val="0"/>
          <w:sz w:val="24"/>
          <w:szCs w:val="24"/>
          <w:lang w:val="zh-CN"/>
        </w:rPr>
        <w:t>七</w:t>
      </w:r>
      <w:r>
        <w:rPr>
          <w:rFonts w:ascii="微软雅黑" w:hAnsi="微软雅黑" w:eastAsia="微软雅黑" w:cs="Times New Roman"/>
          <w:b/>
          <w:snapToGrid w:val="0"/>
          <w:color w:val="auto"/>
          <w:kern w:val="0"/>
          <w:sz w:val="24"/>
          <w:szCs w:val="24"/>
          <w:lang w:val="zh-CN"/>
        </w:rPr>
        <w:t>、合同生效及其它</w:t>
      </w:r>
    </w:p>
    <w:p w14:paraId="6DE746D8">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1. 合同经甲、乙</w:t>
      </w:r>
      <w:r>
        <w:rPr>
          <w:rFonts w:hint="eastAsia" w:ascii="微软雅黑" w:hAnsi="微软雅黑" w:eastAsia="微软雅黑" w:cs="Times New Roman"/>
          <w:snapToGrid w:val="0"/>
          <w:color w:val="auto"/>
          <w:kern w:val="0"/>
          <w:sz w:val="24"/>
          <w:szCs w:val="24"/>
          <w:lang w:val="zh-CN"/>
        </w:rPr>
        <w:t>双</w:t>
      </w:r>
      <w:r>
        <w:rPr>
          <w:rFonts w:ascii="微软雅黑" w:hAnsi="微软雅黑" w:eastAsia="微软雅黑" w:cs="Times New Roman"/>
          <w:snapToGrid w:val="0"/>
          <w:color w:val="auto"/>
          <w:kern w:val="0"/>
          <w:sz w:val="24"/>
          <w:szCs w:val="24"/>
          <w:lang w:val="zh-CN"/>
        </w:rPr>
        <w:t>方签字并盖章后生效。</w:t>
      </w:r>
    </w:p>
    <w:p w14:paraId="5C95AE2C">
      <w:pPr>
        <w:adjustRightInd w:val="0"/>
        <w:snapToGrid w:val="0"/>
        <w:spacing w:before="120" w:after="120" w:line="360" w:lineRule="auto"/>
        <w:ind w:firstLine="480" w:firstLineChars="200"/>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2</w:t>
      </w:r>
      <w:r>
        <w:rPr>
          <w:rFonts w:ascii="微软雅黑" w:hAnsi="微软雅黑" w:eastAsia="微软雅黑" w:cs="Times New Roman"/>
          <w:snapToGrid w:val="0"/>
          <w:color w:val="auto"/>
          <w:kern w:val="0"/>
          <w:sz w:val="24"/>
          <w:szCs w:val="24"/>
          <w:lang w:val="zh-CN"/>
        </w:rPr>
        <w:t>.本合同未尽事宜，遵照《</w:t>
      </w:r>
      <w:r>
        <w:rPr>
          <w:rFonts w:hint="eastAsia" w:ascii="微软雅黑" w:hAnsi="微软雅黑" w:eastAsia="微软雅黑" w:cs="Times New Roman"/>
          <w:snapToGrid w:val="0"/>
          <w:color w:val="auto"/>
          <w:kern w:val="0"/>
          <w:sz w:val="24"/>
          <w:szCs w:val="24"/>
          <w:lang w:val="zh-CN"/>
        </w:rPr>
        <w:t>中华人民共和国民法典</w:t>
      </w:r>
      <w:r>
        <w:rPr>
          <w:rFonts w:ascii="微软雅黑" w:hAnsi="微软雅黑" w:eastAsia="微软雅黑" w:cs="Times New Roman"/>
          <w:snapToGrid w:val="0"/>
          <w:color w:val="auto"/>
          <w:kern w:val="0"/>
          <w:sz w:val="24"/>
          <w:szCs w:val="24"/>
          <w:lang w:val="zh-CN"/>
        </w:rPr>
        <w:t>》有关</w:t>
      </w:r>
      <w:r>
        <w:rPr>
          <w:rFonts w:hint="eastAsia" w:ascii="微软雅黑" w:hAnsi="微软雅黑" w:eastAsia="微软雅黑" w:cs="Times New Roman"/>
          <w:snapToGrid w:val="0"/>
          <w:color w:val="auto"/>
          <w:kern w:val="0"/>
          <w:sz w:val="24"/>
          <w:szCs w:val="24"/>
          <w:lang w:val="zh-CN"/>
        </w:rPr>
        <w:t>规定</w:t>
      </w:r>
      <w:r>
        <w:rPr>
          <w:rFonts w:ascii="微软雅黑" w:hAnsi="微软雅黑" w:eastAsia="微软雅黑" w:cs="Times New Roman"/>
          <w:snapToGrid w:val="0"/>
          <w:color w:val="auto"/>
          <w:kern w:val="0"/>
          <w:sz w:val="24"/>
          <w:szCs w:val="24"/>
          <w:lang w:val="zh-CN"/>
        </w:rPr>
        <w:t>执行。</w:t>
      </w:r>
    </w:p>
    <w:p w14:paraId="7547C8CA">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3</w:t>
      </w:r>
      <w:r>
        <w:rPr>
          <w:rFonts w:ascii="微软雅黑" w:hAnsi="微软雅黑" w:eastAsia="微软雅黑" w:cs="Times New Roman"/>
          <w:snapToGrid w:val="0"/>
          <w:color w:val="auto"/>
          <w:kern w:val="0"/>
          <w:sz w:val="24"/>
          <w:szCs w:val="24"/>
          <w:lang w:val="zh-CN"/>
        </w:rPr>
        <w:t>.本合同一式</w:t>
      </w:r>
      <w:r>
        <w:rPr>
          <w:rFonts w:hint="eastAsia" w:ascii="微软雅黑" w:hAnsi="微软雅黑" w:eastAsia="微软雅黑" w:cs="Times New Roman"/>
          <w:snapToGrid w:val="0"/>
          <w:color w:val="auto"/>
          <w:kern w:val="0"/>
          <w:sz w:val="24"/>
          <w:szCs w:val="24"/>
          <w:lang w:val="zh-CN"/>
        </w:rPr>
        <w:t>贰</w:t>
      </w:r>
      <w:r>
        <w:rPr>
          <w:rFonts w:ascii="微软雅黑" w:hAnsi="微软雅黑" w:eastAsia="微软雅黑" w:cs="Times New Roman"/>
          <w:snapToGrid w:val="0"/>
          <w:color w:val="auto"/>
          <w:kern w:val="0"/>
          <w:sz w:val="24"/>
          <w:szCs w:val="24"/>
          <w:lang w:val="zh-CN"/>
        </w:rPr>
        <w:t>份，具有同等法律效力，甲、乙</w:t>
      </w:r>
      <w:r>
        <w:rPr>
          <w:rFonts w:hint="eastAsia" w:ascii="微软雅黑" w:hAnsi="微软雅黑" w:eastAsia="微软雅黑" w:cs="Times New Roman"/>
          <w:snapToGrid w:val="0"/>
          <w:color w:val="auto"/>
          <w:kern w:val="0"/>
          <w:sz w:val="24"/>
          <w:szCs w:val="24"/>
          <w:lang w:val="zh-CN"/>
        </w:rPr>
        <w:t>双</w:t>
      </w:r>
      <w:r>
        <w:rPr>
          <w:rFonts w:ascii="微软雅黑" w:hAnsi="微软雅黑" w:eastAsia="微软雅黑" w:cs="Times New Roman"/>
          <w:snapToGrid w:val="0"/>
          <w:color w:val="auto"/>
          <w:kern w:val="0"/>
          <w:sz w:val="24"/>
          <w:szCs w:val="24"/>
          <w:lang w:val="zh-CN"/>
        </w:rPr>
        <w:t>方各执</w:t>
      </w:r>
      <w:r>
        <w:rPr>
          <w:rFonts w:hint="eastAsia" w:ascii="微软雅黑" w:hAnsi="微软雅黑" w:eastAsia="微软雅黑" w:cs="Times New Roman"/>
          <w:snapToGrid w:val="0"/>
          <w:color w:val="auto"/>
          <w:kern w:val="0"/>
          <w:sz w:val="24"/>
          <w:szCs w:val="24"/>
          <w:lang w:val="zh-CN"/>
        </w:rPr>
        <w:t>壹</w:t>
      </w:r>
      <w:r>
        <w:rPr>
          <w:rFonts w:ascii="微软雅黑" w:hAnsi="微软雅黑" w:eastAsia="微软雅黑" w:cs="Times New Roman"/>
          <w:snapToGrid w:val="0"/>
          <w:color w:val="auto"/>
          <w:kern w:val="0"/>
          <w:sz w:val="24"/>
          <w:szCs w:val="24"/>
          <w:lang w:val="zh-CN"/>
        </w:rPr>
        <w:t>份。</w:t>
      </w:r>
    </w:p>
    <w:p w14:paraId="5DEEE26B">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p>
    <w:p w14:paraId="30711896">
      <w:pPr>
        <w:adjustRightInd w:val="0"/>
        <w:snapToGrid w:val="0"/>
        <w:spacing w:before="120" w:after="120"/>
        <w:ind w:left="1"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甲方（盖章）：</w:t>
      </w:r>
      <w:r>
        <w:rPr>
          <w:rFonts w:ascii="微软雅黑" w:hAnsi="微软雅黑" w:eastAsia="微软雅黑" w:cs="Times New Roman"/>
          <w:b/>
          <w:color w:val="auto"/>
          <w:sz w:val="24"/>
          <w:szCs w:val="20"/>
          <w:lang w:val="zh-CN"/>
        </w:rPr>
        <w:t>浙江大学医学院附属妇产科医院</w:t>
      </w:r>
    </w:p>
    <w:p w14:paraId="7DC8F3AD">
      <w:pPr>
        <w:adjustRightInd w:val="0"/>
        <w:snapToGrid w:val="0"/>
        <w:spacing w:before="120" w:after="120"/>
        <w:ind w:left="1"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地</w:t>
      </w:r>
      <w:r>
        <w:rPr>
          <w:rFonts w:ascii="微软雅黑" w:hAnsi="微软雅黑" w:eastAsia="微软雅黑" w:cs="Times New Roman"/>
          <w:color w:val="auto"/>
          <w:sz w:val="24"/>
          <w:szCs w:val="20"/>
          <w:lang w:val="zh-CN"/>
        </w:rPr>
        <w:t>址：浙江省杭州市学士路1号</w:t>
      </w:r>
    </w:p>
    <w:p w14:paraId="2139351A">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 xml:space="preserve">法定（授权）代表人：  </w:t>
      </w:r>
    </w:p>
    <w:p w14:paraId="2AB6E6A9">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签字日期：</w:t>
      </w:r>
      <w:r>
        <w:rPr>
          <w:rFonts w:hint="eastAsia" w:ascii="微软雅黑" w:hAnsi="微软雅黑" w:eastAsia="微软雅黑" w:cs="Times New Roman"/>
          <w:snapToGrid w:val="0"/>
          <w:color w:val="auto"/>
          <w:kern w:val="0"/>
          <w:sz w:val="24"/>
          <w:szCs w:val="24"/>
          <w:lang w:val="zh-CN"/>
        </w:rPr>
        <w:t xml:space="preserve"> </w:t>
      </w:r>
      <w:r>
        <w:rPr>
          <w:rFonts w:ascii="微软雅黑" w:hAnsi="微软雅黑" w:eastAsia="微软雅黑" w:cs="Times New Roman"/>
          <w:snapToGrid w:val="0"/>
          <w:color w:val="auto"/>
          <w:kern w:val="0"/>
          <w:sz w:val="24"/>
          <w:szCs w:val="24"/>
          <w:lang w:val="zh-CN"/>
        </w:rPr>
        <w:t xml:space="preserve">  年    月    日  </w:t>
      </w:r>
    </w:p>
    <w:p w14:paraId="45BBAE6C">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p>
    <w:p w14:paraId="4C1F3495">
      <w:pPr>
        <w:adjustRightInd w:val="0"/>
        <w:snapToGrid w:val="0"/>
        <w:spacing w:before="120" w:after="120"/>
        <w:ind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乙方（盖章）：</w:t>
      </w:r>
      <w:r>
        <w:rPr>
          <w:rFonts w:hint="eastAsia" w:ascii="微软雅黑" w:hAnsi="微软雅黑" w:eastAsia="微软雅黑" w:cs="Times New Roman"/>
          <w:b/>
          <w:color w:val="auto"/>
          <w:sz w:val="24"/>
          <w:szCs w:val="20"/>
          <w:lang w:val="zh-CN"/>
        </w:rPr>
        <w:t xml:space="preserve"> </w:t>
      </w:r>
    </w:p>
    <w:p w14:paraId="64311FAE">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 xml:space="preserve">地址： </w:t>
      </w:r>
      <w:r>
        <w:rPr>
          <w:rFonts w:hint="eastAsia" w:ascii="微软雅黑" w:hAnsi="微软雅黑" w:eastAsia="微软雅黑" w:cs="Times New Roman"/>
          <w:snapToGrid w:val="0"/>
          <w:color w:val="auto"/>
          <w:kern w:val="0"/>
          <w:sz w:val="24"/>
          <w:szCs w:val="24"/>
          <w:lang w:val="zh-CN"/>
        </w:rPr>
        <w:t xml:space="preserve"> </w:t>
      </w:r>
    </w:p>
    <w:p w14:paraId="4B993119">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开户行：</w:t>
      </w:r>
      <w:r>
        <w:rPr>
          <w:rFonts w:hint="eastAsia" w:ascii="微软雅黑" w:hAnsi="微软雅黑" w:eastAsia="微软雅黑" w:cs="Times New Roman"/>
          <w:color w:val="auto"/>
          <w:sz w:val="24"/>
          <w:szCs w:val="21"/>
          <w:lang w:val="zh-CN"/>
        </w:rPr>
        <w:t xml:space="preserve"> </w:t>
      </w:r>
    </w:p>
    <w:p w14:paraId="4EFD7295">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开户帐号：</w:t>
      </w:r>
      <w:r>
        <w:rPr>
          <w:rFonts w:hint="eastAsia" w:ascii="微软雅黑" w:hAnsi="微软雅黑" w:eastAsia="微软雅黑" w:cs="Times New Roman"/>
          <w:color w:val="auto"/>
          <w:sz w:val="24"/>
          <w:szCs w:val="21"/>
          <w:lang w:val="zh-CN"/>
        </w:rPr>
        <w:t xml:space="preserve"> </w:t>
      </w:r>
    </w:p>
    <w:p w14:paraId="6C21AA8C">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法定（授权）代表人：</w:t>
      </w:r>
    </w:p>
    <w:p w14:paraId="6298B6B1">
      <w:pPr>
        <w:adjustRightInd w:val="0"/>
        <w:snapToGrid w:val="0"/>
        <w:spacing w:before="120" w:after="120"/>
        <w:ind w:firstLine="511" w:firstLineChars="213"/>
        <w:rPr>
          <w:rFonts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签字日期：</w:t>
      </w:r>
      <w:r>
        <w:rPr>
          <w:rFonts w:hint="eastAsia" w:ascii="微软雅黑" w:hAnsi="微软雅黑" w:eastAsia="微软雅黑" w:cs="Times New Roman"/>
          <w:snapToGrid w:val="0"/>
          <w:color w:val="auto"/>
          <w:kern w:val="0"/>
          <w:sz w:val="24"/>
          <w:szCs w:val="24"/>
          <w:lang w:val="zh-CN"/>
        </w:rPr>
        <w:t xml:space="preserve"> </w:t>
      </w:r>
      <w:r>
        <w:rPr>
          <w:rFonts w:ascii="微软雅黑" w:hAnsi="微软雅黑" w:eastAsia="微软雅黑" w:cs="Times New Roman"/>
          <w:snapToGrid w:val="0"/>
          <w:color w:val="auto"/>
          <w:kern w:val="0"/>
          <w:sz w:val="24"/>
          <w:szCs w:val="24"/>
          <w:lang w:val="zh-CN"/>
        </w:rPr>
        <w:t xml:space="preserve">  年    月    日</w:t>
      </w:r>
    </w:p>
    <w:p w14:paraId="324F648D">
      <w:pPr>
        <w:adjustRightInd w:val="0"/>
        <w:snapToGrid w:val="0"/>
        <w:spacing w:before="120" w:after="120"/>
        <w:ind w:firstLine="511" w:firstLineChars="213"/>
        <w:rPr>
          <w:rFonts w:ascii="微软雅黑" w:hAnsi="微软雅黑" w:eastAsia="微软雅黑" w:cs="Times New Roman"/>
          <w:snapToGrid w:val="0"/>
          <w:color w:val="auto"/>
          <w:kern w:val="0"/>
          <w:sz w:val="24"/>
          <w:szCs w:val="24"/>
          <w:lang w:val="zh-CN"/>
        </w:rPr>
      </w:pPr>
    </w:p>
    <w:p w14:paraId="2C13F64E">
      <w:pPr>
        <w:adjustRightInd w:val="0"/>
        <w:snapToGrid w:val="0"/>
        <w:spacing w:before="120" w:after="120"/>
        <w:ind w:firstLine="511" w:firstLineChars="213"/>
        <w:rPr>
          <w:rFonts w:ascii="微软雅黑" w:hAnsi="微软雅黑" w:eastAsia="微软雅黑" w:cs="Times New Roman"/>
          <w:snapToGrid w:val="0"/>
          <w:color w:val="auto"/>
          <w:kern w:val="0"/>
          <w:sz w:val="24"/>
          <w:szCs w:val="24"/>
          <w:lang w:val="zh-CN"/>
        </w:rPr>
      </w:pPr>
    </w:p>
    <w:p w14:paraId="519A8903">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p>
    <w:p w14:paraId="0A3C9CCB">
      <w:pPr>
        <w:pStyle w:val="39"/>
        <w:spacing w:line="360" w:lineRule="auto"/>
        <w:jc w:val="both"/>
        <w:rPr>
          <w:rFonts w:hAnsi="宋体"/>
          <w:color w:val="auto"/>
          <w:sz w:val="21"/>
          <w:szCs w:val="21"/>
        </w:rPr>
      </w:pPr>
    </w:p>
    <w:p w14:paraId="48E7D54C">
      <w:pPr>
        <w:pStyle w:val="39"/>
        <w:spacing w:line="360" w:lineRule="auto"/>
        <w:jc w:val="both"/>
        <w:rPr>
          <w:rFonts w:hAnsi="宋体"/>
          <w:color w:val="auto"/>
          <w:sz w:val="21"/>
          <w:szCs w:val="21"/>
        </w:rPr>
      </w:pPr>
    </w:p>
    <w:p w14:paraId="4A61C426">
      <w:pPr>
        <w:pStyle w:val="39"/>
        <w:spacing w:line="360" w:lineRule="auto"/>
        <w:jc w:val="both"/>
        <w:rPr>
          <w:rFonts w:hAnsi="宋体"/>
          <w:color w:val="auto"/>
          <w:sz w:val="21"/>
          <w:szCs w:val="21"/>
        </w:rPr>
      </w:pPr>
    </w:p>
    <w:p w14:paraId="059CA128">
      <w:pPr>
        <w:pStyle w:val="39"/>
        <w:spacing w:line="360" w:lineRule="auto"/>
        <w:jc w:val="both"/>
        <w:rPr>
          <w:color w:val="auto"/>
          <w:sz w:val="21"/>
          <w:szCs w:val="21"/>
        </w:rPr>
      </w:pPr>
    </w:p>
    <w:sectPr>
      <w:footerReference r:id="rId4"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JEHOPL+TimesNewRomanPS">
    <w:altName w:val="宋体"/>
    <w:panose1 w:val="00000000000000000000"/>
    <w:charset w:val="86"/>
    <w:family w:val="roma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Helvetica">
    <w:altName w:val="Arial"/>
    <w:panose1 w:val="020B0604020202020204"/>
    <w:charset w:val="00"/>
    <w:family w:val="swiss"/>
    <w:pitch w:val="default"/>
    <w:sig w:usb0="00000000" w:usb1="00000000" w:usb2="00000000" w:usb3="00000000" w:csb0="0000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华文宋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C2751">
    <w:pPr>
      <w:pStyle w:val="13"/>
      <w:jc w:val="center"/>
    </w:pPr>
  </w:p>
  <w:p w14:paraId="59BC947E">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4240255"/>
    </w:sdtPr>
    <w:sdtContent>
      <w:p w14:paraId="32273F3E">
        <w:pPr>
          <w:pStyle w:val="13"/>
          <w:jc w:val="center"/>
        </w:pPr>
        <w:r>
          <w:fldChar w:fldCharType="begin"/>
        </w:r>
        <w:r>
          <w:instrText xml:space="preserve">PAGE   \* MERGEFORMAT</w:instrText>
        </w:r>
        <w:r>
          <w:fldChar w:fldCharType="separate"/>
        </w:r>
        <w:r>
          <w:rPr>
            <w:lang w:val="zh-CN"/>
          </w:rPr>
          <w:t>-</w:t>
        </w:r>
        <w:r>
          <w:t xml:space="preserve"> 1 -</w:t>
        </w:r>
        <w:r>
          <w:fldChar w:fldCharType="end"/>
        </w:r>
      </w:p>
    </w:sdtContent>
  </w:sdt>
  <w:p w14:paraId="70F1F7DF">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57EC98"/>
    <w:multiLevelType w:val="singleLevel"/>
    <w:tmpl w:val="8557EC98"/>
    <w:lvl w:ilvl="0" w:tentative="0">
      <w:start w:val="2"/>
      <w:numFmt w:val="chineseCounting"/>
      <w:suff w:val="space"/>
      <w:lvlText w:val="第%1章"/>
      <w:lvlJc w:val="left"/>
      <w:rPr>
        <w:rFonts w:hint="eastAsia"/>
      </w:rPr>
    </w:lvl>
  </w:abstractNum>
  <w:abstractNum w:abstractNumId="1">
    <w:nsid w:val="A070FF2D"/>
    <w:multiLevelType w:val="singleLevel"/>
    <w:tmpl w:val="A070FF2D"/>
    <w:lvl w:ilvl="0" w:tentative="0">
      <w:start w:val="3"/>
      <w:numFmt w:val="chineseCounting"/>
      <w:suff w:val="space"/>
      <w:lvlText w:val="第%1章"/>
      <w:lvlJc w:val="left"/>
      <w:rPr>
        <w:rFonts w:hint="eastAsia"/>
      </w:rPr>
    </w:lvl>
  </w:abstractNum>
  <w:abstractNum w:abstractNumId="2">
    <w:nsid w:val="A0B2F24A"/>
    <w:multiLevelType w:val="singleLevel"/>
    <w:tmpl w:val="A0B2F24A"/>
    <w:lvl w:ilvl="0" w:tentative="0">
      <w:start w:val="1"/>
      <w:numFmt w:val="decimal"/>
      <w:lvlText w:val="%1."/>
      <w:lvlJc w:val="left"/>
      <w:pPr>
        <w:ind w:left="425" w:hanging="425"/>
      </w:pPr>
      <w:rPr>
        <w:rFonts w:hint="default"/>
      </w:rPr>
    </w:lvl>
  </w:abstractNum>
  <w:abstractNum w:abstractNumId="3">
    <w:nsid w:val="C8358C48"/>
    <w:multiLevelType w:val="singleLevel"/>
    <w:tmpl w:val="C8358C48"/>
    <w:lvl w:ilvl="0" w:tentative="0">
      <w:start w:val="11"/>
      <w:numFmt w:val="chineseCounting"/>
      <w:suff w:val="nothing"/>
      <w:lvlText w:val="%1、"/>
      <w:lvlJc w:val="left"/>
      <w:pPr>
        <w:ind w:left="420" w:firstLine="0"/>
      </w:pPr>
      <w:rPr>
        <w:rFonts w:hint="eastAsia"/>
      </w:rPr>
    </w:lvl>
  </w:abstractNum>
  <w:abstractNum w:abstractNumId="4">
    <w:nsid w:val="FAA05820"/>
    <w:multiLevelType w:val="multilevel"/>
    <w:tmpl w:val="FAA05820"/>
    <w:lvl w:ilvl="0" w:tentative="0">
      <w:start w:val="1"/>
      <w:numFmt w:val="decimal"/>
      <w:lvlText w:val="%1"/>
      <w:lvlJc w:val="left"/>
      <w:pPr>
        <w:ind w:left="420" w:hanging="420"/>
      </w:pPr>
      <w:rPr>
        <w:rFonts w:hint="eastAsia"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83F5C9B"/>
    <w:multiLevelType w:val="singleLevel"/>
    <w:tmpl w:val="083F5C9B"/>
    <w:lvl w:ilvl="0" w:tentative="0">
      <w:start w:val="1"/>
      <w:numFmt w:val="decimal"/>
      <w:lvlText w:val="%1."/>
      <w:lvlJc w:val="left"/>
      <w:pPr>
        <w:ind w:left="425" w:hanging="425"/>
      </w:pPr>
      <w:rPr>
        <w:rFonts w:hint="default"/>
      </w:rPr>
    </w:lvl>
  </w:abstractNum>
  <w:abstractNum w:abstractNumId="6">
    <w:nsid w:val="0C362FFE"/>
    <w:multiLevelType w:val="singleLevel"/>
    <w:tmpl w:val="0C362FFE"/>
    <w:lvl w:ilvl="0" w:tentative="0">
      <w:start w:val="1"/>
      <w:numFmt w:val="decimal"/>
      <w:lvlText w:val="%1."/>
      <w:lvlJc w:val="left"/>
      <w:pPr>
        <w:ind w:left="425" w:hanging="425"/>
      </w:pPr>
      <w:rPr>
        <w:rFonts w:hint="default"/>
      </w:rPr>
    </w:lvl>
  </w:abstractNum>
  <w:abstractNum w:abstractNumId="7">
    <w:nsid w:val="10BF2759"/>
    <w:multiLevelType w:val="multilevel"/>
    <w:tmpl w:val="10BF2759"/>
    <w:lvl w:ilvl="0" w:tentative="0">
      <w:start w:val="1"/>
      <w:numFmt w:val="decimal"/>
      <w:lvlText w:val="（%1）"/>
      <w:lvlJc w:val="left"/>
      <w:pPr>
        <w:ind w:left="420" w:hanging="420"/>
      </w:pPr>
      <w:rPr>
        <w:rFonts w:hint="eastAsia"/>
        <w:sz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1D2660D"/>
    <w:multiLevelType w:val="singleLevel"/>
    <w:tmpl w:val="21D2660D"/>
    <w:lvl w:ilvl="0" w:tentative="0">
      <w:start w:val="1"/>
      <w:numFmt w:val="decimal"/>
      <w:lvlText w:val="(%1)"/>
      <w:lvlJc w:val="left"/>
      <w:pPr>
        <w:ind w:left="425" w:hanging="425"/>
      </w:pPr>
      <w:rPr>
        <w:rFonts w:hint="default"/>
      </w:rPr>
    </w:lvl>
  </w:abstractNum>
  <w:abstractNum w:abstractNumId="9">
    <w:nsid w:val="254DB84F"/>
    <w:multiLevelType w:val="singleLevel"/>
    <w:tmpl w:val="254DB84F"/>
    <w:lvl w:ilvl="0" w:tentative="0">
      <w:start w:val="1"/>
      <w:numFmt w:val="decimal"/>
      <w:lvlText w:val="%1."/>
      <w:lvlJc w:val="left"/>
      <w:pPr>
        <w:ind w:left="425" w:hanging="425"/>
      </w:pPr>
      <w:rPr>
        <w:rFonts w:hint="default"/>
      </w:rPr>
    </w:lvl>
  </w:abstractNum>
  <w:abstractNum w:abstractNumId="10">
    <w:nsid w:val="2C130A52"/>
    <w:multiLevelType w:val="multilevel"/>
    <w:tmpl w:val="2C130A52"/>
    <w:lvl w:ilvl="0" w:tentative="0">
      <w:start w:val="1"/>
      <w:numFmt w:val="chineseCountingThousand"/>
      <w:lvlText w:val="(%1)"/>
      <w:lvlJc w:val="left"/>
      <w:pPr>
        <w:ind w:left="420" w:hanging="420"/>
      </w:p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6B2526DC"/>
    <w:multiLevelType w:val="multilevel"/>
    <w:tmpl w:val="6B2526DC"/>
    <w:lvl w:ilvl="0" w:tentative="0">
      <w:start w:val="1"/>
      <w:numFmt w:val="decimal"/>
      <w:lvlText w:val="（%1）"/>
      <w:lvlJc w:val="left"/>
      <w:pPr>
        <w:ind w:left="420" w:hanging="420"/>
      </w:pPr>
      <w:rPr>
        <w:rFonts w:hint="eastAsia"/>
        <w:sz w:val="24"/>
      </w:rPr>
    </w:lvl>
    <w:lvl w:ilvl="1" w:tentative="0">
      <w:start w:val="1"/>
      <w:numFmt w:val="decimal"/>
      <w:lvlText w:val="(%2)"/>
      <w:lvlJc w:val="left"/>
      <w:pPr>
        <w:ind w:left="1545" w:hanging="1125"/>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6ED070F4"/>
    <w:multiLevelType w:val="multilevel"/>
    <w:tmpl w:val="6ED070F4"/>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746F1DD8"/>
    <w:multiLevelType w:val="multilevel"/>
    <w:tmpl w:val="746F1DD8"/>
    <w:lvl w:ilvl="0" w:tentative="0">
      <w:start w:val="1"/>
      <w:numFmt w:val="chineseCountingThousand"/>
      <w:lvlText w:val="(%1)"/>
      <w:lvlJc w:val="left"/>
      <w:pPr>
        <w:ind w:left="420" w:hanging="420"/>
      </w:p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2"/>
  </w:num>
  <w:num w:numId="3">
    <w:abstractNumId w:val="13"/>
  </w:num>
  <w:num w:numId="4">
    <w:abstractNumId w:val="4"/>
  </w:num>
  <w:num w:numId="5">
    <w:abstractNumId w:val="10"/>
  </w:num>
  <w:num w:numId="6">
    <w:abstractNumId w:val="5"/>
  </w:num>
  <w:num w:numId="7">
    <w:abstractNumId w:val="2"/>
  </w:num>
  <w:num w:numId="8">
    <w:abstractNumId w:val="6"/>
  </w:num>
  <w:num w:numId="9">
    <w:abstractNumId w:val="9"/>
  </w:num>
  <w:num w:numId="10">
    <w:abstractNumId w:val="8"/>
  </w:num>
  <w:num w:numId="11">
    <w:abstractNumId w:val="1"/>
  </w:num>
  <w:num w:numId="12">
    <w:abstractNumId w:val="11"/>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RmNzlmNjMxNmM3ZWZkYmQ3ODBhZGE0N2M5NzFmMWEifQ=="/>
  </w:docVars>
  <w:rsids>
    <w:rsidRoot w:val="00C05BD5"/>
    <w:rsid w:val="00000318"/>
    <w:rsid w:val="00000CCC"/>
    <w:rsid w:val="00002EB5"/>
    <w:rsid w:val="00003653"/>
    <w:rsid w:val="00004888"/>
    <w:rsid w:val="00006F2E"/>
    <w:rsid w:val="00007354"/>
    <w:rsid w:val="0001522E"/>
    <w:rsid w:val="0001525E"/>
    <w:rsid w:val="00015FCC"/>
    <w:rsid w:val="00017807"/>
    <w:rsid w:val="00017E52"/>
    <w:rsid w:val="00020BA1"/>
    <w:rsid w:val="00023C6A"/>
    <w:rsid w:val="00023F2D"/>
    <w:rsid w:val="0002520A"/>
    <w:rsid w:val="00025279"/>
    <w:rsid w:val="00026100"/>
    <w:rsid w:val="00026E97"/>
    <w:rsid w:val="00027E1D"/>
    <w:rsid w:val="000312B3"/>
    <w:rsid w:val="00031E9C"/>
    <w:rsid w:val="00032962"/>
    <w:rsid w:val="00033ACD"/>
    <w:rsid w:val="00034086"/>
    <w:rsid w:val="0003497A"/>
    <w:rsid w:val="00034A50"/>
    <w:rsid w:val="000361C9"/>
    <w:rsid w:val="000370B9"/>
    <w:rsid w:val="000419BF"/>
    <w:rsid w:val="000422C7"/>
    <w:rsid w:val="000461FD"/>
    <w:rsid w:val="000464C0"/>
    <w:rsid w:val="000500D2"/>
    <w:rsid w:val="000534FF"/>
    <w:rsid w:val="0005585E"/>
    <w:rsid w:val="00055F0B"/>
    <w:rsid w:val="000565A1"/>
    <w:rsid w:val="00056DF4"/>
    <w:rsid w:val="000607E0"/>
    <w:rsid w:val="00060EE1"/>
    <w:rsid w:val="00061CA5"/>
    <w:rsid w:val="00061D71"/>
    <w:rsid w:val="00062499"/>
    <w:rsid w:val="00063A49"/>
    <w:rsid w:val="0006462A"/>
    <w:rsid w:val="000656C3"/>
    <w:rsid w:val="00065C48"/>
    <w:rsid w:val="0006609A"/>
    <w:rsid w:val="0006653E"/>
    <w:rsid w:val="0007499E"/>
    <w:rsid w:val="00074B01"/>
    <w:rsid w:val="00075657"/>
    <w:rsid w:val="00076012"/>
    <w:rsid w:val="00076D1B"/>
    <w:rsid w:val="00080F91"/>
    <w:rsid w:val="00081E36"/>
    <w:rsid w:val="000834F7"/>
    <w:rsid w:val="00085FBE"/>
    <w:rsid w:val="0008634C"/>
    <w:rsid w:val="000870AF"/>
    <w:rsid w:val="00090BA3"/>
    <w:rsid w:val="000926FA"/>
    <w:rsid w:val="000954B6"/>
    <w:rsid w:val="000A0BC0"/>
    <w:rsid w:val="000A0ED1"/>
    <w:rsid w:val="000A10E3"/>
    <w:rsid w:val="000A1AC7"/>
    <w:rsid w:val="000A1EFD"/>
    <w:rsid w:val="000B0F9C"/>
    <w:rsid w:val="000B1C48"/>
    <w:rsid w:val="000B4516"/>
    <w:rsid w:val="000B529E"/>
    <w:rsid w:val="000B6E39"/>
    <w:rsid w:val="000C018D"/>
    <w:rsid w:val="000C049D"/>
    <w:rsid w:val="000C06BC"/>
    <w:rsid w:val="000C1A40"/>
    <w:rsid w:val="000C3355"/>
    <w:rsid w:val="000D1899"/>
    <w:rsid w:val="000D395A"/>
    <w:rsid w:val="000D4078"/>
    <w:rsid w:val="000D56B2"/>
    <w:rsid w:val="000D7E28"/>
    <w:rsid w:val="000E1C37"/>
    <w:rsid w:val="000E208C"/>
    <w:rsid w:val="000E38A0"/>
    <w:rsid w:val="000E7E40"/>
    <w:rsid w:val="000F0931"/>
    <w:rsid w:val="000F6D42"/>
    <w:rsid w:val="000F713C"/>
    <w:rsid w:val="000F7B1D"/>
    <w:rsid w:val="001006FF"/>
    <w:rsid w:val="00100DA6"/>
    <w:rsid w:val="00101D20"/>
    <w:rsid w:val="00103A55"/>
    <w:rsid w:val="0010578A"/>
    <w:rsid w:val="001059CE"/>
    <w:rsid w:val="00105D50"/>
    <w:rsid w:val="00105DB9"/>
    <w:rsid w:val="001064EA"/>
    <w:rsid w:val="00106CF2"/>
    <w:rsid w:val="00110410"/>
    <w:rsid w:val="00114084"/>
    <w:rsid w:val="0012134D"/>
    <w:rsid w:val="00123455"/>
    <w:rsid w:val="00123DF8"/>
    <w:rsid w:val="00124F73"/>
    <w:rsid w:val="00126001"/>
    <w:rsid w:val="00127094"/>
    <w:rsid w:val="00131401"/>
    <w:rsid w:val="00131529"/>
    <w:rsid w:val="00131CAB"/>
    <w:rsid w:val="00132B4E"/>
    <w:rsid w:val="00133532"/>
    <w:rsid w:val="00134B45"/>
    <w:rsid w:val="0013597E"/>
    <w:rsid w:val="00135B98"/>
    <w:rsid w:val="00140BCC"/>
    <w:rsid w:val="0014305A"/>
    <w:rsid w:val="0014396A"/>
    <w:rsid w:val="0014434D"/>
    <w:rsid w:val="00145699"/>
    <w:rsid w:val="001474B3"/>
    <w:rsid w:val="00147569"/>
    <w:rsid w:val="001517EA"/>
    <w:rsid w:val="00153429"/>
    <w:rsid w:val="001536BF"/>
    <w:rsid w:val="0015442D"/>
    <w:rsid w:val="00154DCD"/>
    <w:rsid w:val="00154E5F"/>
    <w:rsid w:val="0015603A"/>
    <w:rsid w:val="00161D83"/>
    <w:rsid w:val="00162EE5"/>
    <w:rsid w:val="0016655B"/>
    <w:rsid w:val="00166956"/>
    <w:rsid w:val="00166A6E"/>
    <w:rsid w:val="001735B8"/>
    <w:rsid w:val="00173BC2"/>
    <w:rsid w:val="00174E00"/>
    <w:rsid w:val="00175E54"/>
    <w:rsid w:val="00183DA2"/>
    <w:rsid w:val="00183F71"/>
    <w:rsid w:val="00184286"/>
    <w:rsid w:val="00186063"/>
    <w:rsid w:val="00186AB7"/>
    <w:rsid w:val="00187B4E"/>
    <w:rsid w:val="00190293"/>
    <w:rsid w:val="001915BC"/>
    <w:rsid w:val="00192CB0"/>
    <w:rsid w:val="001945F2"/>
    <w:rsid w:val="0019462E"/>
    <w:rsid w:val="0019533B"/>
    <w:rsid w:val="00196428"/>
    <w:rsid w:val="001A0877"/>
    <w:rsid w:val="001A16DC"/>
    <w:rsid w:val="001A42FB"/>
    <w:rsid w:val="001A477F"/>
    <w:rsid w:val="001A4A98"/>
    <w:rsid w:val="001A6847"/>
    <w:rsid w:val="001B020B"/>
    <w:rsid w:val="001B1935"/>
    <w:rsid w:val="001B474C"/>
    <w:rsid w:val="001B7C87"/>
    <w:rsid w:val="001B7E63"/>
    <w:rsid w:val="001C0D02"/>
    <w:rsid w:val="001C12A0"/>
    <w:rsid w:val="001C31F8"/>
    <w:rsid w:val="001C35E1"/>
    <w:rsid w:val="001C3F3C"/>
    <w:rsid w:val="001C42CB"/>
    <w:rsid w:val="001C5345"/>
    <w:rsid w:val="001C7BC9"/>
    <w:rsid w:val="001C7E5A"/>
    <w:rsid w:val="001D024D"/>
    <w:rsid w:val="001D0253"/>
    <w:rsid w:val="001D0281"/>
    <w:rsid w:val="001D4713"/>
    <w:rsid w:val="001D69AF"/>
    <w:rsid w:val="001E199E"/>
    <w:rsid w:val="001E1EA5"/>
    <w:rsid w:val="001E27E2"/>
    <w:rsid w:val="001E2BBF"/>
    <w:rsid w:val="001E3A60"/>
    <w:rsid w:val="001E6631"/>
    <w:rsid w:val="001E6FF1"/>
    <w:rsid w:val="001E751E"/>
    <w:rsid w:val="001F114C"/>
    <w:rsid w:val="001F29C1"/>
    <w:rsid w:val="001F3001"/>
    <w:rsid w:val="001F508A"/>
    <w:rsid w:val="001F5425"/>
    <w:rsid w:val="002039C7"/>
    <w:rsid w:val="00203BC2"/>
    <w:rsid w:val="00204BA6"/>
    <w:rsid w:val="002079BA"/>
    <w:rsid w:val="00210814"/>
    <w:rsid w:val="00210CA0"/>
    <w:rsid w:val="00210D41"/>
    <w:rsid w:val="002121F4"/>
    <w:rsid w:val="002137B4"/>
    <w:rsid w:val="00215232"/>
    <w:rsid w:val="002159DD"/>
    <w:rsid w:val="00216639"/>
    <w:rsid w:val="0022248C"/>
    <w:rsid w:val="00223DA7"/>
    <w:rsid w:val="00227614"/>
    <w:rsid w:val="00227A2E"/>
    <w:rsid w:val="00230397"/>
    <w:rsid w:val="002303F9"/>
    <w:rsid w:val="0023247F"/>
    <w:rsid w:val="002335CF"/>
    <w:rsid w:val="00233E82"/>
    <w:rsid w:val="00235D10"/>
    <w:rsid w:val="0023627E"/>
    <w:rsid w:val="00236D7A"/>
    <w:rsid w:val="00240590"/>
    <w:rsid w:val="002451DA"/>
    <w:rsid w:val="002473D8"/>
    <w:rsid w:val="0025044E"/>
    <w:rsid w:val="00250DC4"/>
    <w:rsid w:val="00251A93"/>
    <w:rsid w:val="00253AEF"/>
    <w:rsid w:val="00254044"/>
    <w:rsid w:val="00256F68"/>
    <w:rsid w:val="002605AA"/>
    <w:rsid w:val="00260CAE"/>
    <w:rsid w:val="00261D2D"/>
    <w:rsid w:val="00261E37"/>
    <w:rsid w:val="002660AC"/>
    <w:rsid w:val="00266D7D"/>
    <w:rsid w:val="00270CFC"/>
    <w:rsid w:val="002715BD"/>
    <w:rsid w:val="0027398A"/>
    <w:rsid w:val="002741C1"/>
    <w:rsid w:val="0027459D"/>
    <w:rsid w:val="0027512F"/>
    <w:rsid w:val="00275B22"/>
    <w:rsid w:val="00280B0F"/>
    <w:rsid w:val="002816F4"/>
    <w:rsid w:val="00283270"/>
    <w:rsid w:val="00283678"/>
    <w:rsid w:val="00283F6F"/>
    <w:rsid w:val="00284F72"/>
    <w:rsid w:val="002852F6"/>
    <w:rsid w:val="0028743B"/>
    <w:rsid w:val="00290C56"/>
    <w:rsid w:val="0029260D"/>
    <w:rsid w:val="00292844"/>
    <w:rsid w:val="00292D2D"/>
    <w:rsid w:val="00294D9E"/>
    <w:rsid w:val="002959EA"/>
    <w:rsid w:val="00295D7D"/>
    <w:rsid w:val="0029677A"/>
    <w:rsid w:val="002A0995"/>
    <w:rsid w:val="002A2FAF"/>
    <w:rsid w:val="002A5000"/>
    <w:rsid w:val="002A5FE0"/>
    <w:rsid w:val="002B1BFA"/>
    <w:rsid w:val="002B1FE4"/>
    <w:rsid w:val="002B248A"/>
    <w:rsid w:val="002B249F"/>
    <w:rsid w:val="002B2C51"/>
    <w:rsid w:val="002B2EF7"/>
    <w:rsid w:val="002B3FBF"/>
    <w:rsid w:val="002B456B"/>
    <w:rsid w:val="002B4D82"/>
    <w:rsid w:val="002B5A45"/>
    <w:rsid w:val="002B5DDE"/>
    <w:rsid w:val="002C1CEE"/>
    <w:rsid w:val="002C221F"/>
    <w:rsid w:val="002C36ED"/>
    <w:rsid w:val="002C4F1F"/>
    <w:rsid w:val="002C5036"/>
    <w:rsid w:val="002C5A76"/>
    <w:rsid w:val="002C6BF4"/>
    <w:rsid w:val="002D08D8"/>
    <w:rsid w:val="002D2EFA"/>
    <w:rsid w:val="002D3A67"/>
    <w:rsid w:val="002D4531"/>
    <w:rsid w:val="002D4E15"/>
    <w:rsid w:val="002D502E"/>
    <w:rsid w:val="002E074C"/>
    <w:rsid w:val="002E1AEE"/>
    <w:rsid w:val="002E2175"/>
    <w:rsid w:val="002E44E1"/>
    <w:rsid w:val="002E49B0"/>
    <w:rsid w:val="002E5595"/>
    <w:rsid w:val="002E6671"/>
    <w:rsid w:val="002F06B6"/>
    <w:rsid w:val="002F0D5E"/>
    <w:rsid w:val="002F1869"/>
    <w:rsid w:val="002F3963"/>
    <w:rsid w:val="002F39BB"/>
    <w:rsid w:val="00300E88"/>
    <w:rsid w:val="00301363"/>
    <w:rsid w:val="00301D4C"/>
    <w:rsid w:val="00303338"/>
    <w:rsid w:val="003039F8"/>
    <w:rsid w:val="0030639B"/>
    <w:rsid w:val="003071C0"/>
    <w:rsid w:val="00310097"/>
    <w:rsid w:val="00312092"/>
    <w:rsid w:val="00313D70"/>
    <w:rsid w:val="0031425E"/>
    <w:rsid w:val="0031616D"/>
    <w:rsid w:val="00316A3F"/>
    <w:rsid w:val="00321F0D"/>
    <w:rsid w:val="00322244"/>
    <w:rsid w:val="00323833"/>
    <w:rsid w:val="0032408B"/>
    <w:rsid w:val="003240B6"/>
    <w:rsid w:val="003261B2"/>
    <w:rsid w:val="003276DD"/>
    <w:rsid w:val="00327792"/>
    <w:rsid w:val="00327EF1"/>
    <w:rsid w:val="00332286"/>
    <w:rsid w:val="00332591"/>
    <w:rsid w:val="003335F3"/>
    <w:rsid w:val="0033521E"/>
    <w:rsid w:val="0033537A"/>
    <w:rsid w:val="00337AA5"/>
    <w:rsid w:val="00340847"/>
    <w:rsid w:val="0034194B"/>
    <w:rsid w:val="00341B85"/>
    <w:rsid w:val="003427D3"/>
    <w:rsid w:val="00342D39"/>
    <w:rsid w:val="0034341A"/>
    <w:rsid w:val="00343664"/>
    <w:rsid w:val="003444D5"/>
    <w:rsid w:val="00344A14"/>
    <w:rsid w:val="00344E2F"/>
    <w:rsid w:val="003453CF"/>
    <w:rsid w:val="003457E2"/>
    <w:rsid w:val="00345E72"/>
    <w:rsid w:val="0035118A"/>
    <w:rsid w:val="003555BC"/>
    <w:rsid w:val="00355937"/>
    <w:rsid w:val="00355E55"/>
    <w:rsid w:val="00357A76"/>
    <w:rsid w:val="0036023C"/>
    <w:rsid w:val="00360497"/>
    <w:rsid w:val="0036139C"/>
    <w:rsid w:val="00361845"/>
    <w:rsid w:val="003631E3"/>
    <w:rsid w:val="003634AD"/>
    <w:rsid w:val="003658A4"/>
    <w:rsid w:val="003712BE"/>
    <w:rsid w:val="003713FE"/>
    <w:rsid w:val="00371F65"/>
    <w:rsid w:val="00373E6C"/>
    <w:rsid w:val="0037405D"/>
    <w:rsid w:val="00374EE1"/>
    <w:rsid w:val="003753EF"/>
    <w:rsid w:val="003758CE"/>
    <w:rsid w:val="00375E40"/>
    <w:rsid w:val="00376F9D"/>
    <w:rsid w:val="003817C6"/>
    <w:rsid w:val="003822CC"/>
    <w:rsid w:val="00387240"/>
    <w:rsid w:val="00392861"/>
    <w:rsid w:val="00393BB8"/>
    <w:rsid w:val="00395635"/>
    <w:rsid w:val="00395820"/>
    <w:rsid w:val="003A15EB"/>
    <w:rsid w:val="003A186C"/>
    <w:rsid w:val="003A3F57"/>
    <w:rsid w:val="003B08E0"/>
    <w:rsid w:val="003B0CA1"/>
    <w:rsid w:val="003B2618"/>
    <w:rsid w:val="003B2725"/>
    <w:rsid w:val="003B36A9"/>
    <w:rsid w:val="003B3A42"/>
    <w:rsid w:val="003B40F4"/>
    <w:rsid w:val="003B4FFD"/>
    <w:rsid w:val="003B53D3"/>
    <w:rsid w:val="003C0106"/>
    <w:rsid w:val="003C17CF"/>
    <w:rsid w:val="003C1F8E"/>
    <w:rsid w:val="003C3A1D"/>
    <w:rsid w:val="003C6BEC"/>
    <w:rsid w:val="003C6C2A"/>
    <w:rsid w:val="003D0D92"/>
    <w:rsid w:val="003D212F"/>
    <w:rsid w:val="003D2907"/>
    <w:rsid w:val="003D329D"/>
    <w:rsid w:val="003D3C26"/>
    <w:rsid w:val="003D3F36"/>
    <w:rsid w:val="003D4E3D"/>
    <w:rsid w:val="003D4ED4"/>
    <w:rsid w:val="003D584A"/>
    <w:rsid w:val="003D6E53"/>
    <w:rsid w:val="003D6E63"/>
    <w:rsid w:val="003E1649"/>
    <w:rsid w:val="003E21E1"/>
    <w:rsid w:val="003E26E3"/>
    <w:rsid w:val="003E2C1F"/>
    <w:rsid w:val="003E2CA9"/>
    <w:rsid w:val="003E3ABC"/>
    <w:rsid w:val="003E6B8B"/>
    <w:rsid w:val="003E7BAF"/>
    <w:rsid w:val="003F1786"/>
    <w:rsid w:val="003F1CA5"/>
    <w:rsid w:val="003F337E"/>
    <w:rsid w:val="003F4BF9"/>
    <w:rsid w:val="003F6398"/>
    <w:rsid w:val="003F7492"/>
    <w:rsid w:val="003F77C2"/>
    <w:rsid w:val="003F7D2D"/>
    <w:rsid w:val="00400A17"/>
    <w:rsid w:val="00400B49"/>
    <w:rsid w:val="00401435"/>
    <w:rsid w:val="00401D19"/>
    <w:rsid w:val="004024CF"/>
    <w:rsid w:val="00404B4A"/>
    <w:rsid w:val="00404DB8"/>
    <w:rsid w:val="00405D6B"/>
    <w:rsid w:val="004063CA"/>
    <w:rsid w:val="00407E99"/>
    <w:rsid w:val="00410B9F"/>
    <w:rsid w:val="00410CD3"/>
    <w:rsid w:val="00411797"/>
    <w:rsid w:val="00413AD2"/>
    <w:rsid w:val="004148F0"/>
    <w:rsid w:val="00416E7B"/>
    <w:rsid w:val="004170DB"/>
    <w:rsid w:val="00420607"/>
    <w:rsid w:val="00421C6C"/>
    <w:rsid w:val="00421DD3"/>
    <w:rsid w:val="00421E32"/>
    <w:rsid w:val="00422650"/>
    <w:rsid w:val="00423882"/>
    <w:rsid w:val="00423CDD"/>
    <w:rsid w:val="004251BF"/>
    <w:rsid w:val="00425B7A"/>
    <w:rsid w:val="00426879"/>
    <w:rsid w:val="00430773"/>
    <w:rsid w:val="00430C45"/>
    <w:rsid w:val="00441231"/>
    <w:rsid w:val="00441C98"/>
    <w:rsid w:val="0044273D"/>
    <w:rsid w:val="00445425"/>
    <w:rsid w:val="004462F0"/>
    <w:rsid w:val="00446E5E"/>
    <w:rsid w:val="00447025"/>
    <w:rsid w:val="0044770D"/>
    <w:rsid w:val="00447EBC"/>
    <w:rsid w:val="004501F8"/>
    <w:rsid w:val="00451BC5"/>
    <w:rsid w:val="004525FE"/>
    <w:rsid w:val="00454CAF"/>
    <w:rsid w:val="00455889"/>
    <w:rsid w:val="004565AC"/>
    <w:rsid w:val="0045663F"/>
    <w:rsid w:val="00456972"/>
    <w:rsid w:val="004572E1"/>
    <w:rsid w:val="00457E81"/>
    <w:rsid w:val="00461F36"/>
    <w:rsid w:val="004626AF"/>
    <w:rsid w:val="00463455"/>
    <w:rsid w:val="00465388"/>
    <w:rsid w:val="00465D71"/>
    <w:rsid w:val="00467A4A"/>
    <w:rsid w:val="004713D9"/>
    <w:rsid w:val="00471495"/>
    <w:rsid w:val="004729B4"/>
    <w:rsid w:val="00472D7E"/>
    <w:rsid w:val="0047417B"/>
    <w:rsid w:val="004763AB"/>
    <w:rsid w:val="00476EA0"/>
    <w:rsid w:val="00477D4B"/>
    <w:rsid w:val="00480383"/>
    <w:rsid w:val="0048104D"/>
    <w:rsid w:val="00481F9D"/>
    <w:rsid w:val="00484490"/>
    <w:rsid w:val="00485497"/>
    <w:rsid w:val="00487196"/>
    <w:rsid w:val="004876C5"/>
    <w:rsid w:val="00490544"/>
    <w:rsid w:val="00490618"/>
    <w:rsid w:val="0049098D"/>
    <w:rsid w:val="00490F4B"/>
    <w:rsid w:val="00490FAA"/>
    <w:rsid w:val="004931C6"/>
    <w:rsid w:val="004948E4"/>
    <w:rsid w:val="004954AE"/>
    <w:rsid w:val="00495EF5"/>
    <w:rsid w:val="00496215"/>
    <w:rsid w:val="004973B6"/>
    <w:rsid w:val="004A0A37"/>
    <w:rsid w:val="004A28A8"/>
    <w:rsid w:val="004A3FA5"/>
    <w:rsid w:val="004A57E5"/>
    <w:rsid w:val="004A7452"/>
    <w:rsid w:val="004A7990"/>
    <w:rsid w:val="004B052D"/>
    <w:rsid w:val="004B5C46"/>
    <w:rsid w:val="004B71F0"/>
    <w:rsid w:val="004C01BA"/>
    <w:rsid w:val="004C0B67"/>
    <w:rsid w:val="004C2E6D"/>
    <w:rsid w:val="004C49E5"/>
    <w:rsid w:val="004C4E08"/>
    <w:rsid w:val="004C620C"/>
    <w:rsid w:val="004C6D01"/>
    <w:rsid w:val="004C6F81"/>
    <w:rsid w:val="004C736B"/>
    <w:rsid w:val="004C7418"/>
    <w:rsid w:val="004D0FA0"/>
    <w:rsid w:val="004D1A50"/>
    <w:rsid w:val="004D1D7D"/>
    <w:rsid w:val="004D1FC9"/>
    <w:rsid w:val="004E1CD3"/>
    <w:rsid w:val="004E2603"/>
    <w:rsid w:val="004E2CCB"/>
    <w:rsid w:val="004E30A9"/>
    <w:rsid w:val="004E3489"/>
    <w:rsid w:val="004E35B2"/>
    <w:rsid w:val="004E7B50"/>
    <w:rsid w:val="004F0C2C"/>
    <w:rsid w:val="004F26A2"/>
    <w:rsid w:val="004F2A5D"/>
    <w:rsid w:val="004F4177"/>
    <w:rsid w:val="004F4BDF"/>
    <w:rsid w:val="00501054"/>
    <w:rsid w:val="005018D3"/>
    <w:rsid w:val="005044B8"/>
    <w:rsid w:val="0050472F"/>
    <w:rsid w:val="00504A0F"/>
    <w:rsid w:val="00506350"/>
    <w:rsid w:val="0050702D"/>
    <w:rsid w:val="00511813"/>
    <w:rsid w:val="00513559"/>
    <w:rsid w:val="005137AA"/>
    <w:rsid w:val="00515813"/>
    <w:rsid w:val="00517AE9"/>
    <w:rsid w:val="00520674"/>
    <w:rsid w:val="00522388"/>
    <w:rsid w:val="00522BAA"/>
    <w:rsid w:val="00524F4E"/>
    <w:rsid w:val="00525DDB"/>
    <w:rsid w:val="00525E90"/>
    <w:rsid w:val="005261CC"/>
    <w:rsid w:val="005263D0"/>
    <w:rsid w:val="005267AF"/>
    <w:rsid w:val="00531057"/>
    <w:rsid w:val="00531368"/>
    <w:rsid w:val="00532FD8"/>
    <w:rsid w:val="005338FD"/>
    <w:rsid w:val="005372BA"/>
    <w:rsid w:val="005377C3"/>
    <w:rsid w:val="0054030E"/>
    <w:rsid w:val="00543A95"/>
    <w:rsid w:val="00544315"/>
    <w:rsid w:val="0054509B"/>
    <w:rsid w:val="005453ED"/>
    <w:rsid w:val="0054577A"/>
    <w:rsid w:val="005460C1"/>
    <w:rsid w:val="0054647C"/>
    <w:rsid w:val="0055011C"/>
    <w:rsid w:val="005505D0"/>
    <w:rsid w:val="00550E7F"/>
    <w:rsid w:val="0055179B"/>
    <w:rsid w:val="00553EE5"/>
    <w:rsid w:val="0055519B"/>
    <w:rsid w:val="0055542A"/>
    <w:rsid w:val="005557DD"/>
    <w:rsid w:val="00556665"/>
    <w:rsid w:val="005647E3"/>
    <w:rsid w:val="0056482B"/>
    <w:rsid w:val="005660C7"/>
    <w:rsid w:val="005660DB"/>
    <w:rsid w:val="00566219"/>
    <w:rsid w:val="0056710D"/>
    <w:rsid w:val="00567642"/>
    <w:rsid w:val="00567EBF"/>
    <w:rsid w:val="00571F7F"/>
    <w:rsid w:val="00572E8D"/>
    <w:rsid w:val="00574294"/>
    <w:rsid w:val="005748F4"/>
    <w:rsid w:val="00574FF5"/>
    <w:rsid w:val="0057516C"/>
    <w:rsid w:val="00575A91"/>
    <w:rsid w:val="00576628"/>
    <w:rsid w:val="00576B33"/>
    <w:rsid w:val="005803A2"/>
    <w:rsid w:val="00581FC6"/>
    <w:rsid w:val="00582E41"/>
    <w:rsid w:val="005849CB"/>
    <w:rsid w:val="005851D0"/>
    <w:rsid w:val="0058785F"/>
    <w:rsid w:val="00590AAE"/>
    <w:rsid w:val="005918CF"/>
    <w:rsid w:val="005935F5"/>
    <w:rsid w:val="00593825"/>
    <w:rsid w:val="00594E78"/>
    <w:rsid w:val="00595CE5"/>
    <w:rsid w:val="00595E4A"/>
    <w:rsid w:val="005A033C"/>
    <w:rsid w:val="005A1AB3"/>
    <w:rsid w:val="005A2394"/>
    <w:rsid w:val="005A2644"/>
    <w:rsid w:val="005A26AD"/>
    <w:rsid w:val="005A3FB4"/>
    <w:rsid w:val="005A41B2"/>
    <w:rsid w:val="005A481D"/>
    <w:rsid w:val="005A5163"/>
    <w:rsid w:val="005A66B6"/>
    <w:rsid w:val="005A7017"/>
    <w:rsid w:val="005B0ADB"/>
    <w:rsid w:val="005B16A8"/>
    <w:rsid w:val="005B1951"/>
    <w:rsid w:val="005B24A7"/>
    <w:rsid w:val="005B27AE"/>
    <w:rsid w:val="005B349A"/>
    <w:rsid w:val="005B3DF7"/>
    <w:rsid w:val="005B58BD"/>
    <w:rsid w:val="005B603B"/>
    <w:rsid w:val="005B60FF"/>
    <w:rsid w:val="005B712F"/>
    <w:rsid w:val="005B79A5"/>
    <w:rsid w:val="005B7A83"/>
    <w:rsid w:val="005C056A"/>
    <w:rsid w:val="005C3449"/>
    <w:rsid w:val="005C420F"/>
    <w:rsid w:val="005C54D4"/>
    <w:rsid w:val="005C6E16"/>
    <w:rsid w:val="005C706D"/>
    <w:rsid w:val="005C7BF8"/>
    <w:rsid w:val="005D0387"/>
    <w:rsid w:val="005D0425"/>
    <w:rsid w:val="005D1CD4"/>
    <w:rsid w:val="005D1D27"/>
    <w:rsid w:val="005D25DD"/>
    <w:rsid w:val="005D3A03"/>
    <w:rsid w:val="005D3B80"/>
    <w:rsid w:val="005D6AB3"/>
    <w:rsid w:val="005D6D46"/>
    <w:rsid w:val="005D6E69"/>
    <w:rsid w:val="005D7E0C"/>
    <w:rsid w:val="005E1353"/>
    <w:rsid w:val="005E27CD"/>
    <w:rsid w:val="005F0825"/>
    <w:rsid w:val="005F0EEF"/>
    <w:rsid w:val="005F2045"/>
    <w:rsid w:val="005F5748"/>
    <w:rsid w:val="005F7584"/>
    <w:rsid w:val="005F7BE5"/>
    <w:rsid w:val="005F7FE5"/>
    <w:rsid w:val="0060256E"/>
    <w:rsid w:val="006038B6"/>
    <w:rsid w:val="00603DF4"/>
    <w:rsid w:val="0060493D"/>
    <w:rsid w:val="006053AA"/>
    <w:rsid w:val="006064FE"/>
    <w:rsid w:val="0060679D"/>
    <w:rsid w:val="006077F3"/>
    <w:rsid w:val="0061119E"/>
    <w:rsid w:val="00613DD4"/>
    <w:rsid w:val="00614091"/>
    <w:rsid w:val="00615E9A"/>
    <w:rsid w:val="0061618B"/>
    <w:rsid w:val="00616573"/>
    <w:rsid w:val="006167D9"/>
    <w:rsid w:val="00620935"/>
    <w:rsid w:val="00620981"/>
    <w:rsid w:val="00621B3B"/>
    <w:rsid w:val="006246AC"/>
    <w:rsid w:val="006258CA"/>
    <w:rsid w:val="006273ED"/>
    <w:rsid w:val="0062758E"/>
    <w:rsid w:val="00630CCF"/>
    <w:rsid w:val="00631088"/>
    <w:rsid w:val="00631F72"/>
    <w:rsid w:val="00632471"/>
    <w:rsid w:val="006329A2"/>
    <w:rsid w:val="00634202"/>
    <w:rsid w:val="00637E50"/>
    <w:rsid w:val="0064233E"/>
    <w:rsid w:val="006424D4"/>
    <w:rsid w:val="00645401"/>
    <w:rsid w:val="006459CD"/>
    <w:rsid w:val="00645A28"/>
    <w:rsid w:val="00651D24"/>
    <w:rsid w:val="00652B87"/>
    <w:rsid w:val="00652DB0"/>
    <w:rsid w:val="006534A2"/>
    <w:rsid w:val="006536F5"/>
    <w:rsid w:val="00653A65"/>
    <w:rsid w:val="00654A4B"/>
    <w:rsid w:val="00655C02"/>
    <w:rsid w:val="00661151"/>
    <w:rsid w:val="00662903"/>
    <w:rsid w:val="00662EBA"/>
    <w:rsid w:val="00663F0B"/>
    <w:rsid w:val="0066531C"/>
    <w:rsid w:val="0066590A"/>
    <w:rsid w:val="0066666D"/>
    <w:rsid w:val="00667CE4"/>
    <w:rsid w:val="0067007F"/>
    <w:rsid w:val="00670BBD"/>
    <w:rsid w:val="00670D91"/>
    <w:rsid w:val="00670FDB"/>
    <w:rsid w:val="006713BC"/>
    <w:rsid w:val="006714FE"/>
    <w:rsid w:val="0067278B"/>
    <w:rsid w:val="00675DCC"/>
    <w:rsid w:val="00677AA2"/>
    <w:rsid w:val="00677B11"/>
    <w:rsid w:val="00682B9B"/>
    <w:rsid w:val="00682D83"/>
    <w:rsid w:val="006833B9"/>
    <w:rsid w:val="006836CC"/>
    <w:rsid w:val="00684FD7"/>
    <w:rsid w:val="006854BC"/>
    <w:rsid w:val="00687343"/>
    <w:rsid w:val="006875E3"/>
    <w:rsid w:val="00690B93"/>
    <w:rsid w:val="0069336D"/>
    <w:rsid w:val="0069421F"/>
    <w:rsid w:val="00694923"/>
    <w:rsid w:val="0069618F"/>
    <w:rsid w:val="0069722B"/>
    <w:rsid w:val="00697AF6"/>
    <w:rsid w:val="00697DB0"/>
    <w:rsid w:val="006A0673"/>
    <w:rsid w:val="006A1768"/>
    <w:rsid w:val="006A2561"/>
    <w:rsid w:val="006A736C"/>
    <w:rsid w:val="006B11A7"/>
    <w:rsid w:val="006B1480"/>
    <w:rsid w:val="006B24C3"/>
    <w:rsid w:val="006B2552"/>
    <w:rsid w:val="006B25E7"/>
    <w:rsid w:val="006B2862"/>
    <w:rsid w:val="006B5EB0"/>
    <w:rsid w:val="006B75B4"/>
    <w:rsid w:val="006C03AF"/>
    <w:rsid w:val="006C040B"/>
    <w:rsid w:val="006C10E0"/>
    <w:rsid w:val="006C19C2"/>
    <w:rsid w:val="006C4291"/>
    <w:rsid w:val="006C7009"/>
    <w:rsid w:val="006C7167"/>
    <w:rsid w:val="006D1051"/>
    <w:rsid w:val="006D1233"/>
    <w:rsid w:val="006D2BBD"/>
    <w:rsid w:val="006D415C"/>
    <w:rsid w:val="006D4702"/>
    <w:rsid w:val="006D581E"/>
    <w:rsid w:val="006D7386"/>
    <w:rsid w:val="006D75E7"/>
    <w:rsid w:val="006E054E"/>
    <w:rsid w:val="006E0CE6"/>
    <w:rsid w:val="006E0E5C"/>
    <w:rsid w:val="006E178F"/>
    <w:rsid w:val="006E1798"/>
    <w:rsid w:val="006E235B"/>
    <w:rsid w:val="006E2BD0"/>
    <w:rsid w:val="006E2D1D"/>
    <w:rsid w:val="006F0C73"/>
    <w:rsid w:val="006F4D88"/>
    <w:rsid w:val="006F56A8"/>
    <w:rsid w:val="006F709E"/>
    <w:rsid w:val="00700AB3"/>
    <w:rsid w:val="00701958"/>
    <w:rsid w:val="00701B3F"/>
    <w:rsid w:val="007025FA"/>
    <w:rsid w:val="00702BAE"/>
    <w:rsid w:val="00702CE3"/>
    <w:rsid w:val="007035B8"/>
    <w:rsid w:val="0070400E"/>
    <w:rsid w:val="00704012"/>
    <w:rsid w:val="00704558"/>
    <w:rsid w:val="00704673"/>
    <w:rsid w:val="00706D2C"/>
    <w:rsid w:val="007072BE"/>
    <w:rsid w:val="00707DCB"/>
    <w:rsid w:val="0071081A"/>
    <w:rsid w:val="00710B79"/>
    <w:rsid w:val="00711E37"/>
    <w:rsid w:val="00717652"/>
    <w:rsid w:val="0072016E"/>
    <w:rsid w:val="00722CC3"/>
    <w:rsid w:val="007242E6"/>
    <w:rsid w:val="00724385"/>
    <w:rsid w:val="00724542"/>
    <w:rsid w:val="0072514B"/>
    <w:rsid w:val="00725696"/>
    <w:rsid w:val="0072709C"/>
    <w:rsid w:val="00730995"/>
    <w:rsid w:val="00732633"/>
    <w:rsid w:val="007331D8"/>
    <w:rsid w:val="0073367F"/>
    <w:rsid w:val="00734F3C"/>
    <w:rsid w:val="00735486"/>
    <w:rsid w:val="00736A62"/>
    <w:rsid w:val="0073760A"/>
    <w:rsid w:val="0074076B"/>
    <w:rsid w:val="00741628"/>
    <w:rsid w:val="00741D6B"/>
    <w:rsid w:val="0074258C"/>
    <w:rsid w:val="0074277F"/>
    <w:rsid w:val="00742E58"/>
    <w:rsid w:val="007445A7"/>
    <w:rsid w:val="0074479D"/>
    <w:rsid w:val="00746E6F"/>
    <w:rsid w:val="0074778E"/>
    <w:rsid w:val="007512AB"/>
    <w:rsid w:val="00752074"/>
    <w:rsid w:val="00753582"/>
    <w:rsid w:val="00753CC7"/>
    <w:rsid w:val="00755F97"/>
    <w:rsid w:val="00756C78"/>
    <w:rsid w:val="00756D54"/>
    <w:rsid w:val="007601FF"/>
    <w:rsid w:val="00761B8A"/>
    <w:rsid w:val="00764494"/>
    <w:rsid w:val="00764E04"/>
    <w:rsid w:val="00765D9C"/>
    <w:rsid w:val="00767AC8"/>
    <w:rsid w:val="0077098D"/>
    <w:rsid w:val="007758D5"/>
    <w:rsid w:val="00780D0C"/>
    <w:rsid w:val="00783D29"/>
    <w:rsid w:val="00785693"/>
    <w:rsid w:val="00786209"/>
    <w:rsid w:val="007864AB"/>
    <w:rsid w:val="00786BC8"/>
    <w:rsid w:val="00787C7E"/>
    <w:rsid w:val="00790315"/>
    <w:rsid w:val="0079092F"/>
    <w:rsid w:val="00791071"/>
    <w:rsid w:val="0079109D"/>
    <w:rsid w:val="007912D3"/>
    <w:rsid w:val="00791319"/>
    <w:rsid w:val="0079164C"/>
    <w:rsid w:val="007925AF"/>
    <w:rsid w:val="00792BBF"/>
    <w:rsid w:val="00793748"/>
    <w:rsid w:val="00796BD6"/>
    <w:rsid w:val="0079719D"/>
    <w:rsid w:val="007978B1"/>
    <w:rsid w:val="007A0B1A"/>
    <w:rsid w:val="007A20A7"/>
    <w:rsid w:val="007A21A4"/>
    <w:rsid w:val="007A2D7E"/>
    <w:rsid w:val="007A335D"/>
    <w:rsid w:val="007A4744"/>
    <w:rsid w:val="007A5FC9"/>
    <w:rsid w:val="007A73CA"/>
    <w:rsid w:val="007B0264"/>
    <w:rsid w:val="007B11BF"/>
    <w:rsid w:val="007B1F18"/>
    <w:rsid w:val="007B20DD"/>
    <w:rsid w:val="007B2146"/>
    <w:rsid w:val="007B3697"/>
    <w:rsid w:val="007B36AA"/>
    <w:rsid w:val="007B3FB8"/>
    <w:rsid w:val="007B70E0"/>
    <w:rsid w:val="007C1A8D"/>
    <w:rsid w:val="007C21F1"/>
    <w:rsid w:val="007C5861"/>
    <w:rsid w:val="007C60D0"/>
    <w:rsid w:val="007C6684"/>
    <w:rsid w:val="007C7099"/>
    <w:rsid w:val="007C75DE"/>
    <w:rsid w:val="007D180A"/>
    <w:rsid w:val="007D34ED"/>
    <w:rsid w:val="007D4192"/>
    <w:rsid w:val="007D4292"/>
    <w:rsid w:val="007D781B"/>
    <w:rsid w:val="007D78F4"/>
    <w:rsid w:val="007E17DF"/>
    <w:rsid w:val="007E1DFF"/>
    <w:rsid w:val="007E4D87"/>
    <w:rsid w:val="007E745C"/>
    <w:rsid w:val="007E7ECE"/>
    <w:rsid w:val="007F0273"/>
    <w:rsid w:val="007F227D"/>
    <w:rsid w:val="007F2677"/>
    <w:rsid w:val="007F3625"/>
    <w:rsid w:val="007F367D"/>
    <w:rsid w:val="007F4678"/>
    <w:rsid w:val="007F5765"/>
    <w:rsid w:val="007F5B92"/>
    <w:rsid w:val="007F6871"/>
    <w:rsid w:val="007F77B4"/>
    <w:rsid w:val="007F7FCB"/>
    <w:rsid w:val="00801DB6"/>
    <w:rsid w:val="00804ACB"/>
    <w:rsid w:val="00806168"/>
    <w:rsid w:val="0080745A"/>
    <w:rsid w:val="00810AC9"/>
    <w:rsid w:val="00812700"/>
    <w:rsid w:val="00814176"/>
    <w:rsid w:val="0081497E"/>
    <w:rsid w:val="008159B8"/>
    <w:rsid w:val="00815A34"/>
    <w:rsid w:val="00815D89"/>
    <w:rsid w:val="0081689D"/>
    <w:rsid w:val="00817262"/>
    <w:rsid w:val="0081790B"/>
    <w:rsid w:val="00817D25"/>
    <w:rsid w:val="00820D41"/>
    <w:rsid w:val="00820D9A"/>
    <w:rsid w:val="0082179A"/>
    <w:rsid w:val="008231A4"/>
    <w:rsid w:val="0082537F"/>
    <w:rsid w:val="00825CBE"/>
    <w:rsid w:val="0082709E"/>
    <w:rsid w:val="008279E9"/>
    <w:rsid w:val="0083016D"/>
    <w:rsid w:val="00830725"/>
    <w:rsid w:val="00831267"/>
    <w:rsid w:val="00835EBA"/>
    <w:rsid w:val="008360EC"/>
    <w:rsid w:val="00841336"/>
    <w:rsid w:val="00841D3C"/>
    <w:rsid w:val="008432A3"/>
    <w:rsid w:val="008432F8"/>
    <w:rsid w:val="0084434E"/>
    <w:rsid w:val="00845E60"/>
    <w:rsid w:val="00846355"/>
    <w:rsid w:val="008470EB"/>
    <w:rsid w:val="0085068A"/>
    <w:rsid w:val="00852287"/>
    <w:rsid w:val="008551F8"/>
    <w:rsid w:val="00856F0D"/>
    <w:rsid w:val="00857E40"/>
    <w:rsid w:val="00860FBA"/>
    <w:rsid w:val="00862B43"/>
    <w:rsid w:val="00862B9C"/>
    <w:rsid w:val="00863F05"/>
    <w:rsid w:val="00864857"/>
    <w:rsid w:val="008661CA"/>
    <w:rsid w:val="00866E0D"/>
    <w:rsid w:val="0086773A"/>
    <w:rsid w:val="00870B4D"/>
    <w:rsid w:val="00871691"/>
    <w:rsid w:val="008777A1"/>
    <w:rsid w:val="0088002D"/>
    <w:rsid w:val="008831EF"/>
    <w:rsid w:val="008858B9"/>
    <w:rsid w:val="00885C22"/>
    <w:rsid w:val="00886D36"/>
    <w:rsid w:val="00886DF8"/>
    <w:rsid w:val="00886FBB"/>
    <w:rsid w:val="00887397"/>
    <w:rsid w:val="008906DF"/>
    <w:rsid w:val="00890B76"/>
    <w:rsid w:val="00890B78"/>
    <w:rsid w:val="00890CE7"/>
    <w:rsid w:val="008919A2"/>
    <w:rsid w:val="00892426"/>
    <w:rsid w:val="00892AC0"/>
    <w:rsid w:val="00893ACA"/>
    <w:rsid w:val="00893AFB"/>
    <w:rsid w:val="00893BCF"/>
    <w:rsid w:val="00896F22"/>
    <w:rsid w:val="008A00B7"/>
    <w:rsid w:val="008A0778"/>
    <w:rsid w:val="008A530F"/>
    <w:rsid w:val="008A61B0"/>
    <w:rsid w:val="008B1084"/>
    <w:rsid w:val="008B2B93"/>
    <w:rsid w:val="008B2CEE"/>
    <w:rsid w:val="008B434A"/>
    <w:rsid w:val="008B475C"/>
    <w:rsid w:val="008B6F7A"/>
    <w:rsid w:val="008B7987"/>
    <w:rsid w:val="008B7B0E"/>
    <w:rsid w:val="008B7E9B"/>
    <w:rsid w:val="008C0349"/>
    <w:rsid w:val="008C0C90"/>
    <w:rsid w:val="008C1356"/>
    <w:rsid w:val="008C3E65"/>
    <w:rsid w:val="008C5947"/>
    <w:rsid w:val="008C5C7E"/>
    <w:rsid w:val="008D0820"/>
    <w:rsid w:val="008D16D7"/>
    <w:rsid w:val="008D1B21"/>
    <w:rsid w:val="008D38F5"/>
    <w:rsid w:val="008D3CF1"/>
    <w:rsid w:val="008D4BE2"/>
    <w:rsid w:val="008D568A"/>
    <w:rsid w:val="008D61A0"/>
    <w:rsid w:val="008D67C8"/>
    <w:rsid w:val="008D6834"/>
    <w:rsid w:val="008D7CEA"/>
    <w:rsid w:val="008E1391"/>
    <w:rsid w:val="008E2815"/>
    <w:rsid w:val="008E2DD6"/>
    <w:rsid w:val="008E3E2C"/>
    <w:rsid w:val="008E4717"/>
    <w:rsid w:val="008E48DB"/>
    <w:rsid w:val="008E5957"/>
    <w:rsid w:val="008E608F"/>
    <w:rsid w:val="008E7043"/>
    <w:rsid w:val="008F05DA"/>
    <w:rsid w:val="008F0D05"/>
    <w:rsid w:val="008F1015"/>
    <w:rsid w:val="008F10AC"/>
    <w:rsid w:val="008F204D"/>
    <w:rsid w:val="008F20BD"/>
    <w:rsid w:val="008F27C6"/>
    <w:rsid w:val="008F2C2F"/>
    <w:rsid w:val="008F2DBD"/>
    <w:rsid w:val="008F3380"/>
    <w:rsid w:val="008F338B"/>
    <w:rsid w:val="008F4D6D"/>
    <w:rsid w:val="008F60D9"/>
    <w:rsid w:val="008F6C52"/>
    <w:rsid w:val="00900B4A"/>
    <w:rsid w:val="0090196A"/>
    <w:rsid w:val="00903897"/>
    <w:rsid w:val="00903C32"/>
    <w:rsid w:val="00906199"/>
    <w:rsid w:val="009070EB"/>
    <w:rsid w:val="009074F5"/>
    <w:rsid w:val="00910074"/>
    <w:rsid w:val="0091109A"/>
    <w:rsid w:val="009134D2"/>
    <w:rsid w:val="0091372F"/>
    <w:rsid w:val="00914082"/>
    <w:rsid w:val="00914CA6"/>
    <w:rsid w:val="00915CCB"/>
    <w:rsid w:val="00917409"/>
    <w:rsid w:val="0091793D"/>
    <w:rsid w:val="009202BC"/>
    <w:rsid w:val="00920859"/>
    <w:rsid w:val="00923C30"/>
    <w:rsid w:val="00924070"/>
    <w:rsid w:val="00924692"/>
    <w:rsid w:val="009272B7"/>
    <w:rsid w:val="00931E1F"/>
    <w:rsid w:val="00932ABC"/>
    <w:rsid w:val="00933185"/>
    <w:rsid w:val="00934D25"/>
    <w:rsid w:val="00935049"/>
    <w:rsid w:val="00936953"/>
    <w:rsid w:val="00937121"/>
    <w:rsid w:val="009400B9"/>
    <w:rsid w:val="00940DDB"/>
    <w:rsid w:val="00944349"/>
    <w:rsid w:val="009473C3"/>
    <w:rsid w:val="00947869"/>
    <w:rsid w:val="00950FA9"/>
    <w:rsid w:val="0095258C"/>
    <w:rsid w:val="00952865"/>
    <w:rsid w:val="00954C35"/>
    <w:rsid w:val="0095515C"/>
    <w:rsid w:val="00955A02"/>
    <w:rsid w:val="0095684E"/>
    <w:rsid w:val="00957D29"/>
    <w:rsid w:val="00957DA5"/>
    <w:rsid w:val="009606BA"/>
    <w:rsid w:val="00960A64"/>
    <w:rsid w:val="0096127F"/>
    <w:rsid w:val="00961519"/>
    <w:rsid w:val="00961909"/>
    <w:rsid w:val="009630FD"/>
    <w:rsid w:val="00963507"/>
    <w:rsid w:val="0096471D"/>
    <w:rsid w:val="009647B6"/>
    <w:rsid w:val="009662D9"/>
    <w:rsid w:val="0096663B"/>
    <w:rsid w:val="009668D5"/>
    <w:rsid w:val="00966992"/>
    <w:rsid w:val="00967977"/>
    <w:rsid w:val="00971010"/>
    <w:rsid w:val="00971405"/>
    <w:rsid w:val="00971BA6"/>
    <w:rsid w:val="0097220F"/>
    <w:rsid w:val="00972392"/>
    <w:rsid w:val="0097540F"/>
    <w:rsid w:val="0097542C"/>
    <w:rsid w:val="00975A1A"/>
    <w:rsid w:val="0098004D"/>
    <w:rsid w:val="00981C7C"/>
    <w:rsid w:val="00983332"/>
    <w:rsid w:val="00984CB6"/>
    <w:rsid w:val="0098543F"/>
    <w:rsid w:val="00986623"/>
    <w:rsid w:val="00992511"/>
    <w:rsid w:val="00992F79"/>
    <w:rsid w:val="009956B3"/>
    <w:rsid w:val="00996B64"/>
    <w:rsid w:val="00996CA9"/>
    <w:rsid w:val="00996DD5"/>
    <w:rsid w:val="009A15B8"/>
    <w:rsid w:val="009A15D1"/>
    <w:rsid w:val="009A2B2A"/>
    <w:rsid w:val="009A43DD"/>
    <w:rsid w:val="009B6782"/>
    <w:rsid w:val="009B70AE"/>
    <w:rsid w:val="009B77D8"/>
    <w:rsid w:val="009C0AF5"/>
    <w:rsid w:val="009C1155"/>
    <w:rsid w:val="009C16A2"/>
    <w:rsid w:val="009C1791"/>
    <w:rsid w:val="009C3B31"/>
    <w:rsid w:val="009C4F02"/>
    <w:rsid w:val="009D05E5"/>
    <w:rsid w:val="009D1962"/>
    <w:rsid w:val="009D2016"/>
    <w:rsid w:val="009D206C"/>
    <w:rsid w:val="009D295A"/>
    <w:rsid w:val="009D2982"/>
    <w:rsid w:val="009D35A1"/>
    <w:rsid w:val="009D39C7"/>
    <w:rsid w:val="009D44F5"/>
    <w:rsid w:val="009D6BF3"/>
    <w:rsid w:val="009E0569"/>
    <w:rsid w:val="009E0CA8"/>
    <w:rsid w:val="009E27B3"/>
    <w:rsid w:val="009E27BB"/>
    <w:rsid w:val="009E28A1"/>
    <w:rsid w:val="009E45D5"/>
    <w:rsid w:val="009E6A01"/>
    <w:rsid w:val="009E6A1F"/>
    <w:rsid w:val="009E72EB"/>
    <w:rsid w:val="009E7425"/>
    <w:rsid w:val="009E74AE"/>
    <w:rsid w:val="009F0240"/>
    <w:rsid w:val="009F2032"/>
    <w:rsid w:val="009F2F00"/>
    <w:rsid w:val="00A001BD"/>
    <w:rsid w:val="00A00FFA"/>
    <w:rsid w:val="00A019B1"/>
    <w:rsid w:val="00A01D2A"/>
    <w:rsid w:val="00A021E0"/>
    <w:rsid w:val="00A03435"/>
    <w:rsid w:val="00A04171"/>
    <w:rsid w:val="00A041D2"/>
    <w:rsid w:val="00A05700"/>
    <w:rsid w:val="00A06CAD"/>
    <w:rsid w:val="00A07535"/>
    <w:rsid w:val="00A07703"/>
    <w:rsid w:val="00A07F82"/>
    <w:rsid w:val="00A1054F"/>
    <w:rsid w:val="00A11CE6"/>
    <w:rsid w:val="00A129C5"/>
    <w:rsid w:val="00A141DC"/>
    <w:rsid w:val="00A151F9"/>
    <w:rsid w:val="00A15756"/>
    <w:rsid w:val="00A15B21"/>
    <w:rsid w:val="00A15FB9"/>
    <w:rsid w:val="00A17284"/>
    <w:rsid w:val="00A206A7"/>
    <w:rsid w:val="00A21177"/>
    <w:rsid w:val="00A2170D"/>
    <w:rsid w:val="00A21C95"/>
    <w:rsid w:val="00A220B2"/>
    <w:rsid w:val="00A242B3"/>
    <w:rsid w:val="00A24ACA"/>
    <w:rsid w:val="00A24B5E"/>
    <w:rsid w:val="00A262BB"/>
    <w:rsid w:val="00A26863"/>
    <w:rsid w:val="00A316B7"/>
    <w:rsid w:val="00A328F9"/>
    <w:rsid w:val="00A332B8"/>
    <w:rsid w:val="00A33768"/>
    <w:rsid w:val="00A338F8"/>
    <w:rsid w:val="00A376C3"/>
    <w:rsid w:val="00A37CA5"/>
    <w:rsid w:val="00A42F47"/>
    <w:rsid w:val="00A43EA2"/>
    <w:rsid w:val="00A45490"/>
    <w:rsid w:val="00A45B8E"/>
    <w:rsid w:val="00A45CAE"/>
    <w:rsid w:val="00A46138"/>
    <w:rsid w:val="00A46367"/>
    <w:rsid w:val="00A472B7"/>
    <w:rsid w:val="00A50E81"/>
    <w:rsid w:val="00A544DF"/>
    <w:rsid w:val="00A60A3F"/>
    <w:rsid w:val="00A62931"/>
    <w:rsid w:val="00A62E15"/>
    <w:rsid w:val="00A63734"/>
    <w:rsid w:val="00A63B0E"/>
    <w:rsid w:val="00A6401E"/>
    <w:rsid w:val="00A64D74"/>
    <w:rsid w:val="00A667B6"/>
    <w:rsid w:val="00A72431"/>
    <w:rsid w:val="00A72B8D"/>
    <w:rsid w:val="00A77933"/>
    <w:rsid w:val="00A77F78"/>
    <w:rsid w:val="00A81312"/>
    <w:rsid w:val="00A817CE"/>
    <w:rsid w:val="00A82494"/>
    <w:rsid w:val="00A8282E"/>
    <w:rsid w:val="00A84955"/>
    <w:rsid w:val="00A84F78"/>
    <w:rsid w:val="00A850F9"/>
    <w:rsid w:val="00A8568A"/>
    <w:rsid w:val="00A85A0E"/>
    <w:rsid w:val="00A863BF"/>
    <w:rsid w:val="00A86890"/>
    <w:rsid w:val="00A87449"/>
    <w:rsid w:val="00A90001"/>
    <w:rsid w:val="00A901DF"/>
    <w:rsid w:val="00A92DF1"/>
    <w:rsid w:val="00A93190"/>
    <w:rsid w:val="00AA1F17"/>
    <w:rsid w:val="00AA1FC1"/>
    <w:rsid w:val="00AA2D76"/>
    <w:rsid w:val="00AA384D"/>
    <w:rsid w:val="00AA3D84"/>
    <w:rsid w:val="00AA400E"/>
    <w:rsid w:val="00AA6CDB"/>
    <w:rsid w:val="00AA7683"/>
    <w:rsid w:val="00AB0234"/>
    <w:rsid w:val="00AB176A"/>
    <w:rsid w:val="00AB1F10"/>
    <w:rsid w:val="00AB2E3C"/>
    <w:rsid w:val="00AB4DCB"/>
    <w:rsid w:val="00AB502F"/>
    <w:rsid w:val="00AC1099"/>
    <w:rsid w:val="00AC16DB"/>
    <w:rsid w:val="00AC191C"/>
    <w:rsid w:val="00AC2543"/>
    <w:rsid w:val="00AC2EAC"/>
    <w:rsid w:val="00AC3941"/>
    <w:rsid w:val="00AC39E6"/>
    <w:rsid w:val="00AC412C"/>
    <w:rsid w:val="00AC560C"/>
    <w:rsid w:val="00AC58FD"/>
    <w:rsid w:val="00AD0761"/>
    <w:rsid w:val="00AD0874"/>
    <w:rsid w:val="00AD0B43"/>
    <w:rsid w:val="00AD11A6"/>
    <w:rsid w:val="00AD16B8"/>
    <w:rsid w:val="00AD2BBB"/>
    <w:rsid w:val="00AD33FA"/>
    <w:rsid w:val="00AD3E29"/>
    <w:rsid w:val="00AD402B"/>
    <w:rsid w:val="00AD5389"/>
    <w:rsid w:val="00AD78CD"/>
    <w:rsid w:val="00AE10D0"/>
    <w:rsid w:val="00AE176D"/>
    <w:rsid w:val="00AE2AC6"/>
    <w:rsid w:val="00AE2F25"/>
    <w:rsid w:val="00AE3A6A"/>
    <w:rsid w:val="00AE4361"/>
    <w:rsid w:val="00AE5AA1"/>
    <w:rsid w:val="00AE666F"/>
    <w:rsid w:val="00AE76F5"/>
    <w:rsid w:val="00AE78F1"/>
    <w:rsid w:val="00AF0296"/>
    <w:rsid w:val="00AF1D29"/>
    <w:rsid w:val="00AF23D6"/>
    <w:rsid w:val="00AF3705"/>
    <w:rsid w:val="00AF4F08"/>
    <w:rsid w:val="00AF661D"/>
    <w:rsid w:val="00AF6629"/>
    <w:rsid w:val="00AF6C15"/>
    <w:rsid w:val="00B011ED"/>
    <w:rsid w:val="00B012C8"/>
    <w:rsid w:val="00B041B9"/>
    <w:rsid w:val="00B047EE"/>
    <w:rsid w:val="00B048C3"/>
    <w:rsid w:val="00B0520C"/>
    <w:rsid w:val="00B07CCA"/>
    <w:rsid w:val="00B107B1"/>
    <w:rsid w:val="00B10842"/>
    <w:rsid w:val="00B113D2"/>
    <w:rsid w:val="00B14B72"/>
    <w:rsid w:val="00B1577F"/>
    <w:rsid w:val="00B15FC8"/>
    <w:rsid w:val="00B23BA9"/>
    <w:rsid w:val="00B269D6"/>
    <w:rsid w:val="00B26CAB"/>
    <w:rsid w:val="00B27282"/>
    <w:rsid w:val="00B30011"/>
    <w:rsid w:val="00B30C92"/>
    <w:rsid w:val="00B32DB0"/>
    <w:rsid w:val="00B32F6F"/>
    <w:rsid w:val="00B34011"/>
    <w:rsid w:val="00B34985"/>
    <w:rsid w:val="00B358FB"/>
    <w:rsid w:val="00B36D8B"/>
    <w:rsid w:val="00B376DF"/>
    <w:rsid w:val="00B40152"/>
    <w:rsid w:val="00B40552"/>
    <w:rsid w:val="00B41B14"/>
    <w:rsid w:val="00B421A9"/>
    <w:rsid w:val="00B432AF"/>
    <w:rsid w:val="00B43549"/>
    <w:rsid w:val="00B45FC5"/>
    <w:rsid w:val="00B4775A"/>
    <w:rsid w:val="00B51297"/>
    <w:rsid w:val="00B5199F"/>
    <w:rsid w:val="00B519FA"/>
    <w:rsid w:val="00B52EA7"/>
    <w:rsid w:val="00B542FB"/>
    <w:rsid w:val="00B54965"/>
    <w:rsid w:val="00B54C28"/>
    <w:rsid w:val="00B560B3"/>
    <w:rsid w:val="00B56417"/>
    <w:rsid w:val="00B5673C"/>
    <w:rsid w:val="00B56FD5"/>
    <w:rsid w:val="00B60C0C"/>
    <w:rsid w:val="00B61418"/>
    <w:rsid w:val="00B61DE0"/>
    <w:rsid w:val="00B63DBD"/>
    <w:rsid w:val="00B642CB"/>
    <w:rsid w:val="00B66C09"/>
    <w:rsid w:val="00B67BC6"/>
    <w:rsid w:val="00B733E6"/>
    <w:rsid w:val="00B75AE1"/>
    <w:rsid w:val="00B77D9E"/>
    <w:rsid w:val="00B77DDF"/>
    <w:rsid w:val="00B77E2E"/>
    <w:rsid w:val="00B807CC"/>
    <w:rsid w:val="00B80D62"/>
    <w:rsid w:val="00B82440"/>
    <w:rsid w:val="00B84415"/>
    <w:rsid w:val="00B84437"/>
    <w:rsid w:val="00B84789"/>
    <w:rsid w:val="00B86946"/>
    <w:rsid w:val="00B87406"/>
    <w:rsid w:val="00B9022F"/>
    <w:rsid w:val="00B90B62"/>
    <w:rsid w:val="00B90F89"/>
    <w:rsid w:val="00B91D3A"/>
    <w:rsid w:val="00B922C5"/>
    <w:rsid w:val="00B932AF"/>
    <w:rsid w:val="00B942F5"/>
    <w:rsid w:val="00B95A86"/>
    <w:rsid w:val="00B95F1D"/>
    <w:rsid w:val="00B965F2"/>
    <w:rsid w:val="00BA150F"/>
    <w:rsid w:val="00BA1B03"/>
    <w:rsid w:val="00BA390B"/>
    <w:rsid w:val="00BA3F15"/>
    <w:rsid w:val="00BB2BE2"/>
    <w:rsid w:val="00BB3F42"/>
    <w:rsid w:val="00BB69C4"/>
    <w:rsid w:val="00BB6AEB"/>
    <w:rsid w:val="00BC1358"/>
    <w:rsid w:val="00BC1C1B"/>
    <w:rsid w:val="00BC2097"/>
    <w:rsid w:val="00BC3421"/>
    <w:rsid w:val="00BC50CB"/>
    <w:rsid w:val="00BC5887"/>
    <w:rsid w:val="00BC5E1D"/>
    <w:rsid w:val="00BC6849"/>
    <w:rsid w:val="00BC6CA2"/>
    <w:rsid w:val="00BC7818"/>
    <w:rsid w:val="00BD2338"/>
    <w:rsid w:val="00BD241A"/>
    <w:rsid w:val="00BD3291"/>
    <w:rsid w:val="00BD340F"/>
    <w:rsid w:val="00BD4234"/>
    <w:rsid w:val="00BD42A8"/>
    <w:rsid w:val="00BD7213"/>
    <w:rsid w:val="00BD780F"/>
    <w:rsid w:val="00BD7C0F"/>
    <w:rsid w:val="00BD7DF4"/>
    <w:rsid w:val="00BE1376"/>
    <w:rsid w:val="00BE2C9F"/>
    <w:rsid w:val="00BE2F95"/>
    <w:rsid w:val="00BE4CD1"/>
    <w:rsid w:val="00BE7A51"/>
    <w:rsid w:val="00BE7A91"/>
    <w:rsid w:val="00BE7FA0"/>
    <w:rsid w:val="00BF03CC"/>
    <w:rsid w:val="00BF198B"/>
    <w:rsid w:val="00BF1D43"/>
    <w:rsid w:val="00BF33B8"/>
    <w:rsid w:val="00BF4CCD"/>
    <w:rsid w:val="00BF4F3B"/>
    <w:rsid w:val="00BF6F2C"/>
    <w:rsid w:val="00C00756"/>
    <w:rsid w:val="00C00C7D"/>
    <w:rsid w:val="00C00D41"/>
    <w:rsid w:val="00C01C1D"/>
    <w:rsid w:val="00C041E7"/>
    <w:rsid w:val="00C0452E"/>
    <w:rsid w:val="00C046CE"/>
    <w:rsid w:val="00C0531C"/>
    <w:rsid w:val="00C057F6"/>
    <w:rsid w:val="00C05A32"/>
    <w:rsid w:val="00C05BD5"/>
    <w:rsid w:val="00C06A5C"/>
    <w:rsid w:val="00C06AE6"/>
    <w:rsid w:val="00C070AA"/>
    <w:rsid w:val="00C07344"/>
    <w:rsid w:val="00C107F0"/>
    <w:rsid w:val="00C116C3"/>
    <w:rsid w:val="00C12FC1"/>
    <w:rsid w:val="00C13D7D"/>
    <w:rsid w:val="00C15049"/>
    <w:rsid w:val="00C15932"/>
    <w:rsid w:val="00C168F2"/>
    <w:rsid w:val="00C169CA"/>
    <w:rsid w:val="00C204AB"/>
    <w:rsid w:val="00C219AE"/>
    <w:rsid w:val="00C231C0"/>
    <w:rsid w:val="00C25519"/>
    <w:rsid w:val="00C258E9"/>
    <w:rsid w:val="00C25BB8"/>
    <w:rsid w:val="00C26016"/>
    <w:rsid w:val="00C275F3"/>
    <w:rsid w:val="00C30F45"/>
    <w:rsid w:val="00C31571"/>
    <w:rsid w:val="00C317E6"/>
    <w:rsid w:val="00C32616"/>
    <w:rsid w:val="00C32BDC"/>
    <w:rsid w:val="00C33968"/>
    <w:rsid w:val="00C35101"/>
    <w:rsid w:val="00C351F1"/>
    <w:rsid w:val="00C400E3"/>
    <w:rsid w:val="00C40829"/>
    <w:rsid w:val="00C4093D"/>
    <w:rsid w:val="00C42AA3"/>
    <w:rsid w:val="00C43992"/>
    <w:rsid w:val="00C43E57"/>
    <w:rsid w:val="00C43F3C"/>
    <w:rsid w:val="00C46F36"/>
    <w:rsid w:val="00C50D49"/>
    <w:rsid w:val="00C57A96"/>
    <w:rsid w:val="00C60F20"/>
    <w:rsid w:val="00C61021"/>
    <w:rsid w:val="00C6147B"/>
    <w:rsid w:val="00C6204E"/>
    <w:rsid w:val="00C6229C"/>
    <w:rsid w:val="00C628EB"/>
    <w:rsid w:val="00C62A34"/>
    <w:rsid w:val="00C63D6F"/>
    <w:rsid w:val="00C64DDD"/>
    <w:rsid w:val="00C65A6A"/>
    <w:rsid w:val="00C65DD2"/>
    <w:rsid w:val="00C6660F"/>
    <w:rsid w:val="00C67B84"/>
    <w:rsid w:val="00C7209C"/>
    <w:rsid w:val="00C72381"/>
    <w:rsid w:val="00C72CB1"/>
    <w:rsid w:val="00C737CE"/>
    <w:rsid w:val="00C74262"/>
    <w:rsid w:val="00C771B1"/>
    <w:rsid w:val="00C80403"/>
    <w:rsid w:val="00C80619"/>
    <w:rsid w:val="00C824DE"/>
    <w:rsid w:val="00C87891"/>
    <w:rsid w:val="00C879CA"/>
    <w:rsid w:val="00C901E1"/>
    <w:rsid w:val="00C92937"/>
    <w:rsid w:val="00C93C9C"/>
    <w:rsid w:val="00C96F89"/>
    <w:rsid w:val="00C97119"/>
    <w:rsid w:val="00CA2838"/>
    <w:rsid w:val="00CA3EE4"/>
    <w:rsid w:val="00CA55D1"/>
    <w:rsid w:val="00CA6145"/>
    <w:rsid w:val="00CA731E"/>
    <w:rsid w:val="00CB0607"/>
    <w:rsid w:val="00CB0EDE"/>
    <w:rsid w:val="00CB1F96"/>
    <w:rsid w:val="00CB4E33"/>
    <w:rsid w:val="00CB6A1E"/>
    <w:rsid w:val="00CB7D11"/>
    <w:rsid w:val="00CB7DF4"/>
    <w:rsid w:val="00CC0010"/>
    <w:rsid w:val="00CC0261"/>
    <w:rsid w:val="00CC19BA"/>
    <w:rsid w:val="00CC2159"/>
    <w:rsid w:val="00CC3781"/>
    <w:rsid w:val="00CC4457"/>
    <w:rsid w:val="00CC6784"/>
    <w:rsid w:val="00CD1123"/>
    <w:rsid w:val="00CD2007"/>
    <w:rsid w:val="00CD2115"/>
    <w:rsid w:val="00CD2390"/>
    <w:rsid w:val="00CD4835"/>
    <w:rsid w:val="00CD57C8"/>
    <w:rsid w:val="00CD5D50"/>
    <w:rsid w:val="00CD63FD"/>
    <w:rsid w:val="00CD7E56"/>
    <w:rsid w:val="00CE021E"/>
    <w:rsid w:val="00CE198C"/>
    <w:rsid w:val="00CE22E2"/>
    <w:rsid w:val="00CE565F"/>
    <w:rsid w:val="00CE669C"/>
    <w:rsid w:val="00CE6D39"/>
    <w:rsid w:val="00CF15D2"/>
    <w:rsid w:val="00CF24E6"/>
    <w:rsid w:val="00CF6935"/>
    <w:rsid w:val="00CF76A9"/>
    <w:rsid w:val="00CF7BDB"/>
    <w:rsid w:val="00D01747"/>
    <w:rsid w:val="00D01BF0"/>
    <w:rsid w:val="00D024CA"/>
    <w:rsid w:val="00D0288F"/>
    <w:rsid w:val="00D03E5A"/>
    <w:rsid w:val="00D04358"/>
    <w:rsid w:val="00D06839"/>
    <w:rsid w:val="00D112BA"/>
    <w:rsid w:val="00D1264D"/>
    <w:rsid w:val="00D141D6"/>
    <w:rsid w:val="00D16FC5"/>
    <w:rsid w:val="00D219D8"/>
    <w:rsid w:val="00D21C4E"/>
    <w:rsid w:val="00D24271"/>
    <w:rsid w:val="00D245C8"/>
    <w:rsid w:val="00D246C5"/>
    <w:rsid w:val="00D24E7D"/>
    <w:rsid w:val="00D25F4C"/>
    <w:rsid w:val="00D261A5"/>
    <w:rsid w:val="00D27961"/>
    <w:rsid w:val="00D31169"/>
    <w:rsid w:val="00D34150"/>
    <w:rsid w:val="00D368D9"/>
    <w:rsid w:val="00D36A8C"/>
    <w:rsid w:val="00D374AF"/>
    <w:rsid w:val="00D379BC"/>
    <w:rsid w:val="00D40A32"/>
    <w:rsid w:val="00D43ACC"/>
    <w:rsid w:val="00D43BFF"/>
    <w:rsid w:val="00D43F89"/>
    <w:rsid w:val="00D44B5C"/>
    <w:rsid w:val="00D45315"/>
    <w:rsid w:val="00D4539E"/>
    <w:rsid w:val="00D45F7F"/>
    <w:rsid w:val="00D4665A"/>
    <w:rsid w:val="00D50C84"/>
    <w:rsid w:val="00D510A7"/>
    <w:rsid w:val="00D513DE"/>
    <w:rsid w:val="00D52019"/>
    <w:rsid w:val="00D548B1"/>
    <w:rsid w:val="00D55135"/>
    <w:rsid w:val="00D57921"/>
    <w:rsid w:val="00D6243F"/>
    <w:rsid w:val="00D6634E"/>
    <w:rsid w:val="00D666CA"/>
    <w:rsid w:val="00D70379"/>
    <w:rsid w:val="00D70832"/>
    <w:rsid w:val="00D70914"/>
    <w:rsid w:val="00D7122C"/>
    <w:rsid w:val="00D7150E"/>
    <w:rsid w:val="00D7207C"/>
    <w:rsid w:val="00D7294D"/>
    <w:rsid w:val="00D73463"/>
    <w:rsid w:val="00D77EE1"/>
    <w:rsid w:val="00D77FE0"/>
    <w:rsid w:val="00D81C34"/>
    <w:rsid w:val="00D84A04"/>
    <w:rsid w:val="00D84E77"/>
    <w:rsid w:val="00D912AB"/>
    <w:rsid w:val="00D9150F"/>
    <w:rsid w:val="00D91923"/>
    <w:rsid w:val="00D91F26"/>
    <w:rsid w:val="00D93E07"/>
    <w:rsid w:val="00D95850"/>
    <w:rsid w:val="00D97806"/>
    <w:rsid w:val="00DA0278"/>
    <w:rsid w:val="00DA1033"/>
    <w:rsid w:val="00DA33C0"/>
    <w:rsid w:val="00DA4748"/>
    <w:rsid w:val="00DA5746"/>
    <w:rsid w:val="00DA5C3F"/>
    <w:rsid w:val="00DB092C"/>
    <w:rsid w:val="00DB0F19"/>
    <w:rsid w:val="00DB1D49"/>
    <w:rsid w:val="00DB5A98"/>
    <w:rsid w:val="00DB6F02"/>
    <w:rsid w:val="00DB74B1"/>
    <w:rsid w:val="00DC3B66"/>
    <w:rsid w:val="00DC3D40"/>
    <w:rsid w:val="00DC3ECD"/>
    <w:rsid w:val="00DC43F0"/>
    <w:rsid w:val="00DC457B"/>
    <w:rsid w:val="00DC5326"/>
    <w:rsid w:val="00DC5424"/>
    <w:rsid w:val="00DC55B4"/>
    <w:rsid w:val="00DC795A"/>
    <w:rsid w:val="00DD0020"/>
    <w:rsid w:val="00DD002D"/>
    <w:rsid w:val="00DD0E47"/>
    <w:rsid w:val="00DD0ED2"/>
    <w:rsid w:val="00DD1D29"/>
    <w:rsid w:val="00DD1E35"/>
    <w:rsid w:val="00DD2B57"/>
    <w:rsid w:val="00DD3E3B"/>
    <w:rsid w:val="00DD49A5"/>
    <w:rsid w:val="00DD63FB"/>
    <w:rsid w:val="00DD651C"/>
    <w:rsid w:val="00DD7242"/>
    <w:rsid w:val="00DE32BD"/>
    <w:rsid w:val="00DE350D"/>
    <w:rsid w:val="00DE6E44"/>
    <w:rsid w:val="00DE7C95"/>
    <w:rsid w:val="00DE7F3D"/>
    <w:rsid w:val="00DE7F93"/>
    <w:rsid w:val="00DF06C0"/>
    <w:rsid w:val="00DF0D39"/>
    <w:rsid w:val="00DF1710"/>
    <w:rsid w:val="00DF4708"/>
    <w:rsid w:val="00DF56FD"/>
    <w:rsid w:val="00DF70FF"/>
    <w:rsid w:val="00DF7611"/>
    <w:rsid w:val="00DF79FF"/>
    <w:rsid w:val="00E009D6"/>
    <w:rsid w:val="00E020DA"/>
    <w:rsid w:val="00E02816"/>
    <w:rsid w:val="00E02CD6"/>
    <w:rsid w:val="00E06EA6"/>
    <w:rsid w:val="00E079B3"/>
    <w:rsid w:val="00E079F5"/>
    <w:rsid w:val="00E1043A"/>
    <w:rsid w:val="00E10CFB"/>
    <w:rsid w:val="00E1186C"/>
    <w:rsid w:val="00E12002"/>
    <w:rsid w:val="00E14879"/>
    <w:rsid w:val="00E15409"/>
    <w:rsid w:val="00E15975"/>
    <w:rsid w:val="00E15EA1"/>
    <w:rsid w:val="00E16B47"/>
    <w:rsid w:val="00E17D3D"/>
    <w:rsid w:val="00E22677"/>
    <w:rsid w:val="00E22E1C"/>
    <w:rsid w:val="00E2307B"/>
    <w:rsid w:val="00E238CB"/>
    <w:rsid w:val="00E2457E"/>
    <w:rsid w:val="00E252E4"/>
    <w:rsid w:val="00E26095"/>
    <w:rsid w:val="00E260D5"/>
    <w:rsid w:val="00E27B4B"/>
    <w:rsid w:val="00E27BEC"/>
    <w:rsid w:val="00E30F0C"/>
    <w:rsid w:val="00E30F96"/>
    <w:rsid w:val="00E31EA7"/>
    <w:rsid w:val="00E320E7"/>
    <w:rsid w:val="00E34674"/>
    <w:rsid w:val="00E35DBF"/>
    <w:rsid w:val="00E36BDD"/>
    <w:rsid w:val="00E375DB"/>
    <w:rsid w:val="00E402F2"/>
    <w:rsid w:val="00E43C3D"/>
    <w:rsid w:val="00E44581"/>
    <w:rsid w:val="00E460A3"/>
    <w:rsid w:val="00E514CF"/>
    <w:rsid w:val="00E52662"/>
    <w:rsid w:val="00E52DEF"/>
    <w:rsid w:val="00E541AB"/>
    <w:rsid w:val="00E544FA"/>
    <w:rsid w:val="00E612A8"/>
    <w:rsid w:val="00E6176C"/>
    <w:rsid w:val="00E61A68"/>
    <w:rsid w:val="00E6266E"/>
    <w:rsid w:val="00E62F21"/>
    <w:rsid w:val="00E6328C"/>
    <w:rsid w:val="00E64B0A"/>
    <w:rsid w:val="00E65E4B"/>
    <w:rsid w:val="00E673A4"/>
    <w:rsid w:val="00E70CF3"/>
    <w:rsid w:val="00E71324"/>
    <w:rsid w:val="00E713BE"/>
    <w:rsid w:val="00E71820"/>
    <w:rsid w:val="00E71F88"/>
    <w:rsid w:val="00E73886"/>
    <w:rsid w:val="00E744E8"/>
    <w:rsid w:val="00E74D0F"/>
    <w:rsid w:val="00E74FAE"/>
    <w:rsid w:val="00E76612"/>
    <w:rsid w:val="00E7681A"/>
    <w:rsid w:val="00E76FFD"/>
    <w:rsid w:val="00E77589"/>
    <w:rsid w:val="00E80B43"/>
    <w:rsid w:val="00E81405"/>
    <w:rsid w:val="00E817A8"/>
    <w:rsid w:val="00E8236B"/>
    <w:rsid w:val="00E83832"/>
    <w:rsid w:val="00E83992"/>
    <w:rsid w:val="00E83BEF"/>
    <w:rsid w:val="00E83DC8"/>
    <w:rsid w:val="00E84A99"/>
    <w:rsid w:val="00E85804"/>
    <w:rsid w:val="00E91E6C"/>
    <w:rsid w:val="00E9210A"/>
    <w:rsid w:val="00E92162"/>
    <w:rsid w:val="00E92748"/>
    <w:rsid w:val="00E92BD9"/>
    <w:rsid w:val="00E930EE"/>
    <w:rsid w:val="00E93E39"/>
    <w:rsid w:val="00E94397"/>
    <w:rsid w:val="00E96AFE"/>
    <w:rsid w:val="00EA19B2"/>
    <w:rsid w:val="00EA1D67"/>
    <w:rsid w:val="00EA21F5"/>
    <w:rsid w:val="00EA3087"/>
    <w:rsid w:val="00EA364B"/>
    <w:rsid w:val="00EA38F4"/>
    <w:rsid w:val="00EA5C32"/>
    <w:rsid w:val="00EA73BD"/>
    <w:rsid w:val="00EA7CB9"/>
    <w:rsid w:val="00EA7D27"/>
    <w:rsid w:val="00EB0557"/>
    <w:rsid w:val="00EB0F94"/>
    <w:rsid w:val="00EB1512"/>
    <w:rsid w:val="00EB1FF0"/>
    <w:rsid w:val="00EB3DC9"/>
    <w:rsid w:val="00EB4523"/>
    <w:rsid w:val="00EB45B9"/>
    <w:rsid w:val="00EB5E12"/>
    <w:rsid w:val="00EB6226"/>
    <w:rsid w:val="00EC0B68"/>
    <w:rsid w:val="00EC3BD7"/>
    <w:rsid w:val="00EC5339"/>
    <w:rsid w:val="00EC62A8"/>
    <w:rsid w:val="00EC69DF"/>
    <w:rsid w:val="00EC76F4"/>
    <w:rsid w:val="00ED0342"/>
    <w:rsid w:val="00ED06C8"/>
    <w:rsid w:val="00ED0C4D"/>
    <w:rsid w:val="00ED2E85"/>
    <w:rsid w:val="00ED3003"/>
    <w:rsid w:val="00ED68F8"/>
    <w:rsid w:val="00ED6B3B"/>
    <w:rsid w:val="00ED6ED1"/>
    <w:rsid w:val="00ED7E58"/>
    <w:rsid w:val="00EE1053"/>
    <w:rsid w:val="00EE1DE9"/>
    <w:rsid w:val="00EE251E"/>
    <w:rsid w:val="00EE3ABD"/>
    <w:rsid w:val="00EE3D7B"/>
    <w:rsid w:val="00EE4921"/>
    <w:rsid w:val="00EE5600"/>
    <w:rsid w:val="00EE660F"/>
    <w:rsid w:val="00EF0492"/>
    <w:rsid w:val="00EF0FD3"/>
    <w:rsid w:val="00EF13CE"/>
    <w:rsid w:val="00EF1CBC"/>
    <w:rsid w:val="00EF37C4"/>
    <w:rsid w:val="00EF4A80"/>
    <w:rsid w:val="00EF7E02"/>
    <w:rsid w:val="00F004B7"/>
    <w:rsid w:val="00F00621"/>
    <w:rsid w:val="00F010FE"/>
    <w:rsid w:val="00F018DE"/>
    <w:rsid w:val="00F0338F"/>
    <w:rsid w:val="00F03A73"/>
    <w:rsid w:val="00F103CF"/>
    <w:rsid w:val="00F11648"/>
    <w:rsid w:val="00F12781"/>
    <w:rsid w:val="00F12C71"/>
    <w:rsid w:val="00F15F31"/>
    <w:rsid w:val="00F16AA8"/>
    <w:rsid w:val="00F22D55"/>
    <w:rsid w:val="00F230D8"/>
    <w:rsid w:val="00F235CD"/>
    <w:rsid w:val="00F24AB3"/>
    <w:rsid w:val="00F259D0"/>
    <w:rsid w:val="00F2676B"/>
    <w:rsid w:val="00F26FDB"/>
    <w:rsid w:val="00F27CDA"/>
    <w:rsid w:val="00F30414"/>
    <w:rsid w:val="00F30619"/>
    <w:rsid w:val="00F316A1"/>
    <w:rsid w:val="00F332E7"/>
    <w:rsid w:val="00F3373B"/>
    <w:rsid w:val="00F363A5"/>
    <w:rsid w:val="00F36883"/>
    <w:rsid w:val="00F368A9"/>
    <w:rsid w:val="00F3697B"/>
    <w:rsid w:val="00F36FA7"/>
    <w:rsid w:val="00F441C2"/>
    <w:rsid w:val="00F4571C"/>
    <w:rsid w:val="00F46796"/>
    <w:rsid w:val="00F4772D"/>
    <w:rsid w:val="00F477B7"/>
    <w:rsid w:val="00F47C8A"/>
    <w:rsid w:val="00F47D6B"/>
    <w:rsid w:val="00F509F8"/>
    <w:rsid w:val="00F51295"/>
    <w:rsid w:val="00F51FA8"/>
    <w:rsid w:val="00F53B83"/>
    <w:rsid w:val="00F53F71"/>
    <w:rsid w:val="00F541D6"/>
    <w:rsid w:val="00F60DCD"/>
    <w:rsid w:val="00F616F1"/>
    <w:rsid w:val="00F618C9"/>
    <w:rsid w:val="00F61C94"/>
    <w:rsid w:val="00F620B1"/>
    <w:rsid w:val="00F6326F"/>
    <w:rsid w:val="00F6369B"/>
    <w:rsid w:val="00F63B92"/>
    <w:rsid w:val="00F654CA"/>
    <w:rsid w:val="00F66444"/>
    <w:rsid w:val="00F66A88"/>
    <w:rsid w:val="00F675A3"/>
    <w:rsid w:val="00F704DF"/>
    <w:rsid w:val="00F7172E"/>
    <w:rsid w:val="00F76FE6"/>
    <w:rsid w:val="00F77AFD"/>
    <w:rsid w:val="00F77BC6"/>
    <w:rsid w:val="00F77D0A"/>
    <w:rsid w:val="00F809CA"/>
    <w:rsid w:val="00F80B71"/>
    <w:rsid w:val="00F81E18"/>
    <w:rsid w:val="00F82893"/>
    <w:rsid w:val="00F83513"/>
    <w:rsid w:val="00F83AB7"/>
    <w:rsid w:val="00F84586"/>
    <w:rsid w:val="00F85C00"/>
    <w:rsid w:val="00F93617"/>
    <w:rsid w:val="00F93CF7"/>
    <w:rsid w:val="00F944AE"/>
    <w:rsid w:val="00F952D2"/>
    <w:rsid w:val="00F959C4"/>
    <w:rsid w:val="00F95D15"/>
    <w:rsid w:val="00F9635A"/>
    <w:rsid w:val="00F9692A"/>
    <w:rsid w:val="00FA0BC5"/>
    <w:rsid w:val="00FA2552"/>
    <w:rsid w:val="00FA360F"/>
    <w:rsid w:val="00FA42DA"/>
    <w:rsid w:val="00FA459F"/>
    <w:rsid w:val="00FA50C9"/>
    <w:rsid w:val="00FA563E"/>
    <w:rsid w:val="00FB3679"/>
    <w:rsid w:val="00FB5C1C"/>
    <w:rsid w:val="00FB60EB"/>
    <w:rsid w:val="00FB6240"/>
    <w:rsid w:val="00FB735D"/>
    <w:rsid w:val="00FB74D3"/>
    <w:rsid w:val="00FB7F32"/>
    <w:rsid w:val="00FC01B6"/>
    <w:rsid w:val="00FC0B72"/>
    <w:rsid w:val="00FC0E39"/>
    <w:rsid w:val="00FC199A"/>
    <w:rsid w:val="00FC31CF"/>
    <w:rsid w:val="00FC3B3D"/>
    <w:rsid w:val="00FC4166"/>
    <w:rsid w:val="00FC5F42"/>
    <w:rsid w:val="00FC68EB"/>
    <w:rsid w:val="00FC72A7"/>
    <w:rsid w:val="00FD07EE"/>
    <w:rsid w:val="00FD6A53"/>
    <w:rsid w:val="00FD752F"/>
    <w:rsid w:val="00FD7C8B"/>
    <w:rsid w:val="00FE006A"/>
    <w:rsid w:val="00FE06B7"/>
    <w:rsid w:val="00FE23FF"/>
    <w:rsid w:val="00FE2594"/>
    <w:rsid w:val="00FE286E"/>
    <w:rsid w:val="00FE2CBE"/>
    <w:rsid w:val="00FE3F40"/>
    <w:rsid w:val="00FE5B8F"/>
    <w:rsid w:val="00FE69C7"/>
    <w:rsid w:val="00FE6D14"/>
    <w:rsid w:val="00FE7A1A"/>
    <w:rsid w:val="00FF00D4"/>
    <w:rsid w:val="00FF0149"/>
    <w:rsid w:val="00FF07FA"/>
    <w:rsid w:val="00FF2DC5"/>
    <w:rsid w:val="00FF31DC"/>
    <w:rsid w:val="00FF5A0B"/>
    <w:rsid w:val="00FF78F4"/>
    <w:rsid w:val="00FF7AA4"/>
    <w:rsid w:val="00FF7D54"/>
    <w:rsid w:val="0159126E"/>
    <w:rsid w:val="02811C50"/>
    <w:rsid w:val="02CB7B00"/>
    <w:rsid w:val="03822CFE"/>
    <w:rsid w:val="038C592B"/>
    <w:rsid w:val="03F977BD"/>
    <w:rsid w:val="0411260F"/>
    <w:rsid w:val="04154B1B"/>
    <w:rsid w:val="042E69E2"/>
    <w:rsid w:val="04582D83"/>
    <w:rsid w:val="052B1173"/>
    <w:rsid w:val="053C0C8A"/>
    <w:rsid w:val="05FF0420"/>
    <w:rsid w:val="06376942"/>
    <w:rsid w:val="076517D2"/>
    <w:rsid w:val="078A03D3"/>
    <w:rsid w:val="079815C8"/>
    <w:rsid w:val="081A339A"/>
    <w:rsid w:val="090D306A"/>
    <w:rsid w:val="092071F7"/>
    <w:rsid w:val="0949237B"/>
    <w:rsid w:val="098A2D84"/>
    <w:rsid w:val="09B060FC"/>
    <w:rsid w:val="09F74850"/>
    <w:rsid w:val="0A0A1357"/>
    <w:rsid w:val="0ADA132B"/>
    <w:rsid w:val="0BE70350"/>
    <w:rsid w:val="0C724374"/>
    <w:rsid w:val="0CB101B0"/>
    <w:rsid w:val="0CEA5470"/>
    <w:rsid w:val="0D692839"/>
    <w:rsid w:val="0DD30A2B"/>
    <w:rsid w:val="0E3C7F4D"/>
    <w:rsid w:val="0EAF7832"/>
    <w:rsid w:val="0F87344A"/>
    <w:rsid w:val="0F955B67"/>
    <w:rsid w:val="103A048B"/>
    <w:rsid w:val="112B402D"/>
    <w:rsid w:val="11A82642"/>
    <w:rsid w:val="11D84F6D"/>
    <w:rsid w:val="12771554"/>
    <w:rsid w:val="12D04739"/>
    <w:rsid w:val="131E2DE2"/>
    <w:rsid w:val="133D454B"/>
    <w:rsid w:val="13963C5C"/>
    <w:rsid w:val="139F03F6"/>
    <w:rsid w:val="14BF6149"/>
    <w:rsid w:val="14D56CBC"/>
    <w:rsid w:val="14DA2F92"/>
    <w:rsid w:val="1525798D"/>
    <w:rsid w:val="153B2D0D"/>
    <w:rsid w:val="15A5462A"/>
    <w:rsid w:val="18DE45A6"/>
    <w:rsid w:val="19435583"/>
    <w:rsid w:val="19771B7E"/>
    <w:rsid w:val="1AE06FED"/>
    <w:rsid w:val="1B211512"/>
    <w:rsid w:val="1B4E4DE8"/>
    <w:rsid w:val="1B566579"/>
    <w:rsid w:val="1BD468A2"/>
    <w:rsid w:val="1BD866B3"/>
    <w:rsid w:val="1CA0088A"/>
    <w:rsid w:val="1DBF0627"/>
    <w:rsid w:val="1DC32EB5"/>
    <w:rsid w:val="1DCD2970"/>
    <w:rsid w:val="1EB61656"/>
    <w:rsid w:val="1F02489B"/>
    <w:rsid w:val="1FE04BDC"/>
    <w:rsid w:val="1FF22B62"/>
    <w:rsid w:val="204A184E"/>
    <w:rsid w:val="205D447F"/>
    <w:rsid w:val="20971013"/>
    <w:rsid w:val="21A61FC4"/>
    <w:rsid w:val="220A3C81"/>
    <w:rsid w:val="220A4192"/>
    <w:rsid w:val="22AC349C"/>
    <w:rsid w:val="22B91715"/>
    <w:rsid w:val="22BE5A7C"/>
    <w:rsid w:val="22F22F30"/>
    <w:rsid w:val="23C12F77"/>
    <w:rsid w:val="24997A50"/>
    <w:rsid w:val="24D6105D"/>
    <w:rsid w:val="24E567F1"/>
    <w:rsid w:val="24FE1558"/>
    <w:rsid w:val="263A33A2"/>
    <w:rsid w:val="264F486A"/>
    <w:rsid w:val="271473C7"/>
    <w:rsid w:val="27BA3F65"/>
    <w:rsid w:val="281573ED"/>
    <w:rsid w:val="288D1B1B"/>
    <w:rsid w:val="29505072"/>
    <w:rsid w:val="29B42C36"/>
    <w:rsid w:val="2A816FBC"/>
    <w:rsid w:val="2AA05E26"/>
    <w:rsid w:val="2B350611"/>
    <w:rsid w:val="2B705E2B"/>
    <w:rsid w:val="2B836D64"/>
    <w:rsid w:val="2BC96E6C"/>
    <w:rsid w:val="2BEE541D"/>
    <w:rsid w:val="2E1A39AF"/>
    <w:rsid w:val="2E304F81"/>
    <w:rsid w:val="2E374561"/>
    <w:rsid w:val="2EE1627B"/>
    <w:rsid w:val="2F074EA2"/>
    <w:rsid w:val="2F2C0B1D"/>
    <w:rsid w:val="2FD41752"/>
    <w:rsid w:val="304070FC"/>
    <w:rsid w:val="305B3700"/>
    <w:rsid w:val="30890978"/>
    <w:rsid w:val="31D40319"/>
    <w:rsid w:val="32777E7D"/>
    <w:rsid w:val="330A0424"/>
    <w:rsid w:val="33453773"/>
    <w:rsid w:val="33CB2BCE"/>
    <w:rsid w:val="33DD1D36"/>
    <w:rsid w:val="33F702EF"/>
    <w:rsid w:val="34170D13"/>
    <w:rsid w:val="35C85566"/>
    <w:rsid w:val="369E2CA4"/>
    <w:rsid w:val="36D63FF5"/>
    <w:rsid w:val="37394099"/>
    <w:rsid w:val="382E5B98"/>
    <w:rsid w:val="38547ABE"/>
    <w:rsid w:val="38D1110E"/>
    <w:rsid w:val="39737051"/>
    <w:rsid w:val="39AD3929"/>
    <w:rsid w:val="3A283FE8"/>
    <w:rsid w:val="3A4D6EBA"/>
    <w:rsid w:val="3A695373"/>
    <w:rsid w:val="3A6B1889"/>
    <w:rsid w:val="3A7B026E"/>
    <w:rsid w:val="3A8066BC"/>
    <w:rsid w:val="3B9F1750"/>
    <w:rsid w:val="3BE64ED1"/>
    <w:rsid w:val="3C0B4340"/>
    <w:rsid w:val="3C3C79E8"/>
    <w:rsid w:val="3C595371"/>
    <w:rsid w:val="3CC14813"/>
    <w:rsid w:val="3CCF3BB7"/>
    <w:rsid w:val="3D3A76B0"/>
    <w:rsid w:val="3D6562C9"/>
    <w:rsid w:val="3DCC7A7C"/>
    <w:rsid w:val="3DD1766F"/>
    <w:rsid w:val="3EB05C6A"/>
    <w:rsid w:val="3F00274D"/>
    <w:rsid w:val="3F5039A5"/>
    <w:rsid w:val="3F564F2A"/>
    <w:rsid w:val="3F5E7474"/>
    <w:rsid w:val="3FA8312C"/>
    <w:rsid w:val="3FCB58CB"/>
    <w:rsid w:val="40B93AD3"/>
    <w:rsid w:val="40ED0E46"/>
    <w:rsid w:val="41132024"/>
    <w:rsid w:val="419329F4"/>
    <w:rsid w:val="426254CD"/>
    <w:rsid w:val="42EC47AF"/>
    <w:rsid w:val="43193DDE"/>
    <w:rsid w:val="43675A04"/>
    <w:rsid w:val="43D877F5"/>
    <w:rsid w:val="43E10162"/>
    <w:rsid w:val="444F611F"/>
    <w:rsid w:val="44760A9D"/>
    <w:rsid w:val="44B4311E"/>
    <w:rsid w:val="44F248E6"/>
    <w:rsid w:val="45CC5137"/>
    <w:rsid w:val="45FF375F"/>
    <w:rsid w:val="46162856"/>
    <w:rsid w:val="46362EF9"/>
    <w:rsid w:val="46A20569"/>
    <w:rsid w:val="46EE732F"/>
    <w:rsid w:val="476B0980"/>
    <w:rsid w:val="479779C7"/>
    <w:rsid w:val="47CC2624"/>
    <w:rsid w:val="48AB372A"/>
    <w:rsid w:val="48CB3DCC"/>
    <w:rsid w:val="48D27FF8"/>
    <w:rsid w:val="48D569F9"/>
    <w:rsid w:val="498D1081"/>
    <w:rsid w:val="49AA35CE"/>
    <w:rsid w:val="4A5611F5"/>
    <w:rsid w:val="4C8B180D"/>
    <w:rsid w:val="4CA037FA"/>
    <w:rsid w:val="4D0E24D9"/>
    <w:rsid w:val="4D73058E"/>
    <w:rsid w:val="4D7F33D7"/>
    <w:rsid w:val="4D820F72"/>
    <w:rsid w:val="4E546612"/>
    <w:rsid w:val="4E824F2D"/>
    <w:rsid w:val="501E7CAB"/>
    <w:rsid w:val="5085694D"/>
    <w:rsid w:val="509D0B67"/>
    <w:rsid w:val="50DE21C3"/>
    <w:rsid w:val="50E33C7D"/>
    <w:rsid w:val="51172D37"/>
    <w:rsid w:val="51552685"/>
    <w:rsid w:val="51644DBE"/>
    <w:rsid w:val="523F22A3"/>
    <w:rsid w:val="524C784D"/>
    <w:rsid w:val="525E70D8"/>
    <w:rsid w:val="52685679"/>
    <w:rsid w:val="526E7374"/>
    <w:rsid w:val="52A42F98"/>
    <w:rsid w:val="53477874"/>
    <w:rsid w:val="542B1BC3"/>
    <w:rsid w:val="54340CAB"/>
    <w:rsid w:val="54B020C8"/>
    <w:rsid w:val="5524472E"/>
    <w:rsid w:val="55E262B1"/>
    <w:rsid w:val="55FA2598"/>
    <w:rsid w:val="568B3E88"/>
    <w:rsid w:val="579B178C"/>
    <w:rsid w:val="58C04746"/>
    <w:rsid w:val="596A6026"/>
    <w:rsid w:val="599364B0"/>
    <w:rsid w:val="5A492DA3"/>
    <w:rsid w:val="5A6645C8"/>
    <w:rsid w:val="5B912A21"/>
    <w:rsid w:val="5D891708"/>
    <w:rsid w:val="5D9702C9"/>
    <w:rsid w:val="5DCC7F73"/>
    <w:rsid w:val="5E0D40E7"/>
    <w:rsid w:val="5E190CDE"/>
    <w:rsid w:val="5E7B5E08"/>
    <w:rsid w:val="5E7D74BF"/>
    <w:rsid w:val="5E806DB9"/>
    <w:rsid w:val="5EC724E8"/>
    <w:rsid w:val="5F543E6A"/>
    <w:rsid w:val="5FB7255D"/>
    <w:rsid w:val="5FE1582B"/>
    <w:rsid w:val="5FE62E42"/>
    <w:rsid w:val="5FF34165"/>
    <w:rsid w:val="5FFC4A99"/>
    <w:rsid w:val="6078146D"/>
    <w:rsid w:val="60996056"/>
    <w:rsid w:val="61446072"/>
    <w:rsid w:val="6185307B"/>
    <w:rsid w:val="61A43138"/>
    <w:rsid w:val="61C176C2"/>
    <w:rsid w:val="61DD1805"/>
    <w:rsid w:val="61FC4B9F"/>
    <w:rsid w:val="6280132C"/>
    <w:rsid w:val="63144A9E"/>
    <w:rsid w:val="631A5FB8"/>
    <w:rsid w:val="63400343"/>
    <w:rsid w:val="638D1FEC"/>
    <w:rsid w:val="65794AEE"/>
    <w:rsid w:val="65817895"/>
    <w:rsid w:val="658F0953"/>
    <w:rsid w:val="65DA705D"/>
    <w:rsid w:val="65FC33BF"/>
    <w:rsid w:val="66096397"/>
    <w:rsid w:val="665F7549"/>
    <w:rsid w:val="66A54D49"/>
    <w:rsid w:val="66AD46B9"/>
    <w:rsid w:val="66F8107D"/>
    <w:rsid w:val="673254E5"/>
    <w:rsid w:val="67980EC5"/>
    <w:rsid w:val="67A40223"/>
    <w:rsid w:val="67B76A68"/>
    <w:rsid w:val="680D2FC5"/>
    <w:rsid w:val="69D95C63"/>
    <w:rsid w:val="69E2467A"/>
    <w:rsid w:val="6A503CD9"/>
    <w:rsid w:val="6A8C2674"/>
    <w:rsid w:val="6AB9187F"/>
    <w:rsid w:val="6B737C7F"/>
    <w:rsid w:val="6BD67A5C"/>
    <w:rsid w:val="6C0542C4"/>
    <w:rsid w:val="6C1256EA"/>
    <w:rsid w:val="6C134FBF"/>
    <w:rsid w:val="6C14399B"/>
    <w:rsid w:val="6C4D779E"/>
    <w:rsid w:val="6C8934D3"/>
    <w:rsid w:val="6CAF32C0"/>
    <w:rsid w:val="6DD703B2"/>
    <w:rsid w:val="6E22686A"/>
    <w:rsid w:val="6EC802E2"/>
    <w:rsid w:val="6ECC157B"/>
    <w:rsid w:val="6EDC188F"/>
    <w:rsid w:val="6EFE3D04"/>
    <w:rsid w:val="6F776FE8"/>
    <w:rsid w:val="6FD72449"/>
    <w:rsid w:val="709938DD"/>
    <w:rsid w:val="712A6EE7"/>
    <w:rsid w:val="714F6A99"/>
    <w:rsid w:val="7185070D"/>
    <w:rsid w:val="71B6488D"/>
    <w:rsid w:val="72255A4C"/>
    <w:rsid w:val="724F1D63"/>
    <w:rsid w:val="739C6BE4"/>
    <w:rsid w:val="73B01345"/>
    <w:rsid w:val="73B726D3"/>
    <w:rsid w:val="74523DBE"/>
    <w:rsid w:val="74D379E1"/>
    <w:rsid w:val="74E528F9"/>
    <w:rsid w:val="75410DEE"/>
    <w:rsid w:val="756C46A5"/>
    <w:rsid w:val="75EF1A41"/>
    <w:rsid w:val="76807428"/>
    <w:rsid w:val="76C25A93"/>
    <w:rsid w:val="76EC08E6"/>
    <w:rsid w:val="77AD62C7"/>
    <w:rsid w:val="795B332D"/>
    <w:rsid w:val="7A304B42"/>
    <w:rsid w:val="7A5213A8"/>
    <w:rsid w:val="7A991A37"/>
    <w:rsid w:val="7AD41AC7"/>
    <w:rsid w:val="7B486307"/>
    <w:rsid w:val="7C0A19EF"/>
    <w:rsid w:val="7C31689A"/>
    <w:rsid w:val="7C4116D4"/>
    <w:rsid w:val="7C460A98"/>
    <w:rsid w:val="7C8F0691"/>
    <w:rsid w:val="7D015BC5"/>
    <w:rsid w:val="7E4C610E"/>
    <w:rsid w:val="7E5F22E5"/>
    <w:rsid w:val="7F672815"/>
    <w:rsid w:val="7FAD6D90"/>
    <w:rsid w:val="7FF52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8"/>
    <w:qFormat/>
    <w:uiPriority w:val="9"/>
    <w:pPr>
      <w:keepNext/>
      <w:keepLines/>
      <w:spacing w:before="340" w:after="330" w:line="578" w:lineRule="auto"/>
      <w:outlineLvl w:val="0"/>
    </w:pPr>
    <w:rPr>
      <w:rFonts w:asciiTheme="minorHAnsi" w:hAnsiTheme="minorHAnsi" w:eastAsiaTheme="minorEastAsia" w:cstheme="minorBidi"/>
      <w:b/>
      <w:bCs/>
      <w:kern w:val="44"/>
      <w:sz w:val="44"/>
      <w:szCs w:val="44"/>
    </w:rPr>
  </w:style>
  <w:style w:type="paragraph" w:styleId="3">
    <w:name w:val="heading 2"/>
    <w:basedOn w:val="1"/>
    <w:next w:val="1"/>
    <w:unhideWhenUsed/>
    <w:qFormat/>
    <w:uiPriority w:val="0"/>
    <w:pPr>
      <w:keepNext/>
      <w:keepLines/>
      <w:outlineLvl w:val="1"/>
    </w:pPr>
    <w:rPr>
      <w:rFonts w:asciiTheme="majorHAnsi" w:hAnsiTheme="majorHAnsi" w:cstheme="majorBidi"/>
      <w:b/>
      <w:bCs/>
      <w:sz w:val="30"/>
      <w:szCs w:val="32"/>
      <w:lang w:eastAsia="ja-JP"/>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spacing w:before="60" w:after="60" w:line="440" w:lineRule="exact"/>
      <w:ind w:right="-8" w:rightChars="-4" w:firstLine="490" w:firstLineChars="204"/>
    </w:pPr>
    <w:rPr>
      <w:bCs/>
      <w:color w:val="000000"/>
      <w:sz w:val="24"/>
      <w:szCs w:val="20"/>
    </w:rPr>
  </w:style>
  <w:style w:type="paragraph" w:styleId="6">
    <w:name w:val="annotation text"/>
    <w:basedOn w:val="1"/>
    <w:link w:val="50"/>
    <w:semiHidden/>
    <w:unhideWhenUsed/>
    <w:qFormat/>
    <w:uiPriority w:val="0"/>
    <w:pPr>
      <w:jc w:val="left"/>
    </w:pPr>
  </w:style>
  <w:style w:type="paragraph" w:styleId="7">
    <w:name w:val="Body Text"/>
    <w:basedOn w:val="1"/>
    <w:next w:val="8"/>
    <w:link w:val="41"/>
    <w:qFormat/>
    <w:uiPriority w:val="0"/>
    <w:pPr>
      <w:widowControl/>
      <w:jc w:val="left"/>
    </w:pPr>
    <w:rPr>
      <w:rFonts w:eastAsia="PMingLiU"/>
      <w:kern w:val="0"/>
      <w:sz w:val="24"/>
      <w:szCs w:val="20"/>
      <w:lang w:eastAsia="en-US"/>
    </w:rPr>
  </w:style>
  <w:style w:type="paragraph" w:styleId="8">
    <w:name w:val="Body Text First Indent"/>
    <w:basedOn w:val="7"/>
    <w:next w:val="1"/>
    <w:unhideWhenUsed/>
    <w:qFormat/>
    <w:uiPriority w:val="99"/>
    <w:pPr>
      <w:ind w:firstLine="420" w:firstLineChars="100"/>
    </w:pPr>
    <w:rPr>
      <w:kern w:val="2"/>
      <w:sz w:val="21"/>
    </w:rPr>
  </w:style>
  <w:style w:type="paragraph" w:styleId="9">
    <w:name w:val="Body Text Indent"/>
    <w:basedOn w:val="1"/>
    <w:link w:val="40"/>
    <w:qFormat/>
    <w:uiPriority w:val="0"/>
    <w:pPr>
      <w:widowControl/>
      <w:ind w:left="-270" w:firstLine="270"/>
      <w:jc w:val="left"/>
    </w:pPr>
    <w:rPr>
      <w:rFonts w:eastAsia="PMingLiU"/>
      <w:kern w:val="0"/>
      <w:sz w:val="24"/>
      <w:szCs w:val="20"/>
      <w:lang w:val="en-GB" w:eastAsia="en-US"/>
    </w:rPr>
  </w:style>
  <w:style w:type="paragraph" w:styleId="10">
    <w:name w:val="toc 3"/>
    <w:basedOn w:val="1"/>
    <w:next w:val="1"/>
    <w:semiHidden/>
    <w:unhideWhenUsed/>
    <w:qFormat/>
    <w:uiPriority w:val="0"/>
    <w:pPr>
      <w:ind w:left="840" w:leftChars="400"/>
    </w:pPr>
  </w:style>
  <w:style w:type="paragraph" w:styleId="11">
    <w:name w:val="Plain Text"/>
    <w:basedOn w:val="1"/>
    <w:link w:val="38"/>
    <w:qFormat/>
    <w:uiPriority w:val="0"/>
    <w:rPr>
      <w:rFonts w:ascii="宋体" w:hAnsi="Courier New"/>
      <w:szCs w:val="20"/>
    </w:rPr>
  </w:style>
  <w:style w:type="paragraph" w:styleId="12">
    <w:name w:val="Balloon Text"/>
    <w:basedOn w:val="1"/>
    <w:semiHidden/>
    <w:qFormat/>
    <w:uiPriority w:val="0"/>
    <w:rPr>
      <w:sz w:val="18"/>
      <w:szCs w:val="18"/>
    </w:rPr>
  </w:style>
  <w:style w:type="paragraph" w:styleId="13">
    <w:name w:val="footer"/>
    <w:basedOn w:val="1"/>
    <w:link w:val="31"/>
    <w:qFormat/>
    <w:uiPriority w:val="99"/>
    <w:pPr>
      <w:tabs>
        <w:tab w:val="center" w:pos="4153"/>
        <w:tab w:val="right" w:pos="8306"/>
      </w:tabs>
      <w:snapToGrid w:val="0"/>
      <w:jc w:val="left"/>
    </w:pPr>
    <w:rPr>
      <w:sz w:val="18"/>
      <w:szCs w:val="18"/>
    </w:rPr>
  </w:style>
  <w:style w:type="paragraph" w:styleId="14">
    <w:name w:val="header"/>
    <w:basedOn w:val="1"/>
    <w:link w:val="30"/>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style>
  <w:style w:type="paragraph" w:styleId="16">
    <w:name w:val="Body Text Indent 3"/>
    <w:basedOn w:val="1"/>
    <w:qFormat/>
    <w:uiPriority w:val="0"/>
    <w:pPr>
      <w:autoSpaceDE w:val="0"/>
      <w:autoSpaceDN w:val="0"/>
      <w:spacing w:line="400" w:lineRule="atLeast"/>
      <w:ind w:firstLine="443" w:firstLineChars="200"/>
      <w:textAlignment w:val="bottom"/>
    </w:pPr>
    <w:rPr>
      <w:rFonts w:eastAsia="黑体"/>
      <w:color w:val="000000"/>
      <w:sz w:val="24"/>
    </w:rPr>
  </w:style>
  <w:style w:type="paragraph" w:styleId="17">
    <w:name w:val="toc 2"/>
    <w:basedOn w:val="1"/>
    <w:next w:val="1"/>
    <w:semiHidden/>
    <w:unhideWhenUsed/>
    <w:qFormat/>
    <w:uiPriority w:val="0"/>
    <w:pPr>
      <w:ind w:left="420" w:leftChars="200"/>
    </w:pPr>
  </w:style>
  <w:style w:type="paragraph" w:styleId="18">
    <w:name w:val="Normal (Web)"/>
    <w:basedOn w:val="1"/>
    <w:qFormat/>
    <w:uiPriority w:val="99"/>
    <w:pPr>
      <w:widowControl/>
      <w:spacing w:before="100" w:beforeAutospacing="1" w:after="100" w:afterAutospacing="1"/>
      <w:jc w:val="left"/>
    </w:pPr>
    <w:rPr>
      <w:rFonts w:ascii="宋体" w:hAnsi="宋体" w:cs="宋体"/>
      <w:color w:val="000000"/>
      <w:kern w:val="0"/>
      <w:sz w:val="24"/>
    </w:rPr>
  </w:style>
  <w:style w:type="paragraph" w:styleId="19">
    <w:name w:val="Title"/>
    <w:basedOn w:val="1"/>
    <w:next w:val="1"/>
    <w:link w:val="56"/>
    <w:qFormat/>
    <w:uiPriority w:val="0"/>
    <w:pPr>
      <w:spacing w:before="240" w:after="60"/>
      <w:jc w:val="center"/>
      <w:outlineLvl w:val="0"/>
    </w:pPr>
    <w:rPr>
      <w:rFonts w:asciiTheme="majorHAnsi" w:hAnsiTheme="majorHAnsi" w:cstheme="majorBidi"/>
      <w:b/>
      <w:bCs/>
      <w:sz w:val="32"/>
      <w:szCs w:val="32"/>
    </w:rPr>
  </w:style>
  <w:style w:type="paragraph" w:styleId="20">
    <w:name w:val="annotation subject"/>
    <w:basedOn w:val="6"/>
    <w:next w:val="6"/>
    <w:link w:val="51"/>
    <w:semiHidden/>
    <w:unhideWhenUsed/>
    <w:qFormat/>
    <w:uiPriority w:val="0"/>
    <w:rPr>
      <w:b/>
      <w:bCs/>
    </w:rPr>
  </w:style>
  <w:style w:type="table" w:styleId="22">
    <w:name w:val="Table Grid"/>
    <w:basedOn w:val="2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Strong"/>
    <w:basedOn w:val="23"/>
    <w:qFormat/>
    <w:uiPriority w:val="0"/>
    <w:rPr>
      <w:b/>
      <w:bCs/>
    </w:rPr>
  </w:style>
  <w:style w:type="character" w:styleId="25">
    <w:name w:val="Emphasis"/>
    <w:qFormat/>
    <w:uiPriority w:val="20"/>
    <w:rPr>
      <w:color w:val="DD4B39"/>
    </w:rPr>
  </w:style>
  <w:style w:type="character" w:styleId="26">
    <w:name w:val="Hyperlink"/>
    <w:qFormat/>
    <w:uiPriority w:val="99"/>
    <w:rPr>
      <w:color w:val="0000FF"/>
      <w:u w:val="single"/>
    </w:rPr>
  </w:style>
  <w:style w:type="character" w:styleId="27">
    <w:name w:val="annotation reference"/>
    <w:basedOn w:val="23"/>
    <w:semiHidden/>
    <w:unhideWhenUsed/>
    <w:qFormat/>
    <w:uiPriority w:val="0"/>
    <w:rPr>
      <w:sz w:val="21"/>
      <w:szCs w:val="21"/>
    </w:rPr>
  </w:style>
  <w:style w:type="paragraph" w:customStyle="1" w:styleId="28">
    <w:name w:val="首行缩进"/>
    <w:basedOn w:val="1"/>
    <w:qFormat/>
    <w:uiPriority w:val="0"/>
    <w:pPr>
      <w:widowControl/>
      <w:tabs>
        <w:tab w:val="left" w:pos="822"/>
      </w:tabs>
      <w:snapToGrid w:val="0"/>
      <w:spacing w:before="40" w:after="40" w:line="300" w:lineRule="atLeast"/>
      <w:ind w:left="2940" w:hanging="420"/>
    </w:pPr>
    <w:rPr>
      <w:rFonts w:ascii="Arial" w:hAnsi="Arial"/>
      <w:kern w:val="0"/>
      <w:szCs w:val="20"/>
    </w:rPr>
  </w:style>
  <w:style w:type="paragraph" w:customStyle="1" w:styleId="29">
    <w:name w:val="Default"/>
    <w:qFormat/>
    <w:uiPriority w:val="0"/>
    <w:pPr>
      <w:widowControl w:val="0"/>
      <w:autoSpaceDE w:val="0"/>
      <w:autoSpaceDN w:val="0"/>
      <w:adjustRightInd w:val="0"/>
    </w:pPr>
    <w:rPr>
      <w:rFonts w:ascii="JEHOPL+TimesNewRomanPS" w:hAnsi="Times New Roman" w:eastAsia="JEHOPL+TimesNewRomanPS" w:cs="JEHOPL+TimesNewRomanPS"/>
      <w:color w:val="000000"/>
      <w:sz w:val="24"/>
      <w:szCs w:val="24"/>
      <w:lang w:val="en-US" w:eastAsia="zh-CN" w:bidi="ar-SA"/>
    </w:rPr>
  </w:style>
  <w:style w:type="character" w:customStyle="1" w:styleId="30">
    <w:name w:val="页眉 Char"/>
    <w:link w:val="14"/>
    <w:qFormat/>
    <w:uiPriority w:val="0"/>
    <w:rPr>
      <w:kern w:val="2"/>
      <w:sz w:val="18"/>
      <w:szCs w:val="18"/>
    </w:rPr>
  </w:style>
  <w:style w:type="character" w:customStyle="1" w:styleId="31">
    <w:name w:val="页脚 Char"/>
    <w:link w:val="13"/>
    <w:qFormat/>
    <w:uiPriority w:val="99"/>
    <w:rPr>
      <w:kern w:val="2"/>
      <w:sz w:val="18"/>
      <w:szCs w:val="18"/>
    </w:rPr>
  </w:style>
  <w:style w:type="paragraph" w:styleId="32">
    <w:name w:val="List Paragraph"/>
    <w:basedOn w:val="1"/>
    <w:qFormat/>
    <w:uiPriority w:val="99"/>
    <w:pPr>
      <w:ind w:firstLine="420" w:firstLineChars="200"/>
    </w:pPr>
    <w:rPr>
      <w:rFonts w:ascii="Calibri" w:hAnsi="Calibri"/>
      <w:szCs w:val="22"/>
    </w:rPr>
  </w:style>
  <w:style w:type="paragraph" w:customStyle="1" w:styleId="33">
    <w:name w:val="Char"/>
    <w:basedOn w:val="1"/>
    <w:qFormat/>
    <w:uiPriority w:val="0"/>
    <w:pPr>
      <w:spacing w:line="360" w:lineRule="auto"/>
      <w:ind w:firstLine="200" w:firstLineChars="200"/>
    </w:pPr>
    <w:rPr>
      <w:rFonts w:ascii="宋体" w:hAnsi="宋体" w:cs="宋体"/>
      <w:sz w:val="24"/>
    </w:rPr>
  </w:style>
  <w:style w:type="paragraph" w:customStyle="1" w:styleId="34">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5">
    <w:name w:val="apple-style-span"/>
    <w:basedOn w:val="23"/>
    <w:qFormat/>
    <w:uiPriority w:val="0"/>
  </w:style>
  <w:style w:type="paragraph" w:customStyle="1" w:styleId="36">
    <w:name w:val="列出段落1"/>
    <w:basedOn w:val="1"/>
    <w:qFormat/>
    <w:uiPriority w:val="0"/>
    <w:pPr>
      <w:ind w:firstLine="420" w:firstLineChars="200"/>
    </w:pPr>
  </w:style>
  <w:style w:type="character" w:customStyle="1" w:styleId="37">
    <w:name w:val="bumpedfont20"/>
    <w:basedOn w:val="23"/>
    <w:qFormat/>
    <w:uiPriority w:val="0"/>
  </w:style>
  <w:style w:type="character" w:customStyle="1" w:styleId="38">
    <w:name w:val="纯文本 Char"/>
    <w:link w:val="11"/>
    <w:qFormat/>
    <w:uiPriority w:val="0"/>
    <w:rPr>
      <w:rFonts w:ascii="宋体" w:hAnsi="Courier New"/>
      <w:kern w:val="2"/>
      <w:sz w:val="21"/>
    </w:rPr>
  </w:style>
  <w:style w:type="paragraph" w:styleId="39">
    <w:name w:val="No Spacing"/>
    <w:qFormat/>
    <w:uiPriority w:val="1"/>
    <w:pPr>
      <w:widowControl w:val="0"/>
      <w:adjustRightInd w:val="0"/>
      <w:textAlignment w:val="baseline"/>
    </w:pPr>
    <w:rPr>
      <w:rFonts w:ascii="Times New Roman" w:hAnsi="Times New Roman" w:eastAsia="宋体" w:cs="Times New Roman"/>
      <w:lang w:val="en-US" w:eastAsia="zh-CN" w:bidi="ar-SA"/>
    </w:rPr>
  </w:style>
  <w:style w:type="character" w:customStyle="1" w:styleId="40">
    <w:name w:val="正文文本缩进 Char"/>
    <w:link w:val="9"/>
    <w:qFormat/>
    <w:uiPriority w:val="0"/>
    <w:rPr>
      <w:rFonts w:eastAsia="PMingLiU"/>
      <w:sz w:val="24"/>
      <w:lang w:val="en-GB" w:eastAsia="en-US"/>
    </w:rPr>
  </w:style>
  <w:style w:type="character" w:customStyle="1" w:styleId="41">
    <w:name w:val="正文文本 Char"/>
    <w:link w:val="7"/>
    <w:qFormat/>
    <w:uiPriority w:val="0"/>
    <w:rPr>
      <w:rFonts w:eastAsia="PMingLiU"/>
      <w:sz w:val="24"/>
      <w:lang w:eastAsia="en-US"/>
    </w:rPr>
  </w:style>
  <w:style w:type="character" w:customStyle="1" w:styleId="42">
    <w:name w:val="short_text"/>
    <w:qFormat/>
    <w:uiPriority w:val="0"/>
  </w:style>
  <w:style w:type="character" w:customStyle="1" w:styleId="43">
    <w:name w:val="st1"/>
    <w:qFormat/>
    <w:uiPriority w:val="0"/>
  </w:style>
  <w:style w:type="character" w:customStyle="1" w:styleId="44">
    <w:name w:val="apple-converted-space"/>
    <w:basedOn w:val="23"/>
    <w:qFormat/>
    <w:uiPriority w:val="99"/>
  </w:style>
  <w:style w:type="paragraph" w:customStyle="1" w:styleId="45">
    <w:name w:val="默认"/>
    <w:qFormat/>
    <w:uiPriority w:val="0"/>
    <w:rPr>
      <w:rFonts w:hint="eastAsia" w:ascii="Arial Unicode MS" w:hAnsi="Arial Unicode MS" w:eastAsia="Helvetica" w:cs="Arial Unicode MS"/>
      <w:color w:val="000000"/>
      <w:sz w:val="22"/>
      <w:szCs w:val="22"/>
      <w:lang w:val="zh-CN" w:eastAsia="zh-CN" w:bidi="ar-SA"/>
    </w:rPr>
  </w:style>
  <w:style w:type="table" w:customStyle="1" w:styleId="46">
    <w:name w:val="网格型1"/>
    <w:basedOn w:val="21"/>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47">
    <w:name w:val="_Style 2"/>
    <w:basedOn w:val="1"/>
    <w:qFormat/>
    <w:uiPriority w:val="34"/>
    <w:pPr>
      <w:ind w:firstLine="420" w:firstLineChars="200"/>
    </w:pPr>
  </w:style>
  <w:style w:type="character" w:customStyle="1" w:styleId="48">
    <w:name w:val="标题 1 Char"/>
    <w:basedOn w:val="23"/>
    <w:link w:val="2"/>
    <w:qFormat/>
    <w:uiPriority w:val="9"/>
    <w:rPr>
      <w:rFonts w:asciiTheme="minorHAnsi" w:hAnsiTheme="minorHAnsi" w:eastAsiaTheme="minorEastAsia" w:cstheme="minorBidi"/>
      <w:b/>
      <w:bCs/>
      <w:kern w:val="44"/>
      <w:sz w:val="44"/>
      <w:szCs w:val="44"/>
    </w:rPr>
  </w:style>
  <w:style w:type="paragraph" w:customStyle="1" w:styleId="49">
    <w:name w:val="列出段落2"/>
    <w:basedOn w:val="1"/>
    <w:qFormat/>
    <w:uiPriority w:val="0"/>
    <w:pPr>
      <w:ind w:firstLine="420" w:firstLineChars="200"/>
    </w:pPr>
    <w:rPr>
      <w:rFonts w:ascii="Calibri" w:hAnsi="Calibri"/>
      <w:szCs w:val="22"/>
    </w:rPr>
  </w:style>
  <w:style w:type="character" w:customStyle="1" w:styleId="50">
    <w:name w:val="批注文字 Char"/>
    <w:basedOn w:val="23"/>
    <w:link w:val="6"/>
    <w:semiHidden/>
    <w:qFormat/>
    <w:uiPriority w:val="0"/>
    <w:rPr>
      <w:kern w:val="2"/>
      <w:sz w:val="21"/>
      <w:szCs w:val="24"/>
    </w:rPr>
  </w:style>
  <w:style w:type="character" w:customStyle="1" w:styleId="51">
    <w:name w:val="批注主题 Char"/>
    <w:basedOn w:val="50"/>
    <w:link w:val="20"/>
    <w:semiHidden/>
    <w:qFormat/>
    <w:uiPriority w:val="0"/>
    <w:rPr>
      <w:b/>
      <w:bCs/>
      <w:kern w:val="2"/>
      <w:sz w:val="21"/>
      <w:szCs w:val="24"/>
    </w:rPr>
  </w:style>
  <w:style w:type="table" w:customStyle="1" w:styleId="52">
    <w:name w:val="网格型2"/>
    <w:basedOn w:val="21"/>
    <w:qFormat/>
    <w:uiPriority w:val="0"/>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53">
    <w:name w:val="修订1"/>
    <w:hidden/>
    <w:semiHidden/>
    <w:unhideWhenUsed/>
    <w:qFormat/>
    <w:uiPriority w:val="99"/>
    <w:rPr>
      <w:rFonts w:ascii="Times New Roman" w:hAnsi="Times New Roman" w:eastAsia="宋体" w:cs="Times New Roman"/>
      <w:kern w:val="2"/>
      <w:sz w:val="21"/>
      <w:szCs w:val="24"/>
      <w:lang w:val="en-US" w:eastAsia="zh-CN" w:bidi="ar-SA"/>
    </w:rPr>
  </w:style>
  <w:style w:type="paragraph" w:customStyle="1" w:styleId="54">
    <w:name w:val="正文文字"/>
    <w:basedOn w:val="1"/>
    <w:qFormat/>
    <w:uiPriority w:val="0"/>
    <w:pPr>
      <w:widowControl/>
      <w:spacing w:line="952" w:lineRule="atLeast"/>
      <w:ind w:firstLine="419"/>
      <w:textAlignment w:val="baseline"/>
    </w:pPr>
    <w:rPr>
      <w:b/>
      <w:color w:val="000000"/>
      <w:kern w:val="0"/>
      <w:sz w:val="44"/>
      <w:szCs w:val="20"/>
      <w:u w:color="000000"/>
    </w:rPr>
  </w:style>
  <w:style w:type="paragraph" w:customStyle="1" w:styleId="55">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5" w:themeColor="accent1" w:themeShade="BF"/>
      <w:kern w:val="0"/>
      <w:sz w:val="32"/>
      <w:szCs w:val="32"/>
    </w:rPr>
  </w:style>
  <w:style w:type="character" w:customStyle="1" w:styleId="56">
    <w:name w:val="标题 Char"/>
    <w:basedOn w:val="23"/>
    <w:link w:val="19"/>
    <w:qFormat/>
    <w:uiPriority w:val="0"/>
    <w:rPr>
      <w:rFonts w:asciiTheme="majorHAnsi" w:hAnsiTheme="majorHAnsi" w:cstheme="majorBidi"/>
      <w:b/>
      <w:bCs/>
      <w:kern w:val="2"/>
      <w:sz w:val="32"/>
      <w:szCs w:val="32"/>
    </w:rPr>
  </w:style>
  <w:style w:type="paragraph" w:customStyle="1" w:styleId="57">
    <w:name w:val="Body Text Indent 31"/>
    <w:basedOn w:val="1"/>
    <w:qFormat/>
    <w:uiPriority w:val="0"/>
    <w:pPr>
      <w:spacing w:line="300" w:lineRule="auto"/>
      <w:ind w:firstLine="600"/>
    </w:pPr>
    <w:rPr>
      <w:rFonts w:ascii="仿宋_GB2312" w:eastAsia="仿宋_GB2312"/>
      <w:b/>
      <w:spacing w:val="4"/>
      <w:kern w:val="0"/>
      <w:sz w:val="28"/>
      <w:szCs w:val="20"/>
    </w:rPr>
  </w:style>
  <w:style w:type="paragraph" w:customStyle="1" w:styleId="58">
    <w:name w:val="我的正文"/>
    <w:basedOn w:val="1"/>
    <w:qFormat/>
    <w:uiPriority w:val="0"/>
    <w:pPr>
      <w:widowControl/>
      <w:adjustRightInd w:val="0"/>
      <w:snapToGrid w:val="0"/>
      <w:ind w:firstLine="200" w:firstLineChars="200"/>
      <w:jc w:val="left"/>
    </w:pPr>
    <w:rPr>
      <w:rFonts w:ascii="仿宋" w:hAnsi="仿宋" w:eastAsia="仿宋"/>
      <w:kern w:val="0"/>
      <w:sz w:val="24"/>
      <w:szCs w:val="30"/>
      <w:lang w:val="zh-CN"/>
    </w:rPr>
  </w:style>
  <w:style w:type="paragraph" w:customStyle="1" w:styleId="59">
    <w:name w:val="p1"/>
    <w:basedOn w:val="1"/>
    <w:qFormat/>
    <w:uiPriority w:val="0"/>
    <w:pPr>
      <w:jc w:val="left"/>
    </w:pPr>
    <w:rPr>
      <w:rFonts w:ascii="Helvetica" w:hAnsi="Helvetica" w:eastAsia="Helvetica"/>
      <w:kern w:val="0"/>
      <w:sz w:val="24"/>
    </w:rPr>
  </w:style>
  <w:style w:type="paragraph" w:customStyle="1" w:styleId="60">
    <w:name w:val="Table Paragraph"/>
    <w:basedOn w:val="1"/>
    <w:unhideWhenUsed/>
    <w:qFormat/>
    <w:uiPriority w:val="1"/>
    <w:rPr>
      <w:sz w:val="24"/>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微软公司</Company>
  <Pages>21</Pages>
  <Words>3524</Words>
  <Characters>3686</Characters>
  <Lines>60</Lines>
  <Paragraphs>16</Paragraphs>
  <TotalTime>3</TotalTime>
  <ScaleCrop>false</ScaleCrop>
  <LinksUpToDate>false</LinksUpToDate>
  <CharactersWithSpaces>3725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2020-08-03T07:24:00Z</dcterms:created>
  <dc:creator>jolin</dc:creator>
  <cp:lastModifiedBy>周琳颖</cp:lastModifiedBy>
  <cp:lastPrinted>2026-06-25T02:12:00Z</cp:lastPrinted>
  <dcterms:modified xsi:type="dcterms:W3CDTF">2026-09-02T03:16:02Z</dcterms:modified>
  <cp:revision>670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58E5C2A9DD7A4340B35AEBFC7DE98184_13</vt:lpwstr>
  </property>
  <property fmtid="{D5CDD505-2E9C-101B-9397-08002B2CF9AE}" pid="4" name="KSOTemplateDocerSaveRecord">
    <vt:lpwstr>eyJoZGlkIjoiYTYwMmM2YTUyODc3MGZhODIyZTQ5MTVkYzcwMjY2YTQiLCJ1c2VySWQiOiIxODA2ODM5NjI4In0=</vt:lpwstr>
  </property>
</Properties>
</file>