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jc w:val="center"/>
        <w:rPr>
          <w:rFonts w:ascii="宋体" w:hAnsi="宋体"/>
          <w:b/>
          <w:bCs/>
          <w:sz w:val="52"/>
          <w:szCs w:val="52"/>
        </w:rPr>
      </w:pPr>
    </w:p>
    <w:p>
      <w:pPr>
        <w:spacing w:before="100" w:beforeAutospacing="1" w:after="100" w:afterAutospacing="1" w:line="360" w:lineRule="auto"/>
        <w:jc w:val="center"/>
        <w:rPr>
          <w:rFonts w:ascii="宋体" w:hAnsi="宋体"/>
          <w:b/>
          <w:bCs/>
          <w:sz w:val="52"/>
          <w:szCs w:val="52"/>
        </w:rPr>
      </w:pPr>
    </w:p>
    <w:p>
      <w:pPr>
        <w:spacing w:before="100" w:beforeAutospacing="1" w:after="100" w:afterAutospacing="1" w:line="360" w:lineRule="auto"/>
        <w:jc w:val="center"/>
        <w:rPr>
          <w:rFonts w:ascii="宋体" w:hAnsi="宋体"/>
          <w:b/>
          <w:bCs/>
          <w:sz w:val="52"/>
          <w:szCs w:val="52"/>
        </w:rPr>
      </w:pPr>
      <w:r>
        <w:rPr>
          <w:rFonts w:hint="eastAsia" w:ascii="宋体" w:hAnsi="宋体"/>
          <w:b/>
          <w:bCs/>
          <w:sz w:val="52"/>
          <w:szCs w:val="52"/>
        </w:rPr>
        <w:t>浙江大学医学院附属妇产科医院</w:t>
      </w:r>
    </w:p>
    <w:p>
      <w:pPr>
        <w:spacing w:before="100" w:beforeAutospacing="1" w:after="100" w:afterAutospacing="1" w:line="360" w:lineRule="auto"/>
        <w:jc w:val="center"/>
        <w:rPr>
          <w:rFonts w:ascii="宋体" w:hAnsi="宋体"/>
          <w:b/>
          <w:bCs/>
          <w:sz w:val="84"/>
          <w:szCs w:val="84"/>
        </w:rPr>
      </w:pPr>
      <w:r>
        <w:rPr>
          <w:rFonts w:hint="eastAsia" w:ascii="宋体" w:hAnsi="宋体"/>
          <w:b/>
          <w:bCs/>
          <w:sz w:val="84"/>
          <w:szCs w:val="84"/>
        </w:rPr>
        <w:t>公开比选文件</w:t>
      </w:r>
    </w:p>
    <w:p>
      <w:pPr>
        <w:spacing w:before="100" w:beforeAutospacing="1" w:after="100" w:afterAutospacing="1" w:line="360" w:lineRule="auto"/>
        <w:jc w:val="center"/>
        <w:rPr>
          <w:rFonts w:hint="default" w:ascii="宋体" w:hAnsi="宋体" w:eastAsia="宋体"/>
          <w:b/>
          <w:sz w:val="32"/>
          <w:szCs w:val="32"/>
          <w:lang w:val="en-US" w:eastAsia="zh-CN"/>
        </w:rPr>
      </w:pPr>
      <w:r>
        <w:rPr>
          <w:rFonts w:hint="eastAsia" w:ascii="宋体" w:hAnsi="宋体"/>
          <w:b/>
          <w:sz w:val="32"/>
          <w:szCs w:val="32"/>
        </w:rPr>
        <w:t>项目编号：2023-12</w:t>
      </w:r>
      <w:r>
        <w:rPr>
          <w:rFonts w:hint="eastAsia" w:ascii="宋体" w:hAnsi="宋体"/>
          <w:b/>
          <w:sz w:val="32"/>
          <w:szCs w:val="32"/>
          <w:lang w:val="en-US" w:eastAsia="zh-CN"/>
        </w:rPr>
        <w:t>14</w:t>
      </w:r>
    </w:p>
    <w:p>
      <w:pPr>
        <w:spacing w:line="360" w:lineRule="auto"/>
        <w:jc w:val="center"/>
        <w:rPr>
          <w:rFonts w:hint="eastAsia" w:ascii="宋体" w:hAnsi="宋体" w:eastAsia="宋体"/>
          <w:b/>
          <w:bCs/>
          <w:sz w:val="28"/>
          <w:lang w:eastAsia="zh-CN"/>
        </w:rPr>
      </w:pPr>
      <w:r>
        <w:rPr>
          <w:rFonts w:hint="eastAsia" w:ascii="宋体" w:hAnsi="宋体"/>
          <w:b/>
          <w:bCs/>
          <w:sz w:val="32"/>
          <w:szCs w:val="32"/>
        </w:rPr>
        <w:t>项目名称：钱江院区绿化改造</w:t>
      </w:r>
      <w:r>
        <w:rPr>
          <w:rFonts w:hint="eastAsia" w:ascii="宋体" w:hAnsi="宋体"/>
          <w:b/>
          <w:bCs/>
          <w:sz w:val="32"/>
          <w:szCs w:val="32"/>
          <w:lang w:eastAsia="zh-CN"/>
        </w:rPr>
        <w:t>（重新采购）</w:t>
      </w:r>
    </w:p>
    <w:p>
      <w:pPr>
        <w:spacing w:before="100" w:beforeAutospacing="1" w:after="100" w:afterAutospacing="1" w:line="360" w:lineRule="auto"/>
        <w:ind w:firstLine="1124" w:firstLineChars="400"/>
        <w:jc w:val="center"/>
        <w:rPr>
          <w:rFonts w:ascii="宋体" w:hAnsi="宋体"/>
          <w:b/>
          <w:bCs/>
          <w:sz w:val="28"/>
        </w:rPr>
      </w:pPr>
    </w:p>
    <w:p>
      <w:pPr>
        <w:spacing w:before="100" w:beforeAutospacing="1" w:after="100" w:afterAutospacing="1" w:line="360" w:lineRule="auto"/>
        <w:ind w:firstLine="1124" w:firstLineChars="400"/>
        <w:jc w:val="center"/>
        <w:rPr>
          <w:rFonts w:ascii="宋体" w:hAnsi="宋体"/>
          <w:b/>
          <w:bCs/>
          <w:sz w:val="28"/>
        </w:rPr>
      </w:pPr>
    </w:p>
    <w:p>
      <w:pPr>
        <w:spacing w:before="100" w:beforeAutospacing="1" w:after="100" w:afterAutospacing="1" w:line="360" w:lineRule="auto"/>
        <w:ind w:firstLine="1124" w:firstLineChars="400"/>
        <w:jc w:val="center"/>
        <w:rPr>
          <w:rFonts w:ascii="宋体" w:hAnsi="宋体"/>
          <w:b/>
          <w:bCs/>
          <w:sz w:val="28"/>
        </w:rPr>
      </w:pPr>
    </w:p>
    <w:p>
      <w:pPr>
        <w:spacing w:before="100" w:beforeAutospacing="1" w:after="100" w:afterAutospacing="1" w:line="360" w:lineRule="auto"/>
        <w:ind w:firstLine="1124" w:firstLineChars="400"/>
        <w:jc w:val="center"/>
        <w:rPr>
          <w:rFonts w:ascii="宋体" w:hAnsi="宋体"/>
          <w:b/>
          <w:bCs/>
          <w:sz w:val="28"/>
        </w:rPr>
      </w:pPr>
    </w:p>
    <w:p>
      <w:pPr>
        <w:spacing w:before="100" w:beforeAutospacing="1" w:after="100" w:afterAutospacing="1" w:line="360" w:lineRule="auto"/>
        <w:jc w:val="center"/>
        <w:rPr>
          <w:rFonts w:ascii="宋体" w:hAnsi="宋体"/>
          <w:b/>
          <w:bCs/>
          <w:sz w:val="32"/>
          <w:szCs w:val="32"/>
        </w:rPr>
      </w:pPr>
      <w:r>
        <w:rPr>
          <w:rFonts w:hint="eastAsia" w:ascii="宋体" w:hAnsi="宋体"/>
          <w:b/>
          <w:bCs/>
          <w:sz w:val="32"/>
          <w:szCs w:val="32"/>
        </w:rPr>
        <w:t>日期： 2023年12月</w:t>
      </w:r>
    </w:p>
    <w:p>
      <w:pPr>
        <w:jc w:val="center"/>
        <w:rPr>
          <w:b/>
          <w:sz w:val="32"/>
          <w:szCs w:val="32"/>
        </w:rPr>
      </w:pPr>
    </w:p>
    <w:p>
      <w:pPr>
        <w:jc w:val="center"/>
        <w:rPr>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ascii="宋体" w:hAnsi="宋体"/>
          <w:b/>
          <w:sz w:val="32"/>
          <w:szCs w:val="32"/>
        </w:rPr>
      </w:pPr>
      <w:r>
        <w:rPr>
          <w:rFonts w:hint="eastAsia" w:ascii="宋体" w:hAnsi="宋体"/>
          <w:b/>
          <w:sz w:val="32"/>
          <w:szCs w:val="32"/>
        </w:rPr>
        <w:t>第一部分</w:t>
      </w:r>
      <w:r>
        <w:rPr>
          <w:rFonts w:ascii="宋体" w:hAnsi="宋体"/>
          <w:b/>
          <w:sz w:val="32"/>
          <w:szCs w:val="32"/>
        </w:rPr>
        <w:t xml:space="preserve"> </w:t>
      </w:r>
      <w:r>
        <w:rPr>
          <w:rFonts w:hint="eastAsia" w:ascii="宋体" w:hAnsi="宋体"/>
          <w:b/>
          <w:sz w:val="32"/>
          <w:szCs w:val="32"/>
        </w:rPr>
        <w:t>比选公告</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因工作需要，现通过公开采购确定浙江大学医学院附属妇产科医院（钱江院区)绿化改造项目供应商，邀请符合要求的供应商参加本项目的竞争。</w:t>
      </w:r>
    </w:p>
    <w:p>
      <w:pPr>
        <w:numPr>
          <w:ilvl w:val="0"/>
          <w:numId w:val="3"/>
        </w:numPr>
        <w:spacing w:line="360" w:lineRule="auto"/>
        <w:ind w:firstLine="480" w:firstLineChars="200"/>
        <w:rPr>
          <w:rFonts w:ascii="宋体" w:hAnsi="宋体"/>
          <w:sz w:val="24"/>
        </w:rPr>
      </w:pPr>
      <w:r>
        <w:rPr>
          <w:rFonts w:hint="eastAsia" w:ascii="宋体" w:hAnsi="宋体"/>
          <w:sz w:val="24"/>
        </w:rPr>
        <w:t>项目编号：2023-</w:t>
      </w:r>
      <w:r>
        <w:rPr>
          <w:rFonts w:hint="eastAsia" w:ascii="宋体" w:hAnsi="宋体"/>
          <w:sz w:val="24"/>
          <w:lang w:val="en-US" w:eastAsia="zh-CN"/>
        </w:rPr>
        <w:t>1214</w:t>
      </w:r>
    </w:p>
    <w:p>
      <w:pPr>
        <w:numPr>
          <w:ilvl w:val="0"/>
          <w:numId w:val="3"/>
        </w:numPr>
        <w:spacing w:line="360" w:lineRule="auto"/>
        <w:ind w:firstLine="480" w:firstLineChars="200"/>
        <w:rPr>
          <w:rFonts w:ascii="宋体" w:hAnsi="宋体"/>
          <w:sz w:val="24"/>
        </w:rPr>
      </w:pPr>
      <w:r>
        <w:rPr>
          <w:rFonts w:hint="eastAsia" w:ascii="宋体" w:hAnsi="宋体"/>
          <w:sz w:val="24"/>
        </w:rPr>
        <w:t>项目概况：</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项目内容：医院钱江院区绿化改造项目采购，预算控制价8万元。</w:t>
      </w:r>
    </w:p>
    <w:p>
      <w:pPr>
        <w:numPr>
          <w:ilvl w:val="0"/>
          <w:numId w:val="4"/>
        </w:numPr>
        <w:spacing w:line="360" w:lineRule="auto"/>
        <w:ind w:firstLine="480" w:firstLineChars="200"/>
        <w:rPr>
          <w:rFonts w:ascii="宋体" w:hAnsi="宋体"/>
          <w:sz w:val="24"/>
        </w:rPr>
      </w:pPr>
      <w:r>
        <w:rPr>
          <w:rFonts w:hint="eastAsia" w:ascii="宋体" w:hAnsi="宋体"/>
          <w:sz w:val="24"/>
        </w:rPr>
        <w:t>供应商资格要求</w:t>
      </w:r>
      <w:bookmarkStart w:id="0" w:name="B14_投标供应商的资格要求"/>
      <w:r>
        <w:rPr>
          <w:rFonts w:hint="eastAsia" w:ascii="宋体" w:hAnsi="宋体"/>
          <w:sz w:val="24"/>
        </w:rPr>
        <w:t>：</w:t>
      </w:r>
    </w:p>
    <w:p>
      <w:pPr>
        <w:pStyle w:val="2"/>
        <w:spacing w:line="360" w:lineRule="auto"/>
        <w:ind w:firstLine="480" w:firstLineChars="200"/>
        <w:rPr>
          <w:rFonts w:ascii="Calibri" w:hAnsi="Calibri"/>
          <w:spacing w:val="0"/>
          <w:sz w:val="24"/>
          <w:szCs w:val="24"/>
        </w:rPr>
      </w:pPr>
      <w:r>
        <w:rPr>
          <w:rFonts w:hint="eastAsia" w:ascii="Calibri" w:hAnsi="Calibri"/>
          <w:spacing w:val="0"/>
          <w:sz w:val="24"/>
          <w:szCs w:val="24"/>
        </w:rPr>
        <w:t>（1）具有独立承担民事责任的能力；</w:t>
      </w:r>
    </w:p>
    <w:p>
      <w:pPr>
        <w:pStyle w:val="2"/>
        <w:spacing w:line="360" w:lineRule="auto"/>
        <w:ind w:firstLine="480" w:firstLineChars="200"/>
        <w:rPr>
          <w:rFonts w:ascii="Calibri" w:hAnsi="Calibri"/>
          <w:spacing w:val="0"/>
          <w:sz w:val="24"/>
          <w:szCs w:val="24"/>
        </w:rPr>
      </w:pPr>
      <w:r>
        <w:rPr>
          <w:rFonts w:hint="eastAsia" w:ascii="Calibri" w:hAnsi="Calibri"/>
          <w:spacing w:val="0"/>
          <w:sz w:val="24"/>
          <w:szCs w:val="24"/>
        </w:rPr>
        <w:t>（2）具有良好的商业信誉和健全的财务会计制度；</w:t>
      </w:r>
    </w:p>
    <w:p>
      <w:pPr>
        <w:pStyle w:val="2"/>
        <w:spacing w:line="360" w:lineRule="auto"/>
        <w:ind w:firstLine="480" w:firstLineChars="200"/>
        <w:rPr>
          <w:rFonts w:ascii="Calibri" w:hAnsi="Calibri"/>
          <w:spacing w:val="0"/>
          <w:sz w:val="24"/>
          <w:szCs w:val="24"/>
        </w:rPr>
      </w:pPr>
      <w:r>
        <w:rPr>
          <w:rFonts w:hint="eastAsia" w:ascii="Calibri" w:hAnsi="Calibri"/>
          <w:spacing w:val="0"/>
          <w:sz w:val="24"/>
          <w:szCs w:val="24"/>
        </w:rPr>
        <w:t>（3）具有履行合同所必需的设备和专业技术能力；</w:t>
      </w:r>
    </w:p>
    <w:p>
      <w:pPr>
        <w:pStyle w:val="2"/>
        <w:spacing w:line="360" w:lineRule="auto"/>
        <w:ind w:firstLine="480" w:firstLineChars="200"/>
        <w:rPr>
          <w:rFonts w:ascii="Calibri" w:hAnsi="Calibri"/>
          <w:spacing w:val="0"/>
          <w:sz w:val="24"/>
          <w:szCs w:val="24"/>
        </w:rPr>
      </w:pPr>
      <w:r>
        <w:rPr>
          <w:rFonts w:hint="eastAsia" w:ascii="Calibri" w:hAnsi="Calibri"/>
          <w:spacing w:val="0"/>
          <w:sz w:val="24"/>
          <w:szCs w:val="24"/>
        </w:rPr>
        <w:t>（4）有依法缴纳税收和社会保障资金的良好记录；</w:t>
      </w:r>
    </w:p>
    <w:p>
      <w:pPr>
        <w:spacing w:line="360" w:lineRule="auto"/>
        <w:ind w:firstLine="480" w:firstLineChars="200"/>
        <w:jc w:val="left"/>
        <w:rPr>
          <w:sz w:val="24"/>
          <w:szCs w:val="24"/>
        </w:rPr>
      </w:pPr>
      <w:r>
        <w:rPr>
          <w:rFonts w:hint="eastAsia"/>
          <w:sz w:val="24"/>
          <w:szCs w:val="24"/>
        </w:rPr>
        <w:t>（5）参加政府采购活动前三年内，在经营活动中没有重大违法记录；</w:t>
      </w:r>
    </w:p>
    <w:p>
      <w:pPr>
        <w:spacing w:line="360" w:lineRule="auto"/>
        <w:ind w:firstLine="480" w:firstLineChars="200"/>
        <w:jc w:val="left"/>
        <w:rPr>
          <w:sz w:val="24"/>
          <w:szCs w:val="24"/>
        </w:rPr>
      </w:pPr>
      <w:r>
        <w:rPr>
          <w:rFonts w:hint="eastAsia"/>
          <w:sz w:val="24"/>
          <w:szCs w:val="24"/>
        </w:rPr>
        <w:t>（6）</w:t>
      </w:r>
      <w:r>
        <w:rPr>
          <w:rFonts w:hint="eastAsia" w:ascii="宋体" w:hAnsi="宋体" w:cs="宋体"/>
          <w:kern w:val="0"/>
          <w:sz w:val="24"/>
          <w:szCs w:val="24"/>
        </w:rPr>
        <w:t>本项目不接受联合体投标。</w:t>
      </w:r>
    </w:p>
    <w:bookmarkEnd w:id="0"/>
    <w:p>
      <w:pPr>
        <w:spacing w:line="360" w:lineRule="auto"/>
        <w:ind w:firstLine="480" w:firstLineChars="200"/>
        <w:rPr>
          <w:rFonts w:ascii="宋体" w:hAnsi="宋体"/>
          <w:sz w:val="24"/>
        </w:rPr>
      </w:pPr>
      <w:r>
        <w:rPr>
          <w:rFonts w:hint="eastAsia" w:ascii="宋体" w:hAnsi="宋体"/>
          <w:sz w:val="24"/>
        </w:rPr>
        <w:t>四、比选文件的获取：</w:t>
      </w:r>
    </w:p>
    <w:p>
      <w:pPr>
        <w:spacing w:line="360" w:lineRule="auto"/>
        <w:ind w:firstLine="480" w:firstLineChars="200"/>
        <w:rPr>
          <w:rFonts w:ascii="宋体" w:hAnsi="宋体"/>
          <w:sz w:val="24"/>
        </w:rPr>
      </w:pPr>
      <w:r>
        <w:rPr>
          <w:rFonts w:hint="eastAsia" w:ascii="宋体" w:hAnsi="宋体"/>
          <w:sz w:val="24"/>
        </w:rPr>
        <w:t>有意向参与的单位请在线获取比选文件。</w:t>
      </w:r>
    </w:p>
    <w:p>
      <w:pPr>
        <w:adjustRightInd w:val="0"/>
        <w:snapToGrid w:val="0"/>
        <w:spacing w:before="96" w:after="96" w:line="360" w:lineRule="auto"/>
        <w:ind w:firstLine="482" w:firstLineChars="200"/>
        <w:textAlignment w:val="bottom"/>
        <w:rPr>
          <w:rFonts w:ascii="宋体" w:hAnsi="宋体"/>
          <w:b/>
          <w:bCs/>
          <w:sz w:val="24"/>
        </w:rPr>
      </w:pPr>
      <w:r>
        <w:rPr>
          <w:rFonts w:hint="eastAsia" w:ascii="宋体" w:hAnsi="宋体"/>
          <w:b/>
          <w:bCs/>
          <w:sz w:val="24"/>
        </w:rPr>
        <w:t>五、递交响应文件截止时间：2023年12月</w:t>
      </w:r>
      <w:r>
        <w:rPr>
          <w:rFonts w:hint="eastAsia" w:ascii="宋体" w:hAnsi="宋体"/>
          <w:b/>
          <w:bCs/>
          <w:sz w:val="24"/>
          <w:lang w:val="en-US" w:eastAsia="zh-CN"/>
        </w:rPr>
        <w:t>20</w:t>
      </w:r>
      <w:r>
        <w:rPr>
          <w:rFonts w:hint="eastAsia" w:ascii="宋体" w:hAnsi="宋体"/>
          <w:b/>
          <w:bCs/>
          <w:sz w:val="24"/>
        </w:rPr>
        <w:t>日上午9：00时（北京时间）</w:t>
      </w:r>
    </w:p>
    <w:p>
      <w:pPr>
        <w:adjustRightInd w:val="0"/>
        <w:snapToGrid w:val="0"/>
        <w:spacing w:before="96" w:after="96" w:line="360" w:lineRule="auto"/>
        <w:textAlignment w:val="bottom"/>
        <w:rPr>
          <w:rFonts w:hint="eastAsia" w:eastAsia="宋体"/>
          <w:b/>
          <w:bCs/>
          <w:lang w:val="en-US" w:eastAsia="zh-CN"/>
        </w:rPr>
      </w:pPr>
      <w:r>
        <w:rPr>
          <w:rFonts w:hint="eastAsia" w:ascii="宋体" w:hAnsi="宋体"/>
          <w:b/>
          <w:bCs/>
          <w:sz w:val="24"/>
        </w:rPr>
        <w:t>（正本1份、副本2份）</w:t>
      </w:r>
      <w:r>
        <w:rPr>
          <w:rFonts w:hint="eastAsia" w:ascii="宋体" w:hAnsi="宋体"/>
          <w:b/>
          <w:bCs/>
          <w:sz w:val="24"/>
          <w:lang w:eastAsia="zh-CN"/>
        </w:rPr>
        <w:t>；注：须进行现场二次报价。</w:t>
      </w:r>
    </w:p>
    <w:p>
      <w:pPr>
        <w:spacing w:line="360" w:lineRule="auto"/>
        <w:ind w:firstLine="480" w:firstLineChars="200"/>
        <w:rPr>
          <w:rFonts w:ascii="宋体" w:hAnsi="宋体"/>
          <w:sz w:val="24"/>
        </w:rPr>
      </w:pPr>
      <w:r>
        <w:rPr>
          <w:rFonts w:hint="eastAsia" w:ascii="宋体" w:hAnsi="宋体"/>
          <w:sz w:val="24"/>
        </w:rPr>
        <w:t>六、响应文件递交地点：浙江省杭州市学士路1号，1号楼15楼会议室</w:t>
      </w:r>
    </w:p>
    <w:p>
      <w:pPr>
        <w:spacing w:line="360" w:lineRule="auto"/>
        <w:ind w:firstLine="480" w:firstLineChars="200"/>
        <w:rPr>
          <w:rFonts w:ascii="宋体" w:hAnsi="宋体"/>
          <w:sz w:val="24"/>
        </w:rPr>
      </w:pPr>
      <w:r>
        <w:rPr>
          <w:rFonts w:hint="eastAsia" w:ascii="宋体" w:hAnsi="宋体"/>
          <w:sz w:val="24"/>
        </w:rPr>
        <w:t>七、开标时间：2023年12 月</w:t>
      </w:r>
      <w:r>
        <w:rPr>
          <w:rFonts w:hint="eastAsia" w:ascii="宋体" w:hAnsi="宋体"/>
          <w:sz w:val="24"/>
          <w:lang w:val="en-US" w:eastAsia="zh-CN"/>
        </w:rPr>
        <w:t>20</w:t>
      </w:r>
      <w:r>
        <w:rPr>
          <w:rFonts w:hint="eastAsia" w:ascii="宋体" w:hAnsi="宋体"/>
          <w:sz w:val="24"/>
        </w:rPr>
        <w:t>日上午9：00时（北京时间）</w:t>
      </w:r>
    </w:p>
    <w:p>
      <w:pPr>
        <w:spacing w:line="360" w:lineRule="auto"/>
        <w:ind w:firstLine="480" w:firstLineChars="200"/>
        <w:rPr>
          <w:rFonts w:ascii="宋体" w:hAnsi="宋体"/>
          <w:sz w:val="24"/>
        </w:rPr>
      </w:pPr>
      <w:r>
        <w:rPr>
          <w:rFonts w:hint="eastAsia" w:ascii="宋体" w:hAnsi="宋体"/>
          <w:sz w:val="24"/>
        </w:rPr>
        <w:t>八、开标地点：浙江省杭州市学士路1号，1号楼15楼会议室</w:t>
      </w:r>
    </w:p>
    <w:p>
      <w:pPr>
        <w:spacing w:line="360" w:lineRule="auto"/>
        <w:ind w:firstLine="480" w:firstLineChars="200"/>
        <w:rPr>
          <w:rFonts w:ascii="宋体" w:hAnsi="宋体"/>
          <w:sz w:val="24"/>
        </w:rPr>
      </w:pPr>
      <w:r>
        <w:rPr>
          <w:rFonts w:hint="eastAsia" w:ascii="宋体" w:hAnsi="宋体"/>
          <w:sz w:val="24"/>
        </w:rPr>
        <w:t>九、联系方式：</w:t>
      </w:r>
    </w:p>
    <w:p>
      <w:pPr>
        <w:spacing w:line="360" w:lineRule="auto"/>
        <w:ind w:firstLine="480" w:firstLineChars="200"/>
        <w:rPr>
          <w:rFonts w:ascii="宋体" w:hAnsi="宋体"/>
          <w:sz w:val="24"/>
        </w:rPr>
      </w:pPr>
      <w:r>
        <w:rPr>
          <w:rFonts w:hint="eastAsia" w:ascii="宋体" w:hAnsi="宋体"/>
          <w:sz w:val="24"/>
        </w:rPr>
        <w:t>采购单位：浙江大学医学院附属妇产科医院</w:t>
      </w:r>
    </w:p>
    <w:p>
      <w:pPr>
        <w:spacing w:line="360" w:lineRule="auto"/>
        <w:ind w:firstLine="480" w:firstLineChars="200"/>
        <w:rPr>
          <w:rFonts w:ascii="宋体" w:hAnsi="宋体"/>
          <w:sz w:val="24"/>
        </w:rPr>
      </w:pPr>
      <w:r>
        <w:rPr>
          <w:rFonts w:hint="eastAsia" w:ascii="宋体" w:hAnsi="宋体"/>
          <w:sz w:val="24"/>
        </w:rPr>
        <w:t>地点：杭州市上城区学士路1号</w:t>
      </w:r>
    </w:p>
    <w:p>
      <w:pPr>
        <w:spacing w:line="360" w:lineRule="auto"/>
        <w:ind w:firstLine="480" w:firstLineChars="200"/>
        <w:rPr>
          <w:rFonts w:ascii="宋体" w:hAnsi="宋体"/>
          <w:sz w:val="24"/>
        </w:rPr>
      </w:pPr>
      <w:r>
        <w:rPr>
          <w:rFonts w:hint="eastAsia" w:ascii="宋体" w:hAnsi="宋体"/>
          <w:sz w:val="24"/>
        </w:rPr>
        <w:t>联系人：王宇婷</w:t>
      </w:r>
      <w:r>
        <w:rPr>
          <w:rFonts w:hint="eastAsia" w:ascii="宋体" w:hAnsi="宋体"/>
          <w:sz w:val="24"/>
        </w:rPr>
        <w:tab/>
      </w:r>
    </w:p>
    <w:p>
      <w:pPr>
        <w:spacing w:line="360" w:lineRule="auto"/>
        <w:ind w:firstLine="480" w:firstLineChars="200"/>
        <w:rPr>
          <w:rFonts w:ascii="宋体" w:hAnsi="宋体"/>
          <w:sz w:val="24"/>
        </w:rPr>
      </w:pPr>
      <w:r>
        <w:rPr>
          <w:rFonts w:hint="eastAsia" w:ascii="宋体" w:hAnsi="宋体"/>
          <w:sz w:val="24"/>
        </w:rPr>
        <w:t>联系电话：0571-89991060</w:t>
      </w:r>
    </w:p>
    <w:p>
      <w:pPr>
        <w:widowControl/>
        <w:jc w:val="left"/>
        <w:rPr>
          <w:rFonts w:ascii="宋体" w:hAnsi="宋体"/>
          <w:sz w:val="24"/>
        </w:rPr>
      </w:pPr>
      <w:r>
        <w:rPr>
          <w:rFonts w:ascii="宋体" w:hAnsi="宋体"/>
          <w:sz w:val="24"/>
        </w:rPr>
        <w:br w:type="page"/>
      </w:r>
    </w:p>
    <w:p>
      <w:pPr>
        <w:numPr>
          <w:ilvl w:val="0"/>
          <w:numId w:val="5"/>
        </w:numPr>
        <w:spacing w:line="360" w:lineRule="auto"/>
        <w:jc w:val="center"/>
        <w:rPr>
          <w:rFonts w:ascii="宋体" w:hAnsi="宋体"/>
          <w:b/>
          <w:sz w:val="36"/>
          <w:szCs w:val="36"/>
        </w:rPr>
      </w:pPr>
      <w:bookmarkStart w:id="1" w:name="_Toc467176683"/>
      <w:r>
        <w:rPr>
          <w:rFonts w:hint="eastAsia" w:ascii="宋体" w:hAnsi="宋体"/>
          <w:b/>
          <w:sz w:val="32"/>
          <w:szCs w:val="32"/>
        </w:rPr>
        <w:t>采购</w:t>
      </w:r>
      <w:bookmarkEnd w:id="1"/>
      <w:r>
        <w:rPr>
          <w:rFonts w:hint="eastAsia" w:ascii="宋体" w:hAnsi="宋体"/>
          <w:b/>
          <w:sz w:val="32"/>
          <w:szCs w:val="32"/>
        </w:rPr>
        <w:t>内容及需求</w:t>
      </w:r>
    </w:p>
    <w:p>
      <w:pPr>
        <w:spacing w:line="360" w:lineRule="auto"/>
        <w:ind w:firstLine="480" w:firstLineChars="200"/>
        <w:rPr>
          <w:rFonts w:ascii="宋体" w:hAnsi="宋体"/>
          <w:sz w:val="24"/>
        </w:rPr>
      </w:pPr>
    </w:p>
    <w:p>
      <w:pPr>
        <w:spacing w:line="360" w:lineRule="auto"/>
        <w:ind w:firstLine="480" w:firstLineChars="200"/>
        <w:jc w:val="left"/>
        <w:rPr>
          <w:sz w:val="24"/>
          <w:szCs w:val="28"/>
        </w:rPr>
      </w:pPr>
      <w:r>
        <w:rPr>
          <w:rFonts w:hint="eastAsia"/>
          <w:sz w:val="24"/>
          <w:szCs w:val="28"/>
        </w:rPr>
        <w:t>本次项目为浙江大学医学院附属妇产科医院钱江院区绿化改造项目比选，详细情况如下：</w:t>
      </w:r>
    </w:p>
    <w:p>
      <w:pPr>
        <w:spacing w:line="360" w:lineRule="auto"/>
        <w:jc w:val="left"/>
        <w:rPr>
          <w:sz w:val="24"/>
          <w:szCs w:val="28"/>
        </w:rPr>
      </w:pPr>
      <w:r>
        <w:rPr>
          <w:rFonts w:hint="eastAsia"/>
          <w:sz w:val="24"/>
          <w:szCs w:val="28"/>
        </w:rPr>
        <w:t>一、服务范围：</w:t>
      </w:r>
    </w:p>
    <w:p>
      <w:pPr>
        <w:spacing w:line="360" w:lineRule="auto"/>
        <w:ind w:firstLine="480" w:firstLineChars="200"/>
        <w:jc w:val="left"/>
        <w:rPr>
          <w:sz w:val="24"/>
          <w:szCs w:val="28"/>
        </w:rPr>
      </w:pPr>
      <w:r>
        <w:rPr>
          <w:rFonts w:hint="eastAsia"/>
          <w:sz w:val="24"/>
          <w:szCs w:val="28"/>
        </w:rPr>
        <w:t>浙江大学医学院附属妇产科医院钱江院区内。</w:t>
      </w:r>
    </w:p>
    <w:p>
      <w:pPr>
        <w:spacing w:line="360" w:lineRule="auto"/>
        <w:rPr>
          <w:sz w:val="24"/>
          <w:szCs w:val="28"/>
        </w:rPr>
      </w:pPr>
      <w:r>
        <w:rPr>
          <w:rFonts w:hint="eastAsia"/>
          <w:sz w:val="24"/>
          <w:szCs w:val="28"/>
        </w:rPr>
        <w:t>二、具体技术要求</w:t>
      </w:r>
    </w:p>
    <w:p>
      <w:pPr>
        <w:spacing w:line="360" w:lineRule="auto"/>
        <w:ind w:firstLine="480" w:firstLineChars="200"/>
        <w:jc w:val="left"/>
        <w:rPr>
          <w:sz w:val="24"/>
          <w:szCs w:val="28"/>
        </w:rPr>
      </w:pPr>
      <w:r>
        <w:rPr>
          <w:rFonts w:hint="eastAsia"/>
          <w:sz w:val="24"/>
          <w:szCs w:val="28"/>
        </w:rPr>
        <w:t>投标人应按国家施工验收规范、质量评定标准和设计要求进行施工，甲方对本工程质量的要求：园林绿化工程的质量达到优良标准。</w:t>
      </w:r>
    </w:p>
    <w:p>
      <w:pPr>
        <w:spacing w:line="360" w:lineRule="auto"/>
        <w:ind w:firstLine="482" w:firstLineChars="200"/>
        <w:jc w:val="left"/>
        <w:rPr>
          <w:b/>
          <w:sz w:val="24"/>
          <w:szCs w:val="28"/>
        </w:rPr>
      </w:pPr>
      <w:r>
        <w:rPr>
          <w:rFonts w:hint="eastAsia"/>
          <w:b/>
          <w:sz w:val="24"/>
          <w:szCs w:val="28"/>
        </w:rPr>
        <w:t>2.1绿化种植工程 </w:t>
      </w:r>
    </w:p>
    <w:p>
      <w:pPr>
        <w:spacing w:line="360" w:lineRule="auto"/>
        <w:ind w:firstLine="480" w:firstLineChars="200"/>
        <w:jc w:val="left"/>
        <w:rPr>
          <w:sz w:val="24"/>
          <w:szCs w:val="28"/>
        </w:rPr>
      </w:pPr>
      <w:r>
        <w:rPr>
          <w:rFonts w:hint="eastAsia"/>
          <w:sz w:val="24"/>
          <w:szCs w:val="28"/>
        </w:rPr>
        <w:t>2.1.1土方工程</w:t>
      </w:r>
    </w:p>
    <w:p>
      <w:pPr>
        <w:spacing w:line="360" w:lineRule="auto"/>
        <w:ind w:firstLine="480" w:firstLineChars="200"/>
        <w:jc w:val="left"/>
        <w:rPr>
          <w:sz w:val="24"/>
          <w:szCs w:val="28"/>
        </w:rPr>
      </w:pPr>
      <w:r>
        <w:rPr>
          <w:rFonts w:hint="eastAsia"/>
          <w:sz w:val="24"/>
          <w:szCs w:val="28"/>
        </w:rPr>
        <w:t>2.1.1.1种植地的土壤含有建筑废土及有害成分，或强酸性土、强碱性土、重黏土、盐土、盐碱土、沙土等，应进行客土更换。特别是覆土50cm以内粒级为3cm以上的渣砾，土层100cm以内的沥青、混凝土及有毒垃圾必须清除。</w:t>
      </w:r>
    </w:p>
    <w:p>
      <w:pPr>
        <w:spacing w:line="360" w:lineRule="auto"/>
        <w:ind w:firstLine="480" w:firstLineChars="200"/>
        <w:jc w:val="left"/>
        <w:rPr>
          <w:sz w:val="24"/>
          <w:szCs w:val="28"/>
        </w:rPr>
      </w:pPr>
      <w:r>
        <w:rPr>
          <w:rFonts w:hint="eastAsia"/>
          <w:sz w:val="24"/>
          <w:szCs w:val="28"/>
        </w:rPr>
        <w:t>2.1.1.2强酸性土、强碱性土、重黏土、盐土、盐碱土、沙土、沥青及有毒垃圾等含有有害成分的材料，不能用于种植区域的地形回填。</w:t>
      </w:r>
    </w:p>
    <w:p>
      <w:pPr>
        <w:spacing w:line="360" w:lineRule="auto"/>
        <w:ind w:firstLine="480" w:firstLineChars="200"/>
        <w:jc w:val="left"/>
        <w:rPr>
          <w:sz w:val="24"/>
          <w:szCs w:val="28"/>
        </w:rPr>
      </w:pPr>
      <w:r>
        <w:rPr>
          <w:rFonts w:hint="eastAsia"/>
          <w:sz w:val="24"/>
          <w:szCs w:val="28"/>
        </w:rPr>
        <w:t>2.1.1.3土方回填后的地形坡度、标高和密实度应符合设计要求，排水良好。</w:t>
      </w:r>
    </w:p>
    <w:p>
      <w:pPr>
        <w:spacing w:line="360" w:lineRule="auto"/>
        <w:ind w:firstLine="480" w:firstLineChars="200"/>
        <w:jc w:val="left"/>
        <w:rPr>
          <w:sz w:val="24"/>
          <w:szCs w:val="28"/>
        </w:rPr>
      </w:pPr>
      <w:r>
        <w:rPr>
          <w:rFonts w:hint="eastAsia"/>
          <w:sz w:val="24"/>
          <w:szCs w:val="28"/>
        </w:rPr>
        <w:t>2.1.2 种植土回填</w:t>
      </w:r>
    </w:p>
    <w:p>
      <w:pPr>
        <w:spacing w:line="360" w:lineRule="auto"/>
        <w:ind w:firstLine="480" w:firstLineChars="200"/>
        <w:jc w:val="left"/>
        <w:rPr>
          <w:sz w:val="24"/>
          <w:szCs w:val="28"/>
        </w:rPr>
      </w:pPr>
      <w:r>
        <w:rPr>
          <w:rFonts w:hint="eastAsia"/>
          <w:sz w:val="24"/>
          <w:szCs w:val="28"/>
        </w:rPr>
        <w:t>2.1.2.1 严禁绿地种植土层下有不透水层或土壤过度板结。</w:t>
      </w:r>
    </w:p>
    <w:p>
      <w:pPr>
        <w:spacing w:line="360" w:lineRule="auto"/>
        <w:ind w:firstLine="480" w:firstLineChars="200"/>
        <w:jc w:val="left"/>
        <w:rPr>
          <w:sz w:val="24"/>
          <w:szCs w:val="28"/>
        </w:rPr>
      </w:pPr>
      <w:r>
        <w:rPr>
          <w:rFonts w:hint="eastAsia"/>
          <w:sz w:val="24"/>
          <w:szCs w:val="28"/>
        </w:rPr>
        <w:t>2.1.3绿地地形整理</w:t>
      </w:r>
    </w:p>
    <w:p>
      <w:pPr>
        <w:spacing w:line="360" w:lineRule="auto"/>
        <w:ind w:firstLine="480" w:firstLineChars="200"/>
        <w:jc w:val="left"/>
        <w:rPr>
          <w:sz w:val="24"/>
          <w:szCs w:val="28"/>
        </w:rPr>
      </w:pPr>
      <w:r>
        <w:rPr>
          <w:rFonts w:hint="eastAsia"/>
          <w:sz w:val="24"/>
          <w:szCs w:val="28"/>
        </w:rPr>
        <w:t xml:space="preserve">    绿地地形整理应按照竖向设计要求进行，其平整度、坡度应符合设计要求，应排水良好，完成面无积水。地形整理完成后的土壤颗粒尺寸允许偏差为</w:t>
      </w:r>
      <w:r>
        <w:rPr>
          <w:rFonts w:hint="eastAsia"/>
          <w:sz w:val="24"/>
          <w:szCs w:val="28"/>
        </w:rPr>
        <w:sym w:font="Symbol" w:char="F0B1"/>
      </w:r>
      <w:r>
        <w:rPr>
          <w:rFonts w:hint="eastAsia"/>
          <w:sz w:val="24"/>
          <w:szCs w:val="28"/>
        </w:rPr>
        <w:t>1.0cm；平整后绿地应无直径5cm以上石砾等杂物。</w:t>
      </w:r>
    </w:p>
    <w:p>
      <w:pPr>
        <w:spacing w:line="360" w:lineRule="auto"/>
        <w:ind w:firstLine="480" w:firstLineChars="200"/>
        <w:jc w:val="left"/>
        <w:rPr>
          <w:sz w:val="24"/>
          <w:szCs w:val="28"/>
        </w:rPr>
      </w:pPr>
      <w:r>
        <w:rPr>
          <w:rFonts w:hint="eastAsia"/>
          <w:sz w:val="24"/>
          <w:szCs w:val="28"/>
        </w:rPr>
        <w:t>2.1.4苗木进场</w:t>
      </w:r>
    </w:p>
    <w:p>
      <w:pPr>
        <w:spacing w:line="360" w:lineRule="auto"/>
        <w:ind w:firstLine="480" w:firstLineChars="200"/>
        <w:jc w:val="left"/>
        <w:rPr>
          <w:sz w:val="24"/>
          <w:szCs w:val="28"/>
        </w:rPr>
      </w:pPr>
      <w:r>
        <w:rPr>
          <w:rFonts w:hint="eastAsia"/>
          <w:sz w:val="24"/>
          <w:szCs w:val="28"/>
        </w:rPr>
        <w:t>2.1.4.1  进场苗木应符合相关规范要求。绿化工程植物材料的品种、规格和形态等，应符合设计要求。</w:t>
      </w:r>
    </w:p>
    <w:p>
      <w:pPr>
        <w:spacing w:line="360" w:lineRule="auto"/>
        <w:ind w:firstLine="480" w:firstLineChars="200"/>
        <w:jc w:val="left"/>
        <w:rPr>
          <w:sz w:val="24"/>
          <w:szCs w:val="28"/>
        </w:rPr>
      </w:pPr>
      <w:r>
        <w:rPr>
          <w:rFonts w:hint="eastAsia"/>
          <w:sz w:val="24"/>
          <w:szCs w:val="28"/>
        </w:rPr>
        <w:t>2.1.4.2  种植前须根据植物学特性对苗木进行适当修剪，剪除枯死枝、病虫枝及影响观瞻部分，剪口应平滑，不得劈裂。对轮生分枝、顶端优势强的苗木不可修剪其主干顶芽。修剪直径2cm以上枝条或及粗根时，截口必须削平。一般乔木类修剪应保持原有树形，有主尖的乔木应保留主尖，不得短截和抹头，尽量保持原有树形。用于做绿篱、色块、造型的苗木，则在种植后按设计要求整形修剪。</w:t>
      </w:r>
    </w:p>
    <w:p>
      <w:pPr>
        <w:spacing w:line="360" w:lineRule="auto"/>
        <w:ind w:firstLine="480" w:firstLineChars="200"/>
        <w:jc w:val="left"/>
        <w:rPr>
          <w:sz w:val="24"/>
          <w:szCs w:val="28"/>
        </w:rPr>
      </w:pPr>
      <w:r>
        <w:rPr>
          <w:rFonts w:hint="eastAsia"/>
          <w:sz w:val="24"/>
          <w:szCs w:val="28"/>
        </w:rPr>
        <w:t>2.1.4.3绿化苗木进场验收</w:t>
      </w:r>
    </w:p>
    <w:p>
      <w:pPr>
        <w:spacing w:line="360" w:lineRule="auto"/>
        <w:ind w:firstLine="480" w:firstLineChars="200"/>
        <w:jc w:val="left"/>
        <w:rPr>
          <w:sz w:val="24"/>
          <w:szCs w:val="28"/>
        </w:rPr>
      </w:pPr>
      <w:r>
        <w:rPr>
          <w:rFonts w:hint="eastAsia"/>
          <w:sz w:val="24"/>
          <w:szCs w:val="28"/>
        </w:rPr>
        <w:t xml:space="preserve"> 2.1.4.3.1进场乔木规格应符合设计要求；若设计无明确标注，其允许偏差范围应符合表1的要求。</w:t>
      </w:r>
    </w:p>
    <w:p>
      <w:pPr>
        <w:spacing w:line="360" w:lineRule="auto"/>
        <w:ind w:firstLine="480" w:firstLineChars="200"/>
        <w:jc w:val="left"/>
        <w:rPr>
          <w:sz w:val="24"/>
          <w:szCs w:val="28"/>
        </w:rPr>
      </w:pPr>
      <w:r>
        <w:rPr>
          <w:rFonts w:hint="eastAsia"/>
          <w:sz w:val="24"/>
          <w:szCs w:val="28"/>
        </w:rPr>
        <w:t>园林进场乔木规格允许偏差表</w:t>
      </w:r>
    </w:p>
    <w:tbl>
      <w:tblPr>
        <w:tblStyle w:val="14"/>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2"/>
        <w:gridCol w:w="1134"/>
        <w:gridCol w:w="992"/>
        <w:gridCol w:w="1134"/>
        <w:gridCol w:w="992"/>
        <w:gridCol w:w="1276"/>
        <w:gridCol w:w="992"/>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7" w:hRule="atLeast"/>
          <w:jc w:val="center"/>
        </w:trPr>
        <w:tc>
          <w:tcPr>
            <w:tcW w:w="21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胸径（地径、头径）</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sz w:val="24"/>
                <w:szCs w:val="28"/>
              </w:rPr>
            </w:pPr>
            <w:r>
              <w:rPr>
                <w:rFonts w:hint="eastAsia"/>
                <w:sz w:val="24"/>
                <w:szCs w:val="28"/>
              </w:rPr>
              <w:t>冠幅</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sz w:val="24"/>
                <w:szCs w:val="28"/>
              </w:rPr>
            </w:pPr>
            <w:r>
              <w:rPr>
                <w:rFonts w:hint="eastAsia"/>
                <w:sz w:val="24"/>
                <w:szCs w:val="28"/>
              </w:rPr>
              <w:t>树高</w:t>
            </w:r>
          </w:p>
        </w:tc>
        <w:tc>
          <w:tcPr>
            <w:tcW w:w="247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sz w:val="24"/>
                <w:szCs w:val="28"/>
              </w:rPr>
            </w:pPr>
            <w:r>
              <w:rPr>
                <w:rFonts w:hint="eastAsia"/>
                <w:sz w:val="24"/>
                <w:szCs w:val="28"/>
              </w:rPr>
              <w:t>净干高（棕榈类）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7" w:hRule="atLeast"/>
          <w:jc w:val="center"/>
        </w:trPr>
        <w:tc>
          <w:tcPr>
            <w:tcW w:w="10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设计值</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允许偏差</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设计值</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允许偏差</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设计值</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允许偏差</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设计值</w:t>
            </w:r>
          </w:p>
        </w:tc>
        <w:tc>
          <w:tcPr>
            <w:tcW w:w="14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jc w:val="center"/>
        </w:trPr>
        <w:tc>
          <w:tcPr>
            <w:tcW w:w="1062" w:type="dxa"/>
            <w:tcBorders>
              <w:top w:val="single" w:color="auto" w:sz="4" w:space="0"/>
              <w:left w:val="single" w:color="auto" w:sz="4" w:space="0"/>
              <w:right w:val="single" w:color="auto" w:sz="4" w:space="0"/>
            </w:tcBorders>
            <w:vAlign w:val="center"/>
          </w:tcPr>
          <w:p>
            <w:pPr>
              <w:spacing w:line="360" w:lineRule="auto"/>
              <w:jc w:val="center"/>
              <w:rPr>
                <w:sz w:val="24"/>
                <w:szCs w:val="28"/>
              </w:rPr>
            </w:pPr>
            <w:r>
              <w:rPr>
                <w:rFonts w:hint="eastAsia"/>
                <w:sz w:val="24"/>
                <w:szCs w:val="28"/>
              </w:rPr>
              <w:t>＜10 cm</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±0.5 cm</w:t>
            </w:r>
          </w:p>
        </w:tc>
        <w:tc>
          <w:tcPr>
            <w:tcW w:w="992" w:type="dxa"/>
            <w:tcBorders>
              <w:top w:val="single" w:color="auto" w:sz="4" w:space="0"/>
              <w:left w:val="single" w:color="auto" w:sz="4" w:space="0"/>
              <w:right w:val="single" w:color="auto" w:sz="4" w:space="0"/>
            </w:tcBorders>
            <w:vAlign w:val="center"/>
          </w:tcPr>
          <w:p>
            <w:pPr>
              <w:spacing w:line="360" w:lineRule="auto"/>
              <w:jc w:val="center"/>
              <w:rPr>
                <w:sz w:val="24"/>
                <w:szCs w:val="28"/>
              </w:rPr>
            </w:pPr>
            <w:r>
              <w:rPr>
                <w:rFonts w:hint="eastAsia"/>
                <w:sz w:val="24"/>
                <w:szCs w:val="28"/>
              </w:rPr>
              <w:t>＜2m</w:t>
            </w:r>
          </w:p>
        </w:tc>
        <w:tc>
          <w:tcPr>
            <w:tcW w:w="1134" w:type="dxa"/>
            <w:tcBorders>
              <w:top w:val="single" w:color="auto" w:sz="4" w:space="0"/>
              <w:left w:val="single" w:color="auto" w:sz="4" w:space="0"/>
              <w:right w:val="single" w:color="auto" w:sz="4" w:space="0"/>
            </w:tcBorders>
            <w:vAlign w:val="center"/>
          </w:tcPr>
          <w:p>
            <w:pPr>
              <w:spacing w:line="360" w:lineRule="auto"/>
              <w:jc w:val="center"/>
              <w:rPr>
                <w:sz w:val="24"/>
                <w:szCs w:val="28"/>
              </w:rPr>
            </w:pPr>
            <w:r>
              <w:rPr>
                <w:rFonts w:hint="eastAsia"/>
                <w:sz w:val="24"/>
                <w:szCs w:val="28"/>
              </w:rPr>
              <w:t>±20 cm</w:t>
            </w:r>
          </w:p>
        </w:tc>
        <w:tc>
          <w:tcPr>
            <w:tcW w:w="992" w:type="dxa"/>
            <w:tcBorders>
              <w:top w:val="single" w:color="auto" w:sz="4" w:space="0"/>
              <w:left w:val="single" w:color="auto" w:sz="4" w:space="0"/>
              <w:right w:val="single" w:color="auto" w:sz="4" w:space="0"/>
            </w:tcBorders>
            <w:vAlign w:val="center"/>
          </w:tcPr>
          <w:p>
            <w:pPr>
              <w:spacing w:line="360" w:lineRule="auto"/>
              <w:jc w:val="center"/>
              <w:rPr>
                <w:sz w:val="24"/>
                <w:szCs w:val="28"/>
              </w:rPr>
            </w:pPr>
            <w:r>
              <w:rPr>
                <w:rFonts w:hint="eastAsia"/>
                <w:sz w:val="24"/>
                <w:szCs w:val="28"/>
              </w:rPr>
              <w:t>＜3m</w:t>
            </w:r>
          </w:p>
        </w:tc>
        <w:tc>
          <w:tcPr>
            <w:tcW w:w="1276" w:type="dxa"/>
            <w:tcBorders>
              <w:top w:val="single" w:color="auto" w:sz="4" w:space="0"/>
              <w:left w:val="single" w:color="auto" w:sz="4" w:space="0"/>
              <w:right w:val="single" w:color="auto" w:sz="4" w:space="0"/>
            </w:tcBorders>
            <w:vAlign w:val="center"/>
          </w:tcPr>
          <w:p>
            <w:pPr>
              <w:spacing w:line="360" w:lineRule="auto"/>
              <w:jc w:val="center"/>
              <w:rPr>
                <w:sz w:val="24"/>
                <w:szCs w:val="28"/>
              </w:rPr>
            </w:pPr>
            <w:r>
              <w:rPr>
                <w:rFonts w:hint="eastAsia"/>
                <w:sz w:val="24"/>
                <w:szCs w:val="28"/>
              </w:rPr>
              <w:t>±30 cm</w:t>
            </w:r>
          </w:p>
        </w:tc>
        <w:tc>
          <w:tcPr>
            <w:tcW w:w="992" w:type="dxa"/>
            <w:tcBorders>
              <w:top w:val="single" w:color="auto" w:sz="4" w:space="0"/>
              <w:left w:val="single" w:color="auto" w:sz="4" w:space="0"/>
              <w:right w:val="single" w:color="auto" w:sz="4" w:space="0"/>
            </w:tcBorders>
            <w:vAlign w:val="center"/>
          </w:tcPr>
          <w:p>
            <w:pPr>
              <w:spacing w:line="360" w:lineRule="auto"/>
              <w:jc w:val="center"/>
              <w:rPr>
                <w:sz w:val="24"/>
                <w:szCs w:val="28"/>
              </w:rPr>
            </w:pPr>
            <w:r>
              <w:rPr>
                <w:rFonts w:hint="eastAsia"/>
                <w:sz w:val="24"/>
                <w:szCs w:val="28"/>
              </w:rPr>
              <w:t>＜1m</w:t>
            </w:r>
          </w:p>
        </w:tc>
        <w:tc>
          <w:tcPr>
            <w:tcW w:w="1479" w:type="dxa"/>
            <w:tcBorders>
              <w:top w:val="single" w:color="auto" w:sz="4" w:space="0"/>
              <w:left w:val="single" w:color="auto" w:sz="4" w:space="0"/>
              <w:right w:val="single" w:color="auto" w:sz="4" w:space="0"/>
            </w:tcBorders>
            <w:vAlign w:val="center"/>
          </w:tcPr>
          <w:p>
            <w:pPr>
              <w:spacing w:line="360" w:lineRule="auto"/>
              <w:jc w:val="center"/>
              <w:rPr>
                <w:sz w:val="24"/>
                <w:szCs w:val="28"/>
              </w:rPr>
            </w:pPr>
            <w:r>
              <w:rPr>
                <w:rFonts w:hint="eastAsia"/>
                <w:sz w:val="24"/>
                <w:szCs w:val="28"/>
              </w:rPr>
              <w:t>±10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0" w:hRule="atLeast"/>
          <w:jc w:val="center"/>
        </w:trPr>
        <w:tc>
          <w:tcPr>
            <w:tcW w:w="1062" w:type="dxa"/>
            <w:tcBorders>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10~20 cm</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±1 cm</w:t>
            </w:r>
          </w:p>
        </w:tc>
        <w:tc>
          <w:tcPr>
            <w:tcW w:w="992" w:type="dxa"/>
            <w:tcBorders>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2~4m</w:t>
            </w:r>
          </w:p>
        </w:tc>
        <w:tc>
          <w:tcPr>
            <w:tcW w:w="1134" w:type="dxa"/>
            <w:tcBorders>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±30 cm</w:t>
            </w:r>
          </w:p>
        </w:tc>
        <w:tc>
          <w:tcPr>
            <w:tcW w:w="992" w:type="dxa"/>
            <w:tcBorders>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3~5m</w:t>
            </w:r>
          </w:p>
        </w:tc>
        <w:tc>
          <w:tcPr>
            <w:tcW w:w="1276" w:type="dxa"/>
            <w:tcBorders>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±50 cm</w:t>
            </w:r>
          </w:p>
        </w:tc>
        <w:tc>
          <w:tcPr>
            <w:tcW w:w="992" w:type="dxa"/>
            <w:tcBorders>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1~3m</w:t>
            </w:r>
          </w:p>
        </w:tc>
        <w:tc>
          <w:tcPr>
            <w:tcW w:w="1479" w:type="dxa"/>
            <w:tcBorders>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±15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jc w:val="center"/>
        </w:trPr>
        <w:tc>
          <w:tcPr>
            <w:tcW w:w="1062" w:type="dxa"/>
            <w:tcBorders>
              <w:left w:val="single" w:color="auto" w:sz="4" w:space="0"/>
              <w:right w:val="single" w:color="auto" w:sz="4" w:space="0"/>
            </w:tcBorders>
            <w:vAlign w:val="center"/>
          </w:tcPr>
          <w:p>
            <w:pPr>
              <w:spacing w:line="360" w:lineRule="auto"/>
              <w:jc w:val="center"/>
              <w:rPr>
                <w:sz w:val="24"/>
                <w:szCs w:val="28"/>
              </w:rPr>
            </w:pPr>
            <w:r>
              <w:rPr>
                <w:rFonts w:hint="eastAsia"/>
                <w:sz w:val="24"/>
                <w:szCs w:val="28"/>
              </w:rPr>
              <w:t>＞20 cm</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±2 cm</w:t>
            </w:r>
          </w:p>
        </w:tc>
        <w:tc>
          <w:tcPr>
            <w:tcW w:w="992" w:type="dxa"/>
            <w:tcBorders>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＞4m</w:t>
            </w:r>
          </w:p>
        </w:tc>
        <w:tc>
          <w:tcPr>
            <w:tcW w:w="1134" w:type="dxa"/>
            <w:tcBorders>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±50 cm</w:t>
            </w:r>
          </w:p>
        </w:tc>
        <w:tc>
          <w:tcPr>
            <w:tcW w:w="992" w:type="dxa"/>
            <w:tcBorders>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＞5m</w:t>
            </w:r>
          </w:p>
        </w:tc>
        <w:tc>
          <w:tcPr>
            <w:tcW w:w="1276" w:type="dxa"/>
            <w:tcBorders>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±80 cm</w:t>
            </w:r>
          </w:p>
        </w:tc>
        <w:tc>
          <w:tcPr>
            <w:tcW w:w="992" w:type="dxa"/>
            <w:tcBorders>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＞3m</w:t>
            </w:r>
          </w:p>
        </w:tc>
        <w:tc>
          <w:tcPr>
            <w:tcW w:w="1479" w:type="dxa"/>
            <w:tcBorders>
              <w:left w:val="single" w:color="auto" w:sz="4" w:space="0"/>
              <w:bottom w:val="single" w:color="auto" w:sz="4" w:space="0"/>
              <w:right w:val="single" w:color="auto" w:sz="4" w:space="0"/>
            </w:tcBorders>
            <w:vAlign w:val="center"/>
          </w:tcPr>
          <w:p>
            <w:pPr>
              <w:spacing w:line="360" w:lineRule="auto"/>
              <w:jc w:val="center"/>
              <w:rPr>
                <w:sz w:val="24"/>
                <w:szCs w:val="28"/>
              </w:rPr>
            </w:pPr>
            <w:r>
              <w:rPr>
                <w:rFonts w:hint="eastAsia"/>
                <w:sz w:val="24"/>
                <w:szCs w:val="28"/>
              </w:rPr>
              <w:t>±30 cm</w:t>
            </w:r>
          </w:p>
        </w:tc>
      </w:tr>
    </w:tbl>
    <w:p>
      <w:pPr>
        <w:spacing w:line="360" w:lineRule="auto"/>
        <w:ind w:firstLine="480" w:firstLineChars="200"/>
        <w:jc w:val="left"/>
        <w:rPr>
          <w:sz w:val="24"/>
          <w:szCs w:val="28"/>
        </w:rPr>
      </w:pPr>
      <w:r>
        <w:rPr>
          <w:rFonts w:hint="eastAsia"/>
          <w:sz w:val="24"/>
          <w:szCs w:val="28"/>
        </w:rPr>
        <w:t>2.1.4.3.2  灌木和袋装地被植物的苗高、冠幅的允许偏差为</w:t>
      </w:r>
      <w:r>
        <w:rPr>
          <w:rFonts w:hint="eastAsia"/>
          <w:sz w:val="24"/>
          <w:szCs w:val="28"/>
        </w:rPr>
        <w:sym w:font="Symbol" w:char="F0B1"/>
      </w:r>
      <w:r>
        <w:rPr>
          <w:rFonts w:hint="eastAsia"/>
          <w:sz w:val="24"/>
          <w:szCs w:val="28"/>
        </w:rPr>
        <w:t>10%。</w:t>
      </w:r>
    </w:p>
    <w:p>
      <w:pPr>
        <w:spacing w:line="360" w:lineRule="auto"/>
        <w:ind w:firstLine="480" w:firstLineChars="200"/>
        <w:jc w:val="left"/>
        <w:rPr>
          <w:sz w:val="24"/>
          <w:szCs w:val="28"/>
        </w:rPr>
      </w:pPr>
      <w:r>
        <w:rPr>
          <w:rFonts w:hint="eastAsia"/>
          <w:sz w:val="24"/>
          <w:szCs w:val="28"/>
        </w:rPr>
        <w:t>2.1.4.3.3  行道树定干高度应不低于2.3m，并满足设计要求。</w:t>
      </w:r>
    </w:p>
    <w:p>
      <w:pPr>
        <w:spacing w:line="360" w:lineRule="auto"/>
        <w:ind w:firstLine="480" w:firstLineChars="200"/>
        <w:jc w:val="left"/>
        <w:rPr>
          <w:sz w:val="24"/>
          <w:szCs w:val="28"/>
        </w:rPr>
      </w:pPr>
      <w:r>
        <w:rPr>
          <w:rFonts w:hint="eastAsia"/>
          <w:sz w:val="24"/>
          <w:szCs w:val="28"/>
        </w:rPr>
        <w:t>2.1.4.3.4  全冠苗木种植前应制定专项方案，并做好抗倒伏等保护工作。</w:t>
      </w:r>
    </w:p>
    <w:p>
      <w:pPr>
        <w:spacing w:line="360" w:lineRule="auto"/>
        <w:ind w:firstLine="480" w:firstLineChars="200"/>
        <w:jc w:val="left"/>
        <w:rPr>
          <w:sz w:val="24"/>
          <w:szCs w:val="28"/>
        </w:rPr>
      </w:pPr>
      <w:r>
        <w:rPr>
          <w:rFonts w:hint="eastAsia"/>
          <w:sz w:val="24"/>
          <w:szCs w:val="28"/>
        </w:rPr>
        <w:t>2.1.4.3.5  全冠移植乔木必须为容器苗或假植苗，到场苗木严禁带有明显病虫害，不得受伤或土球松散。</w:t>
      </w:r>
    </w:p>
    <w:p>
      <w:pPr>
        <w:pStyle w:val="13"/>
        <w:spacing w:line="360" w:lineRule="auto"/>
        <w:ind w:firstLine="482" w:firstLineChars="200"/>
        <w:rPr>
          <w:rFonts w:ascii="Calibri" w:eastAsia="宋体"/>
          <w:b/>
          <w:sz w:val="24"/>
          <w:szCs w:val="28"/>
        </w:rPr>
      </w:pPr>
      <w:r>
        <w:rPr>
          <w:rFonts w:hint="eastAsia" w:ascii="Calibri" w:eastAsia="宋体"/>
          <w:b/>
          <w:sz w:val="24"/>
          <w:szCs w:val="28"/>
        </w:rPr>
        <w:t>2.2园路工程</w:t>
      </w:r>
    </w:p>
    <w:p>
      <w:pPr>
        <w:pStyle w:val="11"/>
        <w:spacing w:line="360" w:lineRule="auto"/>
        <w:ind w:left="0"/>
        <w:rPr>
          <w:sz w:val="24"/>
          <w:szCs w:val="28"/>
        </w:rPr>
      </w:pPr>
      <w:r>
        <w:rPr>
          <w:rFonts w:hint="eastAsia"/>
          <w:sz w:val="24"/>
          <w:szCs w:val="28"/>
        </w:rPr>
        <w:t xml:space="preserve">    2.2.1. 确定施工区域</w:t>
      </w:r>
    </w:p>
    <w:p>
      <w:pPr>
        <w:pStyle w:val="11"/>
        <w:spacing w:line="360" w:lineRule="auto"/>
        <w:ind w:left="0" w:firstLine="480" w:firstLineChars="200"/>
        <w:rPr>
          <w:sz w:val="24"/>
          <w:szCs w:val="28"/>
        </w:rPr>
      </w:pPr>
      <w:r>
        <w:rPr>
          <w:rFonts w:hint="eastAsia"/>
          <w:sz w:val="24"/>
          <w:szCs w:val="28"/>
        </w:rPr>
        <w:t>首先，根据设计图纸和规划要求，确定园路的施工区域。按照交通管理部门的要求，设立施工围挡和提示标志，确保施工区域的安全。</w:t>
      </w:r>
    </w:p>
    <w:p>
      <w:pPr>
        <w:pStyle w:val="11"/>
        <w:spacing w:line="360" w:lineRule="auto"/>
        <w:ind w:left="0" w:firstLine="480" w:firstLineChars="200"/>
        <w:rPr>
          <w:sz w:val="24"/>
          <w:szCs w:val="28"/>
        </w:rPr>
      </w:pPr>
      <w:r>
        <w:rPr>
          <w:rFonts w:hint="eastAsia"/>
          <w:sz w:val="24"/>
          <w:szCs w:val="28"/>
        </w:rPr>
        <w:t>2.2.2. 准备材料和设备</w:t>
      </w:r>
    </w:p>
    <w:p>
      <w:pPr>
        <w:pStyle w:val="11"/>
        <w:spacing w:line="360" w:lineRule="auto"/>
        <w:ind w:left="0" w:firstLine="480" w:firstLineChars="200"/>
        <w:rPr>
          <w:sz w:val="24"/>
          <w:szCs w:val="28"/>
        </w:rPr>
      </w:pPr>
      <w:r>
        <w:rPr>
          <w:rFonts w:hint="eastAsia"/>
          <w:sz w:val="24"/>
          <w:szCs w:val="28"/>
        </w:rPr>
        <w:t>根据设计要求和施工方案，准备好所需的材料和设备，包括但不限于混凝土、钢筋、支撑架、工具等。确保材料和设备的质量和数量符合要求。</w:t>
      </w:r>
    </w:p>
    <w:p>
      <w:pPr>
        <w:pStyle w:val="11"/>
        <w:spacing w:line="360" w:lineRule="auto"/>
        <w:ind w:left="0" w:firstLine="480" w:firstLineChars="200"/>
        <w:rPr>
          <w:sz w:val="24"/>
          <w:szCs w:val="28"/>
        </w:rPr>
      </w:pPr>
      <w:r>
        <w:rPr>
          <w:rFonts w:hint="eastAsia"/>
          <w:sz w:val="24"/>
          <w:szCs w:val="28"/>
        </w:rPr>
        <w:t>2.2.3. 制定施工计划</w:t>
      </w:r>
    </w:p>
    <w:p>
      <w:pPr>
        <w:pStyle w:val="11"/>
        <w:spacing w:line="360" w:lineRule="auto"/>
        <w:ind w:left="0" w:firstLine="480" w:firstLineChars="200"/>
        <w:rPr>
          <w:sz w:val="24"/>
          <w:szCs w:val="28"/>
        </w:rPr>
      </w:pPr>
      <w:r>
        <w:rPr>
          <w:rFonts w:hint="eastAsia"/>
          <w:sz w:val="24"/>
          <w:szCs w:val="28"/>
        </w:rPr>
        <w:t>根据施工区域的大小、工程量和施工条件，制定详细的施工计划。考虑施工的先后顺序、工期安排、人员调配等因素，并与相关部门进行协调。</w:t>
      </w:r>
    </w:p>
    <w:p>
      <w:pPr>
        <w:pStyle w:val="11"/>
        <w:spacing w:line="360" w:lineRule="auto"/>
        <w:ind w:left="0" w:firstLine="480" w:firstLineChars="200"/>
        <w:rPr>
          <w:sz w:val="24"/>
          <w:szCs w:val="28"/>
        </w:rPr>
      </w:pPr>
      <w:r>
        <w:rPr>
          <w:rFonts w:hint="eastAsia"/>
          <w:sz w:val="24"/>
          <w:szCs w:val="28"/>
        </w:rPr>
        <w:t>2.2.4. 施工步骤</w:t>
      </w:r>
    </w:p>
    <w:p>
      <w:pPr>
        <w:pStyle w:val="11"/>
        <w:spacing w:line="360" w:lineRule="auto"/>
        <w:ind w:left="0" w:firstLine="480" w:firstLineChars="200"/>
        <w:rPr>
          <w:sz w:val="24"/>
          <w:szCs w:val="28"/>
        </w:rPr>
      </w:pPr>
      <w:r>
        <w:rPr>
          <w:rFonts w:hint="eastAsia"/>
          <w:sz w:val="24"/>
          <w:szCs w:val="28"/>
        </w:rPr>
        <w:t>根据园路的设计要求和施工方案，进行以下步骤：</w:t>
      </w:r>
    </w:p>
    <w:p>
      <w:pPr>
        <w:pStyle w:val="11"/>
        <w:spacing w:line="360" w:lineRule="auto"/>
        <w:ind w:left="0" w:firstLine="480" w:firstLineChars="200"/>
        <w:rPr>
          <w:sz w:val="24"/>
          <w:szCs w:val="28"/>
        </w:rPr>
      </w:pPr>
      <w:r>
        <w:rPr>
          <w:rFonts w:hint="eastAsia"/>
          <w:sz w:val="24"/>
          <w:szCs w:val="28"/>
        </w:rPr>
        <w:t>2.2.4.1. 清理施工区域</w:t>
      </w:r>
    </w:p>
    <w:p>
      <w:pPr>
        <w:pStyle w:val="11"/>
        <w:spacing w:line="360" w:lineRule="auto"/>
        <w:ind w:left="0" w:firstLine="480" w:firstLineChars="200"/>
        <w:rPr>
          <w:sz w:val="24"/>
          <w:szCs w:val="28"/>
        </w:rPr>
      </w:pPr>
      <w:r>
        <w:rPr>
          <w:rFonts w:hint="eastAsia"/>
          <w:sz w:val="24"/>
          <w:szCs w:val="28"/>
        </w:rPr>
        <w:t>在施工开始之前，清理施工区域，清除垃圾、杂草和碎石等。确保施工区域的干净整洁，为施工提供良好的操作环境。</w:t>
      </w:r>
    </w:p>
    <w:p>
      <w:pPr>
        <w:pStyle w:val="11"/>
        <w:spacing w:line="360" w:lineRule="auto"/>
        <w:ind w:left="0" w:firstLine="480" w:firstLineChars="200"/>
        <w:rPr>
          <w:sz w:val="24"/>
          <w:szCs w:val="28"/>
        </w:rPr>
      </w:pPr>
      <w:r>
        <w:rPr>
          <w:rFonts w:hint="eastAsia"/>
          <w:sz w:val="24"/>
          <w:szCs w:val="28"/>
        </w:rPr>
        <w:t>2.2.4.2. 基础施工</w:t>
      </w:r>
    </w:p>
    <w:p>
      <w:pPr>
        <w:pStyle w:val="11"/>
        <w:spacing w:line="360" w:lineRule="auto"/>
        <w:ind w:left="0" w:firstLine="480" w:firstLineChars="200"/>
        <w:rPr>
          <w:sz w:val="24"/>
          <w:szCs w:val="28"/>
        </w:rPr>
      </w:pPr>
      <w:r>
        <w:rPr>
          <w:rFonts w:hint="eastAsia"/>
          <w:sz w:val="24"/>
          <w:szCs w:val="28"/>
        </w:rPr>
        <w:t>根据园路的设计要求，进行基础的施工工作，包括挖掘基坑、铺设排水管道、浇筑混凝土基础等。需要注意混凝土的浇筑工艺和养护要求。</w:t>
      </w:r>
    </w:p>
    <w:p>
      <w:pPr>
        <w:pStyle w:val="11"/>
        <w:spacing w:line="360" w:lineRule="auto"/>
        <w:ind w:left="0" w:firstLine="480" w:firstLineChars="200"/>
        <w:rPr>
          <w:sz w:val="24"/>
          <w:szCs w:val="28"/>
        </w:rPr>
      </w:pPr>
      <w:r>
        <w:rPr>
          <w:rFonts w:hint="eastAsia"/>
          <w:sz w:val="24"/>
          <w:szCs w:val="28"/>
        </w:rPr>
        <w:t>2.2.4.3. 铺设地面</w:t>
      </w:r>
    </w:p>
    <w:p>
      <w:pPr>
        <w:pStyle w:val="11"/>
        <w:spacing w:line="360" w:lineRule="auto"/>
        <w:ind w:left="0" w:firstLine="480" w:firstLineChars="200"/>
        <w:rPr>
          <w:sz w:val="24"/>
          <w:szCs w:val="28"/>
        </w:rPr>
      </w:pPr>
      <w:r>
        <w:rPr>
          <w:rFonts w:hint="eastAsia"/>
          <w:sz w:val="24"/>
          <w:szCs w:val="28"/>
        </w:rPr>
        <w:t>在砌筑完墙体之后，进行园路地面的铺设工作。可以使用砖石、水泥板或其他材料进行铺设。需要注意地面的平整度、防滑性和耐久性。</w:t>
      </w:r>
    </w:p>
    <w:p>
      <w:pPr>
        <w:pStyle w:val="11"/>
        <w:spacing w:line="360" w:lineRule="auto"/>
        <w:ind w:left="0" w:firstLine="480" w:firstLineChars="200"/>
        <w:rPr>
          <w:sz w:val="24"/>
          <w:szCs w:val="28"/>
        </w:rPr>
      </w:pPr>
      <w:r>
        <w:rPr>
          <w:rFonts w:hint="eastAsia"/>
          <w:sz w:val="24"/>
          <w:szCs w:val="28"/>
        </w:rPr>
        <w:t>2.2.4.4. 完善细节</w:t>
      </w:r>
    </w:p>
    <w:p>
      <w:pPr>
        <w:pStyle w:val="11"/>
        <w:spacing w:line="360" w:lineRule="auto"/>
        <w:ind w:left="0"/>
        <w:rPr>
          <w:sz w:val="24"/>
          <w:szCs w:val="28"/>
        </w:rPr>
      </w:pPr>
      <w:r>
        <w:rPr>
          <w:rFonts w:hint="eastAsia"/>
          <w:sz w:val="24"/>
          <w:szCs w:val="28"/>
        </w:rPr>
        <w:t>根据设计要求，进行园路的细节工作。需要注意细节工作的精细度和质量要求。</w:t>
      </w:r>
    </w:p>
    <w:p>
      <w:pPr>
        <w:pStyle w:val="11"/>
        <w:spacing w:line="360" w:lineRule="auto"/>
        <w:ind w:left="0" w:firstLine="480" w:firstLineChars="200"/>
        <w:rPr>
          <w:sz w:val="24"/>
          <w:szCs w:val="28"/>
        </w:rPr>
      </w:pPr>
      <w:r>
        <w:rPr>
          <w:rFonts w:hint="eastAsia"/>
          <w:sz w:val="24"/>
          <w:szCs w:val="28"/>
        </w:rPr>
        <w:t>2.2.5. 施工安全注意事项</w:t>
      </w:r>
    </w:p>
    <w:p>
      <w:pPr>
        <w:pStyle w:val="11"/>
        <w:spacing w:line="360" w:lineRule="auto"/>
        <w:ind w:left="0"/>
        <w:rPr>
          <w:sz w:val="24"/>
          <w:szCs w:val="28"/>
        </w:rPr>
      </w:pPr>
      <w:r>
        <w:rPr>
          <w:rFonts w:hint="eastAsia"/>
          <w:sz w:val="24"/>
          <w:szCs w:val="28"/>
        </w:rPr>
        <w:t>在进行园路的施工过程中，需要注意以下安全事项：</w:t>
      </w:r>
    </w:p>
    <w:p>
      <w:pPr>
        <w:pStyle w:val="11"/>
        <w:spacing w:line="360" w:lineRule="auto"/>
        <w:ind w:left="0" w:firstLine="480" w:firstLineChars="200"/>
        <w:rPr>
          <w:sz w:val="24"/>
          <w:szCs w:val="28"/>
        </w:rPr>
      </w:pPr>
      <w:r>
        <w:rPr>
          <w:rFonts w:hint="eastAsia"/>
          <w:sz w:val="24"/>
          <w:szCs w:val="28"/>
        </w:rPr>
        <w:t>2.2.5.1. 工地内严格遵守安全生产规章制度，加强安全教育和培训，提高员工的安全意识和技能水平。</w:t>
      </w:r>
    </w:p>
    <w:p>
      <w:pPr>
        <w:pStyle w:val="11"/>
        <w:spacing w:line="360" w:lineRule="auto"/>
        <w:ind w:left="0" w:firstLine="480" w:firstLineChars="200"/>
        <w:rPr>
          <w:sz w:val="24"/>
          <w:szCs w:val="28"/>
        </w:rPr>
      </w:pPr>
      <w:r>
        <w:rPr>
          <w:rFonts w:hint="eastAsia"/>
          <w:sz w:val="24"/>
          <w:szCs w:val="28"/>
        </w:rPr>
        <w:t>2.2.5.2. 使用符合标准的材料和设备，避免使用过期或损坏的工具。</w:t>
      </w:r>
    </w:p>
    <w:p>
      <w:pPr>
        <w:pStyle w:val="11"/>
        <w:spacing w:line="360" w:lineRule="auto"/>
        <w:ind w:left="0" w:firstLine="480" w:firstLineChars="200"/>
        <w:rPr>
          <w:sz w:val="24"/>
          <w:szCs w:val="28"/>
        </w:rPr>
      </w:pPr>
      <w:r>
        <w:rPr>
          <w:rFonts w:hint="eastAsia"/>
          <w:sz w:val="24"/>
          <w:szCs w:val="28"/>
        </w:rPr>
        <w:t>2.2.5.3. 严格遵守施工现场的交通管理规定，设置施工警示标志和路障，确保行人和车辆的安全。</w:t>
      </w:r>
    </w:p>
    <w:p>
      <w:pPr>
        <w:pStyle w:val="11"/>
        <w:spacing w:line="360" w:lineRule="auto"/>
        <w:ind w:left="0" w:firstLine="480" w:firstLineChars="200"/>
        <w:rPr>
          <w:sz w:val="24"/>
          <w:szCs w:val="28"/>
        </w:rPr>
      </w:pPr>
      <w:r>
        <w:rPr>
          <w:rFonts w:hint="eastAsia"/>
          <w:sz w:val="24"/>
          <w:szCs w:val="28"/>
        </w:rPr>
        <w:t>2.2.5.4. 定期检查施工现场的安全状况，及时排除安全隐患，确保施工过程的安全稳定。</w:t>
      </w:r>
    </w:p>
    <w:p>
      <w:pPr>
        <w:pStyle w:val="11"/>
        <w:spacing w:line="360" w:lineRule="auto"/>
        <w:ind w:left="0" w:firstLine="480" w:firstLineChars="200"/>
        <w:rPr>
          <w:sz w:val="24"/>
          <w:szCs w:val="28"/>
        </w:rPr>
      </w:pPr>
      <w:r>
        <w:rPr>
          <w:rFonts w:hint="eastAsia"/>
          <w:sz w:val="24"/>
          <w:szCs w:val="28"/>
        </w:rPr>
        <w:t>2.2.6. 施工质量控制</w:t>
      </w:r>
    </w:p>
    <w:p>
      <w:pPr>
        <w:pStyle w:val="11"/>
        <w:spacing w:line="360" w:lineRule="auto"/>
        <w:ind w:left="0"/>
        <w:rPr>
          <w:sz w:val="24"/>
          <w:szCs w:val="28"/>
        </w:rPr>
      </w:pPr>
      <w:r>
        <w:rPr>
          <w:rFonts w:hint="eastAsia"/>
          <w:sz w:val="24"/>
          <w:szCs w:val="28"/>
        </w:rPr>
        <w:t>为了确保园路的施工质量，可以采取以下措施进行质量控制：</w:t>
      </w:r>
    </w:p>
    <w:p>
      <w:pPr>
        <w:pStyle w:val="11"/>
        <w:spacing w:line="360" w:lineRule="auto"/>
        <w:ind w:left="0" w:firstLine="480" w:firstLineChars="200"/>
        <w:rPr>
          <w:sz w:val="24"/>
          <w:szCs w:val="28"/>
        </w:rPr>
      </w:pPr>
      <w:r>
        <w:rPr>
          <w:rFonts w:hint="eastAsia"/>
          <w:sz w:val="24"/>
          <w:szCs w:val="28"/>
        </w:rPr>
        <w:t>2.2.6.1按照设计要求进行施工，确保施工过程和施工结果符合标准和规范。</w:t>
      </w:r>
    </w:p>
    <w:p>
      <w:pPr>
        <w:pStyle w:val="11"/>
        <w:spacing w:line="360" w:lineRule="auto"/>
        <w:ind w:left="0" w:firstLine="480" w:firstLineChars="200"/>
        <w:rPr>
          <w:sz w:val="24"/>
          <w:szCs w:val="28"/>
        </w:rPr>
      </w:pPr>
      <w:r>
        <w:rPr>
          <w:rFonts w:hint="eastAsia"/>
          <w:sz w:val="24"/>
          <w:szCs w:val="28"/>
        </w:rPr>
        <w:t>2.2.6.2严格控制材料和设备的质量，做好进货检验和验收工作。</w:t>
      </w:r>
    </w:p>
    <w:p>
      <w:pPr>
        <w:pStyle w:val="11"/>
        <w:spacing w:line="360" w:lineRule="auto"/>
        <w:ind w:left="0" w:firstLine="480" w:firstLineChars="200"/>
        <w:rPr>
          <w:sz w:val="24"/>
          <w:szCs w:val="28"/>
        </w:rPr>
      </w:pPr>
      <w:r>
        <w:rPr>
          <w:rFonts w:hint="eastAsia"/>
          <w:sz w:val="24"/>
          <w:szCs w:val="28"/>
        </w:rPr>
        <w:t>2.2.6.3设置施工中的质量检查点，对关键环节和关键部位进行抽查和检测。</w:t>
      </w:r>
    </w:p>
    <w:p>
      <w:pPr>
        <w:pStyle w:val="11"/>
        <w:spacing w:line="360" w:lineRule="auto"/>
        <w:ind w:left="0" w:firstLine="480" w:firstLineChars="200"/>
      </w:pPr>
      <w:r>
        <w:rPr>
          <w:rFonts w:hint="eastAsia"/>
          <w:sz w:val="24"/>
          <w:szCs w:val="28"/>
        </w:rPr>
        <w:t>2.2.6.4进行日常的施工记录和质量检查，及时发现和整改施工中问题和缺陷。</w:t>
      </w:r>
    </w:p>
    <w:p>
      <w:pPr>
        <w:spacing w:line="360" w:lineRule="auto"/>
        <w:jc w:val="left"/>
        <w:rPr>
          <w:sz w:val="24"/>
          <w:szCs w:val="28"/>
        </w:rPr>
      </w:pPr>
      <w:r>
        <w:rPr>
          <w:rFonts w:hint="eastAsia"/>
          <w:sz w:val="24"/>
          <w:szCs w:val="28"/>
        </w:rPr>
        <w:t>三、选择方式：比选。</w:t>
      </w:r>
    </w:p>
    <w:p>
      <w:pPr>
        <w:pStyle w:val="13"/>
        <w:ind w:firstLine="0" w:firstLineChars="0"/>
        <w:rPr>
          <w:rFonts w:ascii="Calibri" w:eastAsia="宋体"/>
          <w:sz w:val="24"/>
          <w:szCs w:val="28"/>
        </w:rPr>
      </w:pPr>
      <w:r>
        <w:rPr>
          <w:rFonts w:hint="eastAsia" w:ascii="Calibri" w:eastAsia="宋体"/>
          <w:sz w:val="24"/>
          <w:szCs w:val="28"/>
        </w:rPr>
        <w:t>四、工程量清单（按图施工，详见施工图）</w:t>
      </w:r>
    </w:p>
    <w:tbl>
      <w:tblPr>
        <w:tblStyle w:val="14"/>
        <w:tblW w:w="8426" w:type="dxa"/>
        <w:tblInd w:w="96" w:type="dxa"/>
        <w:tblLayout w:type="fixed"/>
        <w:tblCellMar>
          <w:top w:w="0" w:type="dxa"/>
          <w:left w:w="108" w:type="dxa"/>
          <w:bottom w:w="0" w:type="dxa"/>
          <w:right w:w="108" w:type="dxa"/>
        </w:tblCellMar>
      </w:tblPr>
      <w:tblGrid>
        <w:gridCol w:w="429"/>
        <w:gridCol w:w="1804"/>
        <w:gridCol w:w="620"/>
        <w:gridCol w:w="660"/>
        <w:gridCol w:w="790"/>
        <w:gridCol w:w="700"/>
        <w:gridCol w:w="520"/>
        <w:gridCol w:w="576"/>
        <w:gridCol w:w="2327"/>
      </w:tblGrid>
      <w:tr>
        <w:tblPrEx>
          <w:tblCellMar>
            <w:top w:w="0" w:type="dxa"/>
            <w:left w:w="108" w:type="dxa"/>
            <w:bottom w:w="0" w:type="dxa"/>
            <w:right w:w="108" w:type="dxa"/>
          </w:tblCellMar>
        </w:tblPrEx>
        <w:trPr>
          <w:trHeight w:val="300" w:hRule="atLeast"/>
        </w:trPr>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序号</w:t>
            </w:r>
          </w:p>
        </w:tc>
        <w:tc>
          <w:tcPr>
            <w:tcW w:w="18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项目名称</w:t>
            </w:r>
          </w:p>
        </w:tc>
        <w:tc>
          <w:tcPr>
            <w:tcW w:w="27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规格</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数量</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单位</w:t>
            </w:r>
          </w:p>
        </w:tc>
        <w:tc>
          <w:tcPr>
            <w:tcW w:w="23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备注</w:t>
            </w:r>
          </w:p>
        </w:tc>
      </w:tr>
      <w:tr>
        <w:tblPrEx>
          <w:tblCellMar>
            <w:top w:w="0" w:type="dxa"/>
            <w:left w:w="108" w:type="dxa"/>
            <w:bottom w:w="0" w:type="dxa"/>
            <w:right w:w="108" w:type="dxa"/>
          </w:tblCellMar>
        </w:tblPrEx>
        <w:trPr>
          <w:trHeight w:val="30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6"/>
                <w:szCs w:val="16"/>
              </w:rPr>
            </w:pPr>
          </w:p>
        </w:tc>
        <w:tc>
          <w:tcPr>
            <w:tcW w:w="1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6"/>
                <w:szCs w:val="16"/>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胸径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高度</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冠幅</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分枝点</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6"/>
                <w:szCs w:val="16"/>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6"/>
                <w:szCs w:val="16"/>
              </w:rPr>
            </w:pPr>
          </w:p>
        </w:tc>
        <w:tc>
          <w:tcPr>
            <w:tcW w:w="23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 </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平整绿地</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726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平方</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迁移桂花</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350 </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300 </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9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3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迁移紫荆</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250-300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6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4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迁移银杏</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18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12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5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迁移早樱</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D7</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6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6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迁移白玉兰</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D6</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4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7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迁移垂丝海棠</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D8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8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迁移香樟</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18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9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迁移香樟</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12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10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迁移朴树</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22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3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11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迁移红叶石楠球</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150 </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12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迁移红花继木球</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120 </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13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迁移茶花</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250 </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150 </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14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迁移十大功劳</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40 </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41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平方</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36株/平方</w:t>
            </w: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15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迁移红叶石楠</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40 </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22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平方</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36株/平方</w:t>
            </w: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16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移除原有灌木</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40 </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437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平方</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36株/平方</w:t>
            </w: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17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草坪</w:t>
            </w:r>
          </w:p>
        </w:tc>
        <w:tc>
          <w:tcPr>
            <w:tcW w:w="27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马尼拉秋季混播黑麦草</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585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平方</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18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种植土</w:t>
            </w:r>
          </w:p>
        </w:tc>
        <w:tc>
          <w:tcPr>
            <w:tcW w:w="27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80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立方</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19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垃圾清运</w:t>
            </w:r>
          </w:p>
        </w:tc>
        <w:tc>
          <w:tcPr>
            <w:tcW w:w="27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5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车</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20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进口颗粒有机肥</w:t>
            </w:r>
          </w:p>
        </w:tc>
        <w:tc>
          <w:tcPr>
            <w:tcW w:w="27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40公斤</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包</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44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21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泥碳</w:t>
            </w:r>
          </w:p>
        </w:tc>
        <w:tc>
          <w:tcPr>
            <w:tcW w:w="27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10公斤</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100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包</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22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木趣</w:t>
            </w:r>
          </w:p>
        </w:tc>
        <w:tc>
          <w:tcPr>
            <w:tcW w:w="27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彩色有机覆盖物</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78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平方</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23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sz w:val="16"/>
                <w:szCs w:val="16"/>
              </w:rPr>
              <w:t>汀步园路</w:t>
            </w:r>
          </w:p>
        </w:tc>
        <w:tc>
          <w:tcPr>
            <w:tcW w:w="27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40*100*5</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20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米</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详见剖面图</w:t>
            </w:r>
          </w:p>
        </w:tc>
      </w:tr>
    </w:tbl>
    <w:p>
      <w:pPr>
        <w:rPr>
          <w:sz w:val="24"/>
          <w:szCs w:val="28"/>
        </w:rPr>
      </w:pPr>
    </w:p>
    <w:p>
      <w:pPr>
        <w:pStyle w:val="13"/>
        <w:ind w:firstLine="210"/>
        <w:sectPr>
          <w:pgSz w:w="11906" w:h="16838"/>
          <w:pgMar w:top="1134" w:right="1797" w:bottom="851" w:left="1797" w:header="851" w:footer="992" w:gutter="0"/>
          <w:cols w:space="425" w:num="1"/>
          <w:docGrid w:type="lines" w:linePitch="312" w:charSpace="0"/>
        </w:sectPr>
      </w:pPr>
    </w:p>
    <w:p>
      <w:pPr>
        <w:numPr>
          <w:ilvl w:val="0"/>
          <w:numId w:val="5"/>
        </w:numPr>
        <w:spacing w:line="360" w:lineRule="auto"/>
        <w:jc w:val="center"/>
        <w:rPr>
          <w:rFonts w:ascii="宋体" w:hAnsi="宋体"/>
          <w:b/>
          <w:sz w:val="36"/>
          <w:szCs w:val="36"/>
        </w:rPr>
      </w:pPr>
      <w:r>
        <w:rPr>
          <w:rFonts w:hint="eastAsia" w:ascii="宋体" w:hAnsi="宋体"/>
          <w:b/>
          <w:sz w:val="36"/>
          <w:szCs w:val="36"/>
        </w:rPr>
        <w:t>评审办法</w:t>
      </w:r>
    </w:p>
    <w:p>
      <w:pPr>
        <w:jc w:val="center"/>
        <w:rPr>
          <w:b/>
          <w:sz w:val="32"/>
          <w:szCs w:val="32"/>
        </w:rPr>
      </w:pPr>
    </w:p>
    <w:p>
      <w:pPr>
        <w:adjustRightInd w:val="0"/>
        <w:snapToGrid w:val="0"/>
        <w:spacing w:line="288" w:lineRule="auto"/>
        <w:rPr>
          <w:rFonts w:ascii="宋体" w:hAnsi="宋体"/>
          <w:b/>
          <w:spacing w:val="-6"/>
          <w:szCs w:val="21"/>
        </w:rPr>
      </w:pPr>
      <w:bookmarkStart w:id="2" w:name="_Toc497730472"/>
      <w:r>
        <w:rPr>
          <w:rFonts w:hint="eastAsia" w:ascii="宋体" w:hAnsi="宋体"/>
          <w:b/>
          <w:spacing w:val="-6"/>
          <w:szCs w:val="21"/>
        </w:rPr>
        <w:t>一、总则</w:t>
      </w:r>
    </w:p>
    <w:p>
      <w:pPr>
        <w:adjustRightInd w:val="0"/>
        <w:snapToGrid w:val="0"/>
        <w:spacing w:line="288" w:lineRule="auto"/>
        <w:ind w:firstLine="420" w:firstLineChars="200"/>
        <w:rPr>
          <w:rFonts w:ascii="宋体" w:hAnsi="宋体" w:cs="宋体"/>
          <w:szCs w:val="21"/>
        </w:rPr>
      </w:pPr>
      <w:r>
        <w:rPr>
          <w:rFonts w:hint="eastAsia" w:ascii="宋体" w:hAnsi="宋体" w:cs="宋体"/>
          <w:szCs w:val="21"/>
        </w:rPr>
        <w:t>评审采用综合评分法，总分为100分。评分过程中采用四舍五入法，并保留小数2位。</w:t>
      </w:r>
    </w:p>
    <w:p>
      <w:pPr>
        <w:adjustRightInd w:val="0"/>
        <w:snapToGrid w:val="0"/>
        <w:spacing w:line="288" w:lineRule="auto"/>
        <w:ind w:firstLine="420" w:firstLineChars="200"/>
        <w:rPr>
          <w:rFonts w:ascii="宋体" w:hAnsi="宋体" w:cs="宋体"/>
          <w:szCs w:val="21"/>
        </w:rPr>
      </w:pPr>
      <w:r>
        <w:rPr>
          <w:rFonts w:hint="eastAsia" w:ascii="宋体" w:hAnsi="宋体" w:cs="宋体"/>
          <w:szCs w:val="21"/>
        </w:rPr>
        <w:t>供应商评审综合得分=商务分+技术分+价格分</w:t>
      </w:r>
    </w:p>
    <w:p>
      <w:pPr>
        <w:adjustRightInd w:val="0"/>
        <w:snapToGrid w:val="0"/>
        <w:spacing w:line="288" w:lineRule="auto"/>
        <w:ind w:firstLine="420" w:firstLineChars="200"/>
        <w:rPr>
          <w:rFonts w:ascii="宋体" w:hAnsi="宋体" w:cs="宋体"/>
          <w:szCs w:val="21"/>
        </w:rPr>
      </w:pPr>
      <w:r>
        <w:rPr>
          <w:rFonts w:hint="eastAsia" w:ascii="宋体" w:hAnsi="宋体" w:cs="宋体"/>
          <w:szCs w:val="21"/>
        </w:rPr>
        <w:t>商务分、技术分按照磋商小组成员的独立评分结果的算术平均分计算，计算公式为：商务分、技术分=（磋商小组所有成员评分合计数）/（磋商小组组成人员数）。项目评审过程中，不得去掉最后报价中的最高报价和最低报价。</w:t>
      </w:r>
    </w:p>
    <w:p>
      <w:pPr>
        <w:adjustRightInd w:val="0"/>
        <w:snapToGrid w:val="0"/>
        <w:spacing w:line="288" w:lineRule="auto"/>
        <w:rPr>
          <w:rFonts w:ascii="宋体" w:hAnsi="宋体"/>
          <w:b/>
          <w:spacing w:val="-6"/>
          <w:szCs w:val="21"/>
        </w:rPr>
      </w:pPr>
      <w:r>
        <w:rPr>
          <w:rFonts w:hint="eastAsia" w:ascii="宋体" w:hAnsi="宋体"/>
          <w:b/>
          <w:spacing w:val="-6"/>
          <w:szCs w:val="21"/>
        </w:rPr>
        <w:t>二、评审内容及标准</w:t>
      </w:r>
    </w:p>
    <w:tbl>
      <w:tblPr>
        <w:tblStyle w:val="14"/>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620"/>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2" w:type="dxa"/>
            <w:vAlign w:val="center"/>
          </w:tcPr>
          <w:p>
            <w:pPr>
              <w:adjustRightInd w:val="0"/>
              <w:snapToGrid w:val="0"/>
              <w:spacing w:line="288" w:lineRule="auto"/>
              <w:jc w:val="center"/>
              <w:rPr>
                <w:rFonts w:ascii="宋体" w:hAnsi="宋体"/>
                <w:b/>
                <w:spacing w:val="-6"/>
                <w:szCs w:val="21"/>
              </w:rPr>
            </w:pPr>
            <w:r>
              <w:rPr>
                <w:rFonts w:hint="eastAsia" w:ascii="宋体" w:hAnsi="宋体"/>
                <w:b/>
                <w:spacing w:val="-6"/>
                <w:szCs w:val="21"/>
              </w:rPr>
              <w:t>评审因素</w:t>
            </w:r>
          </w:p>
        </w:tc>
        <w:tc>
          <w:tcPr>
            <w:tcW w:w="620" w:type="dxa"/>
            <w:vAlign w:val="center"/>
          </w:tcPr>
          <w:p>
            <w:pPr>
              <w:adjustRightInd w:val="0"/>
              <w:snapToGrid w:val="0"/>
              <w:spacing w:line="288" w:lineRule="auto"/>
              <w:jc w:val="center"/>
              <w:rPr>
                <w:rFonts w:ascii="宋体" w:hAnsi="宋体"/>
                <w:b/>
                <w:spacing w:val="-6"/>
                <w:szCs w:val="21"/>
              </w:rPr>
            </w:pPr>
            <w:r>
              <w:rPr>
                <w:rFonts w:hint="eastAsia" w:ascii="宋体" w:hAnsi="宋体"/>
                <w:b/>
                <w:spacing w:val="-6"/>
                <w:szCs w:val="21"/>
              </w:rPr>
              <w:t>分值</w:t>
            </w:r>
          </w:p>
        </w:tc>
        <w:tc>
          <w:tcPr>
            <w:tcW w:w="7461" w:type="dxa"/>
            <w:vAlign w:val="center"/>
          </w:tcPr>
          <w:p>
            <w:pPr>
              <w:pStyle w:val="24"/>
              <w:adjustRightInd w:val="0"/>
              <w:snapToGrid w:val="0"/>
              <w:spacing w:line="288" w:lineRule="auto"/>
              <w:ind w:firstLine="398"/>
              <w:rPr>
                <w:rFonts w:ascii="宋体" w:hAnsi="宋体" w:eastAsia="宋体"/>
                <w:b/>
                <w:spacing w:val="-6"/>
                <w:sz w:val="21"/>
                <w:szCs w:val="21"/>
              </w:rPr>
            </w:pPr>
            <w:r>
              <w:rPr>
                <w:rFonts w:ascii="宋体" w:hAnsi="宋体" w:eastAsia="宋体"/>
                <w:b/>
                <w:spacing w:val="-6"/>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93" w:type="dxa"/>
            <w:gridSpan w:val="3"/>
            <w:vAlign w:val="center"/>
          </w:tcPr>
          <w:p>
            <w:pPr>
              <w:pStyle w:val="24"/>
              <w:adjustRightInd w:val="0"/>
              <w:snapToGrid w:val="0"/>
              <w:spacing w:line="288" w:lineRule="auto"/>
              <w:ind w:hanging="4"/>
              <w:jc w:val="left"/>
              <w:rPr>
                <w:rFonts w:ascii="宋体" w:hAnsi="宋体" w:eastAsia="宋体"/>
                <w:spacing w:val="-6"/>
                <w:sz w:val="21"/>
                <w:szCs w:val="21"/>
              </w:rPr>
            </w:pPr>
            <w:r>
              <w:rPr>
                <w:rFonts w:ascii="宋体" w:hAnsi="宋体" w:eastAsia="宋体"/>
                <w:b/>
                <w:bCs/>
                <w:spacing w:val="-6"/>
                <w:kern w:val="2"/>
                <w:sz w:val="21"/>
                <w:szCs w:val="21"/>
              </w:rPr>
              <w:t>价格分（</w:t>
            </w:r>
            <w:r>
              <w:rPr>
                <w:rFonts w:hint="eastAsia" w:ascii="宋体" w:hAnsi="宋体" w:eastAsia="宋体"/>
                <w:b/>
                <w:bCs/>
                <w:spacing w:val="-6"/>
                <w:kern w:val="2"/>
                <w:sz w:val="21"/>
                <w:szCs w:val="21"/>
                <w:lang w:val="en-US" w:eastAsia="zh-CN"/>
              </w:rPr>
              <w:t>3</w:t>
            </w:r>
            <w:r>
              <w:rPr>
                <w:rFonts w:ascii="宋体" w:hAnsi="宋体" w:eastAsia="宋体"/>
                <w:b/>
                <w:bCs/>
                <w:spacing w:val="-6"/>
                <w:kern w:val="2"/>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bCs/>
                <w:spacing w:val="-6"/>
                <w:szCs w:val="21"/>
              </w:rPr>
            </w:pPr>
            <w:r>
              <w:rPr>
                <w:rFonts w:hint="eastAsia" w:ascii="宋体" w:hAnsi="宋体"/>
                <w:b/>
                <w:bCs/>
                <w:spacing w:val="-6"/>
                <w:szCs w:val="21"/>
              </w:rPr>
              <w:t>最后磋商报价</w:t>
            </w: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b/>
                <w:bCs/>
                <w:spacing w:val="-6"/>
                <w:szCs w:val="21"/>
              </w:rPr>
            </w:pPr>
            <w:r>
              <w:rPr>
                <w:rFonts w:hint="eastAsia" w:ascii="宋体" w:hAnsi="宋体"/>
                <w:b/>
                <w:bCs/>
                <w:spacing w:val="-6"/>
                <w:szCs w:val="21"/>
                <w:lang w:val="en-US" w:eastAsia="zh-CN"/>
              </w:rPr>
              <w:t>3</w:t>
            </w:r>
            <w:r>
              <w:rPr>
                <w:rFonts w:hint="eastAsia" w:ascii="宋体" w:hAnsi="宋体"/>
                <w:b/>
                <w:bCs/>
                <w:spacing w:val="-6"/>
                <w:szCs w:val="21"/>
              </w:rPr>
              <w:t>0</w:t>
            </w:r>
          </w:p>
        </w:tc>
        <w:tc>
          <w:tcPr>
            <w:tcW w:w="7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spacing w:val="-6"/>
                <w:szCs w:val="21"/>
              </w:rPr>
            </w:pPr>
            <w:r>
              <w:rPr>
                <w:rFonts w:hint="eastAsia" w:ascii="宋体" w:hAnsi="宋体"/>
                <w:spacing w:val="-6"/>
                <w:szCs w:val="21"/>
              </w:rPr>
              <w:t>价格分采用低价优先法计算，即满足磋商文件要求且最后磋商报价最低的供应商的价格为磋商基准价，其价格分为满分。其他供应商的价格分统一按照下列公式计算：磋商报价得分=（磋商基准价/最后磋商报价）×</w:t>
            </w:r>
            <w:r>
              <w:rPr>
                <w:rFonts w:hint="eastAsia" w:ascii="宋体" w:hAnsi="宋体"/>
                <w:spacing w:val="-6"/>
                <w:szCs w:val="21"/>
                <w:lang w:val="en-US" w:eastAsia="zh-CN"/>
              </w:rPr>
              <w:t>3</w:t>
            </w:r>
            <w:r>
              <w:rPr>
                <w:rFonts w:hint="eastAsia" w:ascii="宋体" w:hAnsi="宋体"/>
                <w:spacing w:val="-6"/>
                <w:szCs w:val="21"/>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93" w:type="dxa"/>
            <w:gridSpan w:val="3"/>
            <w:vAlign w:val="center"/>
          </w:tcPr>
          <w:p>
            <w:pPr>
              <w:pStyle w:val="24"/>
              <w:adjustRightInd w:val="0"/>
              <w:snapToGrid w:val="0"/>
              <w:spacing w:line="288" w:lineRule="auto"/>
              <w:ind w:hanging="4"/>
              <w:jc w:val="left"/>
              <w:rPr>
                <w:rFonts w:ascii="宋体" w:hAnsi="宋体" w:eastAsia="宋体"/>
                <w:b/>
                <w:spacing w:val="-6"/>
                <w:sz w:val="21"/>
                <w:szCs w:val="21"/>
              </w:rPr>
            </w:pPr>
            <w:r>
              <w:rPr>
                <w:rFonts w:ascii="宋体" w:hAnsi="宋体" w:eastAsia="宋体"/>
                <w:b/>
                <w:spacing w:val="-6"/>
                <w:sz w:val="21"/>
                <w:szCs w:val="21"/>
              </w:rPr>
              <w:t>商务分（1</w:t>
            </w:r>
            <w:r>
              <w:rPr>
                <w:rFonts w:hint="eastAsia" w:ascii="宋体" w:hAnsi="宋体" w:eastAsia="宋体"/>
                <w:b/>
                <w:spacing w:val="-6"/>
                <w:sz w:val="21"/>
                <w:szCs w:val="21"/>
                <w:lang w:val="en-US" w:eastAsia="zh-CN"/>
              </w:rPr>
              <w:t>4</w:t>
            </w:r>
            <w:r>
              <w:rPr>
                <w:rFonts w:ascii="宋体" w:hAnsi="宋体" w:eastAsia="宋体"/>
                <w:b/>
                <w:spacing w:val="-6"/>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2" w:type="dxa"/>
            <w:vMerge w:val="restart"/>
            <w:vAlign w:val="center"/>
          </w:tcPr>
          <w:p>
            <w:pPr>
              <w:adjustRightInd w:val="0"/>
              <w:snapToGrid w:val="0"/>
              <w:spacing w:line="288" w:lineRule="auto"/>
              <w:jc w:val="center"/>
              <w:rPr>
                <w:rFonts w:ascii="宋体" w:hAnsi="宋体" w:cs="宋体"/>
                <w:b/>
                <w:bCs/>
                <w:kern w:val="0"/>
                <w:szCs w:val="21"/>
              </w:rPr>
            </w:pPr>
            <w:r>
              <w:rPr>
                <w:rFonts w:hint="eastAsia" w:ascii="宋体" w:hAnsi="宋体"/>
                <w:b/>
                <w:bCs/>
                <w:szCs w:val="21"/>
              </w:rPr>
              <w:t>业绩</w:t>
            </w:r>
          </w:p>
        </w:tc>
        <w:tc>
          <w:tcPr>
            <w:tcW w:w="620" w:type="dxa"/>
            <w:vAlign w:val="center"/>
          </w:tcPr>
          <w:p>
            <w:pPr>
              <w:adjustRightInd w:val="0"/>
              <w:snapToGrid w:val="0"/>
              <w:spacing w:line="288" w:lineRule="auto"/>
              <w:jc w:val="center"/>
              <w:rPr>
                <w:rFonts w:ascii="宋体" w:hAnsi="宋体" w:cs="宋体"/>
                <w:kern w:val="0"/>
                <w:szCs w:val="21"/>
              </w:rPr>
            </w:pPr>
            <w:r>
              <w:rPr>
                <w:rFonts w:hint="eastAsia" w:ascii="宋体" w:hAnsi="宋体"/>
                <w:b/>
                <w:bCs/>
                <w:szCs w:val="21"/>
              </w:rPr>
              <w:t>4</w:t>
            </w:r>
          </w:p>
        </w:tc>
        <w:tc>
          <w:tcPr>
            <w:tcW w:w="7461" w:type="dxa"/>
            <w:vAlign w:val="center"/>
          </w:tcPr>
          <w:p>
            <w:pPr>
              <w:spacing w:line="276" w:lineRule="auto"/>
              <w:ind w:right="-21" w:rightChars="-10"/>
              <w:rPr>
                <w:rFonts w:hint="eastAsia" w:ascii="宋体" w:hAnsi="宋体" w:cs="宋体"/>
                <w:szCs w:val="21"/>
              </w:rPr>
            </w:pPr>
            <w:r>
              <w:rPr>
                <w:rFonts w:hint="eastAsia" w:ascii="宋体" w:hAnsi="宋体" w:cs="宋体"/>
                <w:szCs w:val="21"/>
              </w:rPr>
              <w:t>【客观分】 供应商具有有效的环境管理体系认证证书、质量管理体系认证证书（提供相关证明材料复印件并加盖公章）的，每项得2分，最高得4分。</w:t>
            </w:r>
          </w:p>
          <w:p>
            <w:pPr>
              <w:adjustRightInd w:val="0"/>
              <w:snapToGrid w:val="0"/>
              <w:spacing w:line="276" w:lineRule="auto"/>
              <w:rPr>
                <w:rFonts w:ascii="宋体" w:hAnsi="宋体" w:cs="宋体"/>
                <w:szCs w:val="21"/>
              </w:rPr>
            </w:pPr>
            <w:r>
              <w:rPr>
                <w:rFonts w:hint="eastAsia" w:ascii="宋体" w:hAnsi="宋体" w:cs="宋体"/>
                <w:szCs w:val="21"/>
              </w:rPr>
              <w:t>注：以上证书须由通过中国国家认证认可监督管理委员会备案通过的认证机构颁发，提供证书复印件及全国认证认可信息公共服务平台的网页查询截图，否则不得分。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2" w:type="dxa"/>
            <w:vMerge w:val="continue"/>
            <w:vAlign w:val="center"/>
          </w:tcPr>
          <w:p>
            <w:pPr>
              <w:adjustRightInd w:val="0"/>
              <w:snapToGrid w:val="0"/>
              <w:spacing w:line="288" w:lineRule="auto"/>
              <w:jc w:val="center"/>
              <w:rPr>
                <w:rFonts w:ascii="宋体" w:hAnsi="宋体"/>
                <w:b/>
                <w:bCs/>
                <w:szCs w:val="21"/>
              </w:rPr>
            </w:pPr>
          </w:p>
        </w:tc>
        <w:tc>
          <w:tcPr>
            <w:tcW w:w="620" w:type="dxa"/>
            <w:vAlign w:val="center"/>
          </w:tcPr>
          <w:p>
            <w:pPr>
              <w:adjustRightInd w:val="0"/>
              <w:snapToGrid w:val="0"/>
              <w:spacing w:line="288" w:lineRule="auto"/>
              <w:jc w:val="center"/>
              <w:rPr>
                <w:rFonts w:ascii="宋体" w:hAnsi="宋体"/>
                <w:b/>
                <w:bCs/>
                <w:szCs w:val="21"/>
              </w:rPr>
            </w:pPr>
            <w:r>
              <w:rPr>
                <w:rFonts w:hint="eastAsia" w:ascii="宋体" w:hAnsi="宋体"/>
                <w:b/>
                <w:bCs/>
                <w:szCs w:val="21"/>
              </w:rPr>
              <w:t>5</w:t>
            </w:r>
          </w:p>
        </w:tc>
        <w:tc>
          <w:tcPr>
            <w:tcW w:w="7461" w:type="dxa"/>
            <w:vAlign w:val="center"/>
          </w:tcPr>
          <w:p>
            <w:pPr>
              <w:adjustRightInd w:val="0"/>
              <w:snapToGrid w:val="0"/>
              <w:spacing w:line="288" w:lineRule="auto"/>
              <w:rPr>
                <w:rFonts w:ascii="宋体" w:hAnsi="宋体" w:cs="宋体"/>
                <w:szCs w:val="21"/>
              </w:rPr>
            </w:pPr>
            <w:r>
              <w:rPr>
                <w:rFonts w:hint="eastAsia" w:ascii="宋体" w:hAnsi="宋体" w:cs="宋体"/>
                <w:szCs w:val="21"/>
              </w:rPr>
              <w:t>【客观分】供应商自2021年1月1日以来（以合同签订时间为准）同类市政公用工程合同业绩（须出具以下业绩证明材料：①中标通知书或施工合同复印件；②竣工验收资料复印件）：每提供1份合同业绩得1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2" w:type="dxa"/>
            <w:vAlign w:val="center"/>
          </w:tcPr>
          <w:p>
            <w:pPr>
              <w:adjustRightInd w:val="0"/>
              <w:snapToGrid w:val="0"/>
              <w:spacing w:line="288" w:lineRule="auto"/>
              <w:jc w:val="center"/>
              <w:rPr>
                <w:rFonts w:ascii="宋体" w:hAnsi="宋体"/>
                <w:b/>
                <w:bCs/>
                <w:szCs w:val="21"/>
              </w:rPr>
            </w:pPr>
            <w:r>
              <w:rPr>
                <w:rFonts w:hint="eastAsia" w:ascii="宋体" w:hAnsi="宋体"/>
                <w:b/>
                <w:bCs/>
                <w:spacing w:val="-6"/>
                <w:szCs w:val="21"/>
              </w:rPr>
              <w:t>职称等级</w:t>
            </w:r>
          </w:p>
        </w:tc>
        <w:tc>
          <w:tcPr>
            <w:tcW w:w="620" w:type="dxa"/>
            <w:vAlign w:val="center"/>
          </w:tcPr>
          <w:p>
            <w:pPr>
              <w:adjustRightInd w:val="0"/>
              <w:snapToGrid w:val="0"/>
              <w:spacing w:line="288" w:lineRule="auto"/>
              <w:jc w:val="center"/>
              <w:rPr>
                <w:rFonts w:hint="eastAsia" w:ascii="宋体" w:hAnsi="宋体" w:eastAsia="宋体" w:cs="宋体"/>
                <w:b/>
                <w:bCs/>
                <w:szCs w:val="21"/>
                <w:lang w:eastAsia="zh-CN"/>
              </w:rPr>
            </w:pPr>
            <w:r>
              <w:rPr>
                <w:rFonts w:hint="eastAsia" w:ascii="宋体" w:hAnsi="宋体"/>
                <w:b/>
                <w:bCs/>
                <w:szCs w:val="21"/>
                <w:lang w:val="en-US" w:eastAsia="zh-CN"/>
              </w:rPr>
              <w:t>5</w:t>
            </w:r>
          </w:p>
        </w:tc>
        <w:tc>
          <w:tcPr>
            <w:tcW w:w="7461" w:type="dxa"/>
            <w:vAlign w:val="center"/>
          </w:tcPr>
          <w:p>
            <w:pPr>
              <w:adjustRightInd w:val="0"/>
              <w:snapToGrid w:val="0"/>
              <w:spacing w:line="288" w:lineRule="auto"/>
            </w:pPr>
            <w:r>
              <w:rPr>
                <w:rFonts w:hint="eastAsia" w:ascii="宋体" w:hAnsi="宋体" w:cs="宋体"/>
                <w:szCs w:val="21"/>
              </w:rPr>
              <w:t>项目负责人具有高级工程师及以上证书的得</w:t>
            </w:r>
            <w:r>
              <w:rPr>
                <w:rFonts w:hint="eastAsia" w:ascii="宋体" w:hAnsi="宋体" w:cs="宋体"/>
                <w:szCs w:val="21"/>
                <w:lang w:val="en-US" w:eastAsia="zh-CN"/>
              </w:rPr>
              <w:t>3</w:t>
            </w:r>
            <w:r>
              <w:rPr>
                <w:rFonts w:hint="eastAsia" w:ascii="宋体" w:hAnsi="宋体" w:cs="宋体"/>
                <w:szCs w:val="21"/>
              </w:rPr>
              <w:t>分；具有中级工程师证书的得1分，具有相关专业的注册证书的加2分。未提供相关材料的得0分。本项最高得4分。（提供职称证书复印件。）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93" w:type="dxa"/>
            <w:gridSpan w:val="3"/>
            <w:vAlign w:val="center"/>
          </w:tcPr>
          <w:p>
            <w:pPr>
              <w:pStyle w:val="2"/>
              <w:adjustRightInd w:val="0"/>
              <w:snapToGrid w:val="0"/>
              <w:spacing w:line="288" w:lineRule="auto"/>
              <w:ind w:firstLine="0"/>
              <w:jc w:val="left"/>
              <w:rPr>
                <w:rFonts w:hAnsi="宋体"/>
                <w:spacing w:val="-6"/>
                <w:sz w:val="21"/>
                <w:szCs w:val="21"/>
              </w:rPr>
            </w:pPr>
            <w:r>
              <w:rPr>
                <w:rFonts w:hint="eastAsia" w:hAnsi="宋体"/>
                <w:b/>
                <w:spacing w:val="-6"/>
                <w:sz w:val="21"/>
                <w:szCs w:val="21"/>
              </w:rPr>
              <w:t>技术</w:t>
            </w:r>
            <w:r>
              <w:rPr>
                <w:rFonts w:hAnsi="宋体"/>
                <w:b/>
                <w:spacing w:val="-6"/>
                <w:sz w:val="21"/>
                <w:szCs w:val="21"/>
              </w:rPr>
              <w:t>分</w:t>
            </w:r>
            <w:r>
              <w:rPr>
                <w:rFonts w:hint="eastAsia" w:hAnsi="宋体"/>
                <w:b/>
                <w:spacing w:val="-6"/>
                <w:sz w:val="21"/>
                <w:szCs w:val="21"/>
              </w:rPr>
              <w:t>（</w:t>
            </w:r>
            <w:r>
              <w:rPr>
                <w:rFonts w:hint="eastAsia" w:hAnsi="宋体"/>
                <w:b/>
                <w:spacing w:val="-6"/>
                <w:sz w:val="21"/>
                <w:szCs w:val="21"/>
                <w:lang w:val="en-US" w:eastAsia="zh-CN"/>
              </w:rPr>
              <w:t>56</w:t>
            </w:r>
            <w:r>
              <w:rPr>
                <w:rFonts w:hint="eastAsia" w:hAnsi="宋体"/>
                <w:b/>
                <w:spacing w:val="-6"/>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2" w:type="dxa"/>
            <w:vMerge w:val="restart"/>
            <w:vAlign w:val="center"/>
          </w:tcPr>
          <w:p>
            <w:pPr>
              <w:jc w:val="center"/>
              <w:rPr>
                <w:rFonts w:ascii="宋体" w:hAnsi="宋体" w:cs="宋体"/>
                <w:b/>
                <w:bCs/>
                <w:spacing w:val="-6"/>
                <w:szCs w:val="21"/>
              </w:rPr>
            </w:pPr>
            <w:r>
              <w:rPr>
                <w:rFonts w:hint="eastAsia" w:ascii="宋体" w:hAnsi="宋体" w:cs="宋体"/>
                <w:b/>
                <w:bCs/>
                <w:szCs w:val="21"/>
              </w:rPr>
              <w:t>项目实施</w:t>
            </w:r>
          </w:p>
        </w:tc>
        <w:tc>
          <w:tcPr>
            <w:tcW w:w="620" w:type="dxa"/>
            <w:vAlign w:val="center"/>
          </w:tcPr>
          <w:p>
            <w:pPr>
              <w:jc w:val="center"/>
              <w:rPr>
                <w:rFonts w:ascii="宋体" w:hAnsi="宋体" w:cs="宋体"/>
                <w:b/>
                <w:bCs/>
                <w:spacing w:val="-6"/>
                <w:szCs w:val="21"/>
              </w:rPr>
            </w:pPr>
            <w:r>
              <w:rPr>
                <w:rFonts w:hint="eastAsia" w:ascii="宋体" w:hAnsi="宋体" w:cs="宋体"/>
                <w:b/>
                <w:bCs/>
                <w:spacing w:val="-6"/>
                <w:szCs w:val="21"/>
              </w:rPr>
              <w:t>10</w:t>
            </w:r>
          </w:p>
        </w:tc>
        <w:tc>
          <w:tcPr>
            <w:tcW w:w="7461" w:type="dxa"/>
            <w:vAlign w:val="center"/>
          </w:tcPr>
          <w:p>
            <w:pPr>
              <w:adjustRightInd w:val="0"/>
              <w:snapToGrid w:val="0"/>
              <w:spacing w:line="288" w:lineRule="auto"/>
              <w:rPr>
                <w:rFonts w:ascii="宋体" w:hAnsi="宋体" w:cs="宋体"/>
                <w:szCs w:val="21"/>
              </w:rPr>
            </w:pPr>
            <w:r>
              <w:rPr>
                <w:rFonts w:hint="eastAsia" w:ascii="宋体" w:hAnsi="宋体" w:cs="宋体"/>
                <w:szCs w:val="21"/>
              </w:rPr>
              <w:t>【主观分】施工方案与供应商按时实地踏勘的现场情况相结合，其中的重难点分析（5分）及控制方案（5分）。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15</w:t>
            </w:r>
          </w:p>
        </w:tc>
        <w:tc>
          <w:tcPr>
            <w:tcW w:w="7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Cs w:val="21"/>
              </w:rPr>
            </w:pPr>
            <w:r>
              <w:rPr>
                <w:rFonts w:hint="eastAsia" w:ascii="宋体" w:hAnsi="宋体" w:cs="宋体"/>
                <w:szCs w:val="21"/>
              </w:rPr>
              <w:t>【主观分】结合施工现场情况，施工进度网络计划（5分）、关键节点（5分）和线路（5分）的保证措施。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5</w:t>
            </w:r>
          </w:p>
        </w:tc>
        <w:tc>
          <w:tcPr>
            <w:tcW w:w="7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Cs w:val="21"/>
              </w:rPr>
            </w:pPr>
            <w:r>
              <w:rPr>
                <w:rFonts w:hint="eastAsia" w:ascii="宋体" w:hAnsi="宋体" w:cs="宋体"/>
                <w:szCs w:val="21"/>
              </w:rPr>
              <w:t>【主观分】派驻现场的工程技术管理人员配置情况。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5</w:t>
            </w:r>
          </w:p>
        </w:tc>
        <w:tc>
          <w:tcPr>
            <w:tcW w:w="7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Cs w:val="21"/>
              </w:rPr>
            </w:pPr>
            <w:r>
              <w:rPr>
                <w:rFonts w:hint="eastAsia" w:ascii="宋体" w:hAnsi="宋体" w:cs="宋体"/>
                <w:szCs w:val="21"/>
              </w:rPr>
              <w:t>【主观分】突发事件的应急措施及处理方案。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保障措施</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5</w:t>
            </w:r>
          </w:p>
        </w:tc>
        <w:tc>
          <w:tcPr>
            <w:tcW w:w="7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Cs w:val="21"/>
              </w:rPr>
            </w:pPr>
            <w:r>
              <w:rPr>
                <w:rFonts w:hint="eastAsia" w:ascii="宋体" w:hAnsi="宋体" w:cs="宋体"/>
                <w:szCs w:val="21"/>
              </w:rPr>
              <w:t>【主观分】施工各阶段进度及质量保证措施。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2" w:type="dxa"/>
            <w:vMerge w:val="continue"/>
            <w:tcBorders>
              <w:left w:val="single" w:color="auto" w:sz="4" w:space="0"/>
              <w:right w:val="single" w:color="auto" w:sz="4" w:space="0"/>
            </w:tcBorders>
            <w:vAlign w:val="center"/>
          </w:tcPr>
          <w:p>
            <w:pPr>
              <w:jc w:val="center"/>
              <w:rPr>
                <w:rFonts w:ascii="宋体" w:hAnsi="宋体" w:cs="宋体"/>
                <w:b/>
                <w:bCs/>
                <w:szCs w:val="21"/>
              </w:rPr>
            </w:pP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Cs w:val="21"/>
                <w:lang w:eastAsia="zh-CN"/>
              </w:rPr>
            </w:pPr>
            <w:r>
              <w:rPr>
                <w:rFonts w:hint="eastAsia" w:ascii="宋体" w:hAnsi="宋体" w:cs="宋体"/>
                <w:b/>
                <w:bCs/>
                <w:szCs w:val="21"/>
                <w:lang w:val="en-US" w:eastAsia="zh-CN"/>
              </w:rPr>
              <w:t>6</w:t>
            </w:r>
          </w:p>
        </w:tc>
        <w:tc>
          <w:tcPr>
            <w:tcW w:w="7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Cs w:val="21"/>
              </w:rPr>
            </w:pPr>
            <w:r>
              <w:rPr>
                <w:rFonts w:hint="eastAsia" w:ascii="宋体" w:hAnsi="宋体" w:cs="宋体"/>
                <w:szCs w:val="21"/>
              </w:rPr>
              <w:t>【主观分】原材料、半成品、外购件的质量保证措施保障（</w:t>
            </w:r>
            <w:r>
              <w:rPr>
                <w:rFonts w:hint="eastAsia" w:ascii="宋体" w:hAnsi="宋体" w:cs="宋体"/>
                <w:szCs w:val="21"/>
                <w:lang w:val="en-US" w:eastAsia="zh-CN"/>
              </w:rPr>
              <w:t>3</w:t>
            </w:r>
            <w:r>
              <w:rPr>
                <w:rFonts w:hint="eastAsia" w:ascii="宋体" w:hAnsi="宋体" w:cs="宋体"/>
                <w:szCs w:val="21"/>
              </w:rPr>
              <w:t>分）、</w:t>
            </w:r>
            <w:r>
              <w:rPr>
                <w:rFonts w:hint="eastAsia" w:ascii="宋体" w:hAnsi="宋体" w:cs="宋体"/>
                <w:szCs w:val="21"/>
                <w:shd w:val="clear" w:fill="FFFF00"/>
                <w:lang w:eastAsia="zh-CN"/>
              </w:rPr>
              <w:t>迁移保活率</w:t>
            </w:r>
            <w:r>
              <w:rPr>
                <w:rFonts w:hint="eastAsia" w:ascii="宋体" w:hAnsi="宋体" w:cs="宋体"/>
                <w:szCs w:val="21"/>
                <w:shd w:val="clear" w:fill="FFFF00"/>
              </w:rPr>
              <w:t>（</w:t>
            </w:r>
            <w:r>
              <w:rPr>
                <w:rFonts w:hint="eastAsia" w:ascii="宋体" w:hAnsi="宋体" w:cs="宋体"/>
                <w:szCs w:val="21"/>
                <w:shd w:val="clear" w:fill="FFFF00"/>
                <w:lang w:val="en-US" w:eastAsia="zh-CN"/>
              </w:rPr>
              <w:t>3</w:t>
            </w:r>
            <w:r>
              <w:rPr>
                <w:rFonts w:hint="eastAsia" w:ascii="宋体" w:hAnsi="宋体" w:cs="宋体"/>
                <w:szCs w:val="21"/>
                <w:shd w:val="clear" w:fill="FFFF00"/>
              </w:rPr>
              <w:t>分）</w:t>
            </w:r>
            <w:bookmarkStart w:id="5" w:name="_GoBack"/>
            <w:bookmarkEnd w:id="5"/>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2" w:type="dxa"/>
            <w:vMerge w:val="continue"/>
            <w:tcBorders>
              <w:left w:val="single" w:color="auto" w:sz="4" w:space="0"/>
              <w:right w:val="single" w:color="auto" w:sz="4" w:space="0"/>
            </w:tcBorders>
            <w:vAlign w:val="center"/>
          </w:tcPr>
          <w:p>
            <w:pPr>
              <w:jc w:val="center"/>
              <w:rPr>
                <w:rFonts w:ascii="宋体" w:hAnsi="宋体" w:cs="宋体"/>
                <w:b/>
                <w:bCs/>
                <w:szCs w:val="21"/>
              </w:rPr>
            </w:pP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5</w:t>
            </w:r>
          </w:p>
        </w:tc>
        <w:tc>
          <w:tcPr>
            <w:tcW w:w="7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szCs w:val="21"/>
              </w:rPr>
            </w:pPr>
            <w:r>
              <w:rPr>
                <w:rFonts w:hint="eastAsia" w:ascii="宋体" w:hAnsi="宋体" w:cs="宋体"/>
                <w:szCs w:val="21"/>
              </w:rPr>
              <w:t>【主观分】安全文明施工及市政、市容、环保、消防等措施。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2" w:type="dxa"/>
            <w:tcBorders>
              <w:left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维护保养方案</w:t>
            </w: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szCs w:val="21"/>
              </w:rPr>
            </w:pPr>
            <w:r>
              <w:rPr>
                <w:rFonts w:hint="eastAsia" w:ascii="宋体" w:hAnsi="宋体" w:cs="宋体"/>
                <w:b/>
                <w:bCs/>
                <w:szCs w:val="21"/>
              </w:rPr>
              <w:t>5</w:t>
            </w:r>
          </w:p>
        </w:tc>
        <w:tc>
          <w:tcPr>
            <w:tcW w:w="74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cs="宋体"/>
                <w:szCs w:val="21"/>
              </w:rPr>
            </w:pPr>
            <w:r>
              <w:rPr>
                <w:rFonts w:hint="eastAsia" w:ascii="宋体" w:hAnsi="宋体" w:cs="宋体"/>
                <w:szCs w:val="21"/>
              </w:rPr>
              <w:t>【主观分】供应商针对采购人绿化维护保养方案优劣情况进行评审。</w:t>
            </w:r>
          </w:p>
        </w:tc>
      </w:tr>
    </w:tbl>
    <w:p>
      <w:pPr>
        <w:pStyle w:val="7"/>
        <w:snapToGrid w:val="0"/>
        <w:spacing w:line="360" w:lineRule="auto"/>
        <w:ind w:firstLine="720" w:firstLineChars="200"/>
        <w:jc w:val="center"/>
        <w:outlineLvl w:val="0"/>
        <w:rPr>
          <w:rFonts w:ascii="黑体" w:hAnsi="宋体" w:eastAsia="黑体"/>
          <w:sz w:val="36"/>
          <w:szCs w:val="36"/>
        </w:rPr>
        <w:sectPr>
          <w:pgSz w:w="11906" w:h="16838"/>
          <w:pgMar w:top="1134" w:right="1797" w:bottom="851" w:left="1797" w:header="851" w:footer="992" w:gutter="0"/>
          <w:cols w:space="425" w:num="1"/>
          <w:docGrid w:type="lines" w:linePitch="312" w:charSpace="0"/>
        </w:sectPr>
      </w:pPr>
    </w:p>
    <w:p>
      <w:pPr>
        <w:pStyle w:val="7"/>
        <w:snapToGrid w:val="0"/>
        <w:spacing w:line="360" w:lineRule="auto"/>
        <w:ind w:firstLine="720" w:firstLineChars="200"/>
        <w:jc w:val="center"/>
        <w:outlineLvl w:val="0"/>
        <w:rPr>
          <w:rFonts w:ascii="黑体" w:hAnsi="宋体" w:eastAsia="黑体"/>
          <w:bCs/>
          <w:sz w:val="36"/>
          <w:szCs w:val="36"/>
        </w:rPr>
      </w:pPr>
      <w:r>
        <w:rPr>
          <w:rFonts w:hint="eastAsia" w:ascii="黑体" w:hAnsi="宋体" w:eastAsia="黑体"/>
          <w:sz w:val="36"/>
          <w:szCs w:val="36"/>
        </w:rPr>
        <w:t xml:space="preserve">第四部分  </w:t>
      </w:r>
      <w:r>
        <w:rPr>
          <w:rFonts w:hint="eastAsia" w:ascii="黑体" w:hAnsi="宋体" w:eastAsia="黑体"/>
          <w:bCs/>
          <w:sz w:val="36"/>
          <w:szCs w:val="36"/>
        </w:rPr>
        <w:t>合同主要条款</w:t>
      </w:r>
      <w:bookmarkEnd w:id="2"/>
    </w:p>
    <w:p>
      <w:pPr>
        <w:spacing w:line="360" w:lineRule="auto"/>
        <w:jc w:val="center"/>
        <w:outlineLvl w:val="0"/>
        <w:rPr>
          <w:rFonts w:ascii="宋体" w:hAnsi="宋体"/>
          <w:kern w:val="0"/>
          <w:sz w:val="24"/>
          <w:szCs w:val="24"/>
        </w:rPr>
      </w:pPr>
    </w:p>
    <w:p>
      <w:pPr>
        <w:jc w:val="center"/>
        <w:rPr>
          <w:rFonts w:ascii="宋体" w:hAnsi="宋体"/>
          <w:b/>
          <w:sz w:val="28"/>
          <w:szCs w:val="28"/>
          <w:u w:val="single"/>
        </w:rPr>
      </w:pPr>
      <w:r>
        <w:rPr>
          <w:rFonts w:hint="eastAsia" w:ascii="黑体" w:eastAsia="黑体"/>
          <w:b/>
          <w:sz w:val="72"/>
          <w:szCs w:val="72"/>
        </w:rPr>
        <w:t>施工合同</w:t>
      </w:r>
    </w:p>
    <w:p>
      <w:pPr>
        <w:snapToGrid w:val="0"/>
        <w:rPr>
          <w:rFonts w:ascii="宋体" w:hAnsi="宋体"/>
          <w:b/>
          <w:sz w:val="28"/>
          <w:szCs w:val="28"/>
        </w:rPr>
      </w:pPr>
    </w:p>
    <w:p>
      <w:pPr>
        <w:snapToGrid w:val="0"/>
        <w:ind w:firstLine="1405" w:firstLineChars="500"/>
        <w:rPr>
          <w:rFonts w:ascii="宋体" w:hAnsi="宋体"/>
          <w:b/>
          <w:sz w:val="28"/>
          <w:szCs w:val="28"/>
        </w:rPr>
      </w:pPr>
    </w:p>
    <w:p>
      <w:pPr>
        <w:rPr>
          <w:rFonts w:ascii="黑体" w:eastAsia="黑体"/>
          <w:sz w:val="44"/>
          <w:szCs w:val="44"/>
        </w:rPr>
      </w:pPr>
      <w:bookmarkStart w:id="3" w:name="EBcbc26f89de974525b16658cbf31c1521"/>
      <w:bookmarkEnd w:id="3"/>
    </w:p>
    <w:p>
      <w:pPr>
        <w:kinsoku w:val="0"/>
        <w:overflowPunct w:val="0"/>
        <w:snapToGrid w:val="0"/>
        <w:spacing w:line="480" w:lineRule="auto"/>
        <w:ind w:left="1134" w:leftChars="540"/>
        <w:rPr>
          <w:rFonts w:ascii="黑体" w:hAnsi="黑体" w:eastAsia="黑体"/>
          <w:spacing w:val="6"/>
          <w:sz w:val="32"/>
          <w:szCs w:val="32"/>
          <w:u w:val="single"/>
        </w:rPr>
      </w:pPr>
    </w:p>
    <w:p>
      <w:pPr>
        <w:kinsoku w:val="0"/>
        <w:overflowPunct w:val="0"/>
        <w:snapToGrid w:val="0"/>
        <w:spacing w:line="480" w:lineRule="auto"/>
        <w:ind w:left="958" w:leftChars="456" w:firstLine="99" w:firstLineChars="30"/>
        <w:rPr>
          <w:rFonts w:ascii="黑体" w:hAnsi="黑体" w:eastAsia="黑体"/>
          <w:spacing w:val="6"/>
          <w:sz w:val="32"/>
          <w:szCs w:val="32"/>
          <w:u w:val="single"/>
        </w:rPr>
      </w:pPr>
      <w:r>
        <w:rPr>
          <w:rFonts w:hint="eastAsia" w:ascii="黑体" w:hAnsi="黑体" w:eastAsia="黑体"/>
          <w:spacing w:val="6"/>
          <w:sz w:val="32"/>
          <w:szCs w:val="32"/>
        </w:rPr>
        <w:t>工程名称：</w:t>
      </w:r>
      <w:r>
        <w:rPr>
          <w:rFonts w:hint="eastAsia" w:ascii="黑体" w:hAnsi="黑体" w:eastAsia="黑体"/>
          <w:spacing w:val="6"/>
          <w:sz w:val="32"/>
          <w:szCs w:val="32"/>
          <w:u w:val="single"/>
        </w:rPr>
        <w:t xml:space="preserve"> 钱江院区绿化改造工程      </w:t>
      </w:r>
    </w:p>
    <w:p>
      <w:pPr>
        <w:kinsoku w:val="0"/>
        <w:overflowPunct w:val="0"/>
        <w:snapToGrid w:val="0"/>
        <w:spacing w:line="480" w:lineRule="auto"/>
        <w:ind w:left="3329" w:leftChars="540" w:right="1015" w:hanging="2195" w:hangingChars="686"/>
        <w:rPr>
          <w:rFonts w:ascii="黑体" w:hAnsi="黑体" w:eastAsia="黑体"/>
          <w:spacing w:val="7"/>
          <w:w w:val="101"/>
          <w:sz w:val="32"/>
          <w:szCs w:val="32"/>
          <w:u w:val="single"/>
        </w:rPr>
      </w:pPr>
      <w:r>
        <w:rPr>
          <w:rFonts w:hint="eastAsia" w:ascii="黑体" w:hAnsi="黑体" w:eastAsia="黑体" w:cs="宋体"/>
          <w:sz w:val="32"/>
          <w:szCs w:val="32"/>
        </w:rPr>
        <w:t>合同编号：</w:t>
      </w:r>
      <w:r>
        <w:rPr>
          <w:rFonts w:hint="eastAsia" w:ascii="黑体" w:hAnsi="黑体" w:eastAsia="黑体"/>
          <w:spacing w:val="6"/>
          <w:sz w:val="32"/>
          <w:szCs w:val="32"/>
          <w:u w:val="single"/>
        </w:rPr>
        <w:t xml:space="preserve"> </w:t>
      </w:r>
      <w:r>
        <w:rPr>
          <w:rFonts w:hint="eastAsia" w:ascii="黑体" w:hAnsi="黑体" w:eastAsia="黑体" w:cs="宋体"/>
          <w:sz w:val="32"/>
          <w:szCs w:val="32"/>
          <w:u w:val="single"/>
        </w:rPr>
        <w:t xml:space="preserve">                               </w:t>
      </w:r>
      <w:r>
        <w:rPr>
          <w:rFonts w:hint="eastAsia" w:ascii="黑体" w:hAnsi="黑体" w:eastAsia="黑体"/>
          <w:spacing w:val="6"/>
          <w:sz w:val="32"/>
          <w:szCs w:val="32"/>
          <w:u w:val="single"/>
        </w:rPr>
        <w:t xml:space="preserve"> </w:t>
      </w:r>
    </w:p>
    <w:p>
      <w:pPr>
        <w:kinsoku w:val="0"/>
        <w:overflowPunct w:val="0"/>
        <w:snapToGrid w:val="0"/>
        <w:spacing w:line="480" w:lineRule="auto"/>
        <w:ind w:left="3329" w:leftChars="540" w:right="1015" w:hanging="2195" w:hangingChars="686"/>
        <w:rPr>
          <w:rFonts w:ascii="黑体" w:hAnsi="黑体" w:eastAsia="黑体"/>
          <w:spacing w:val="7"/>
          <w:w w:val="101"/>
          <w:sz w:val="32"/>
          <w:szCs w:val="32"/>
        </w:rPr>
      </w:pPr>
      <w:r>
        <w:rPr>
          <w:rFonts w:hint="eastAsia" w:ascii="黑体" w:hAnsi="黑体" w:eastAsia="黑体" w:cs="宋体"/>
          <w:sz w:val="32"/>
          <w:szCs w:val="32"/>
        </w:rPr>
        <w:t>发包人</w:t>
      </w:r>
      <w:r>
        <w:rPr>
          <w:rFonts w:hint="eastAsia" w:ascii="黑体" w:hAnsi="黑体" w:eastAsia="黑体" w:cs="宋体"/>
          <w:spacing w:val="-1"/>
          <w:sz w:val="32"/>
          <w:szCs w:val="32"/>
        </w:rPr>
        <w:t>：</w:t>
      </w:r>
      <w:r>
        <w:rPr>
          <w:rFonts w:hint="eastAsia" w:ascii="黑体" w:hAnsi="黑体" w:eastAsia="黑体"/>
          <w:spacing w:val="6"/>
          <w:sz w:val="32"/>
          <w:szCs w:val="32"/>
          <w:u w:val="single"/>
        </w:rPr>
        <w:t xml:space="preserve"> 浙江大学医学院附属妇产科医院   </w:t>
      </w:r>
    </w:p>
    <w:p>
      <w:pPr>
        <w:kinsoku w:val="0"/>
        <w:overflowPunct w:val="0"/>
        <w:snapToGrid w:val="0"/>
        <w:spacing w:line="480" w:lineRule="auto"/>
        <w:ind w:left="3329" w:leftChars="540" w:right="1015" w:hanging="2195" w:hangingChars="686"/>
        <w:rPr>
          <w:rFonts w:ascii="黑体" w:hAnsi="黑体" w:eastAsia="黑体"/>
          <w:spacing w:val="7"/>
          <w:w w:val="101"/>
          <w:sz w:val="32"/>
          <w:szCs w:val="32"/>
        </w:rPr>
      </w:pPr>
      <w:r>
        <w:rPr>
          <w:rFonts w:hint="eastAsia" w:ascii="黑体" w:hAnsi="黑体" w:eastAsia="黑体" w:cs="宋体"/>
          <w:sz w:val="32"/>
          <w:szCs w:val="32"/>
        </w:rPr>
        <w:t>承包人</w:t>
      </w:r>
      <w:r>
        <w:rPr>
          <w:rFonts w:hint="eastAsia" w:ascii="黑体" w:hAnsi="黑体" w:eastAsia="黑体" w:cs="宋体"/>
          <w:spacing w:val="-1"/>
          <w:sz w:val="32"/>
          <w:szCs w:val="32"/>
        </w:rPr>
        <w:t>：</w:t>
      </w:r>
      <w:r>
        <w:rPr>
          <w:rFonts w:hint="eastAsia" w:ascii="黑体" w:hAnsi="黑体" w:eastAsia="黑体"/>
          <w:kern w:val="0"/>
          <w:sz w:val="32"/>
          <w:szCs w:val="32"/>
          <w:u w:val="single"/>
        </w:rPr>
        <w:t xml:space="preserve">                               </w:t>
      </w:r>
    </w:p>
    <w:p>
      <w:pPr>
        <w:kinsoku w:val="0"/>
        <w:overflowPunct w:val="0"/>
        <w:spacing w:line="480" w:lineRule="auto"/>
        <w:ind w:right="1015" w:firstLine="1120" w:firstLineChars="350"/>
        <w:rPr>
          <w:rFonts w:ascii="黑体" w:hAnsi="黑体" w:eastAsia="黑体"/>
          <w:kern w:val="0"/>
          <w:sz w:val="32"/>
          <w:szCs w:val="32"/>
          <w:u w:val="single"/>
        </w:rPr>
      </w:pPr>
      <w:r>
        <w:rPr>
          <w:rFonts w:hint="eastAsia" w:ascii="黑体" w:hAnsi="黑体" w:eastAsia="黑体" w:cs="宋体"/>
          <w:sz w:val="32"/>
          <w:szCs w:val="32"/>
        </w:rPr>
        <w:t>签订日期：</w:t>
      </w:r>
      <w:r>
        <w:rPr>
          <w:rFonts w:hint="eastAsia" w:ascii="宋体" w:hAnsi="宋体" w:cs="宋体"/>
          <w:sz w:val="30"/>
          <w:szCs w:val="30"/>
          <w:u w:val="single"/>
        </w:rPr>
        <w:t xml:space="preserve">     </w:t>
      </w:r>
      <w:r>
        <w:rPr>
          <w:rFonts w:ascii="黑体" w:hAnsi="黑体" w:eastAsia="黑体"/>
          <w:spacing w:val="6"/>
          <w:sz w:val="32"/>
          <w:szCs w:val="32"/>
          <w:u w:val="single"/>
        </w:rPr>
        <w:t>202</w:t>
      </w:r>
      <w:r>
        <w:rPr>
          <w:rFonts w:hint="eastAsia" w:ascii="黑体" w:hAnsi="黑体" w:eastAsia="黑体"/>
          <w:spacing w:val="6"/>
          <w:sz w:val="32"/>
          <w:szCs w:val="32"/>
          <w:u w:val="single"/>
        </w:rPr>
        <w:t xml:space="preserve">3年12月     </w:t>
      </w:r>
      <w:r>
        <w:rPr>
          <w:rFonts w:hint="eastAsia" w:ascii="宋体" w:hAnsi="宋体" w:cs="宋体"/>
          <w:sz w:val="30"/>
          <w:szCs w:val="30"/>
          <w:u w:val="single"/>
        </w:rPr>
        <w:t xml:space="preserve">        </w:t>
      </w:r>
    </w:p>
    <w:p>
      <w:pPr>
        <w:kinsoku w:val="0"/>
        <w:overflowPunct w:val="0"/>
        <w:spacing w:line="480" w:lineRule="auto"/>
        <w:ind w:right="1015" w:firstLine="1070" w:firstLineChars="333"/>
        <w:rPr>
          <w:rFonts w:ascii="黑体" w:hAnsi="黑体" w:eastAsia="黑体"/>
          <w:b/>
          <w:kern w:val="0"/>
          <w:sz w:val="32"/>
          <w:szCs w:val="32"/>
          <w:u w:val="single"/>
        </w:rPr>
      </w:pPr>
    </w:p>
    <w:p>
      <w:pPr>
        <w:kinsoku w:val="0"/>
        <w:overflowPunct w:val="0"/>
        <w:spacing w:line="480" w:lineRule="auto"/>
        <w:ind w:right="1015" w:firstLine="1070" w:firstLineChars="333"/>
        <w:rPr>
          <w:rFonts w:ascii="黑体" w:hAnsi="黑体" w:eastAsia="黑体"/>
          <w:b/>
          <w:kern w:val="0"/>
          <w:sz w:val="32"/>
          <w:szCs w:val="32"/>
          <w:u w:val="single"/>
        </w:rPr>
      </w:pPr>
    </w:p>
    <w:p>
      <w:pPr>
        <w:kinsoku w:val="0"/>
        <w:overflowPunct w:val="0"/>
        <w:spacing w:line="480" w:lineRule="auto"/>
        <w:ind w:right="1015" w:firstLine="1070" w:firstLineChars="333"/>
        <w:rPr>
          <w:rFonts w:ascii="黑体" w:hAnsi="黑体" w:eastAsia="黑体"/>
          <w:b/>
          <w:kern w:val="0"/>
          <w:sz w:val="32"/>
          <w:szCs w:val="32"/>
          <w:u w:val="single"/>
        </w:rPr>
      </w:pPr>
    </w:p>
    <w:p>
      <w:pPr>
        <w:kinsoku w:val="0"/>
        <w:overflowPunct w:val="0"/>
        <w:spacing w:line="480" w:lineRule="auto"/>
        <w:ind w:right="1015" w:firstLine="1817" w:firstLineChars="606"/>
        <w:rPr>
          <w:rFonts w:ascii="宋体" w:hAnsi="宋体" w:cs="宋体"/>
          <w:sz w:val="30"/>
          <w:szCs w:val="30"/>
        </w:rPr>
      </w:pPr>
    </w:p>
    <w:p>
      <w:pPr>
        <w:kinsoku w:val="0"/>
        <w:overflowPunct w:val="0"/>
        <w:spacing w:line="480" w:lineRule="auto"/>
        <w:ind w:right="1015" w:firstLine="1817" w:firstLineChars="606"/>
        <w:rPr>
          <w:rFonts w:ascii="宋体" w:hAnsi="宋体" w:cs="宋体"/>
          <w:sz w:val="30"/>
          <w:szCs w:val="30"/>
        </w:rPr>
      </w:pPr>
    </w:p>
    <w:p>
      <w:pPr>
        <w:spacing w:afterLines="50" w:line="360" w:lineRule="auto"/>
        <w:jc w:val="center"/>
        <w:rPr>
          <w:rFonts w:ascii="宋体" w:hAnsi="宋体"/>
          <w:b/>
          <w:bCs/>
          <w:sz w:val="44"/>
          <w:szCs w:val="44"/>
        </w:rPr>
        <w:sectPr>
          <w:pgSz w:w="11906" w:h="16838"/>
          <w:pgMar w:top="1440" w:right="1800" w:bottom="1440" w:left="1800" w:header="851" w:footer="992" w:gutter="0"/>
          <w:cols w:space="425" w:num="1"/>
          <w:docGrid w:type="lines" w:linePitch="312" w:charSpace="0"/>
        </w:sectPr>
      </w:pPr>
    </w:p>
    <w:p>
      <w:pPr>
        <w:spacing w:afterLines="50" w:line="360" w:lineRule="auto"/>
        <w:jc w:val="center"/>
        <w:rPr>
          <w:rFonts w:ascii="宋体" w:hAnsi="宋体"/>
          <w:b/>
          <w:bCs/>
          <w:sz w:val="44"/>
          <w:szCs w:val="44"/>
        </w:rPr>
      </w:pPr>
      <w:r>
        <w:rPr>
          <w:rFonts w:hint="eastAsia" w:ascii="宋体" w:hAnsi="宋体"/>
          <w:b/>
          <w:bCs/>
          <w:sz w:val="44"/>
          <w:szCs w:val="44"/>
        </w:rPr>
        <w:t>施工合同</w:t>
      </w:r>
    </w:p>
    <w:p>
      <w:pPr>
        <w:snapToGrid w:val="0"/>
        <w:spacing w:beforeLines="50" w:line="360" w:lineRule="auto"/>
        <w:rPr>
          <w:rFonts w:ascii="宋体" w:hAnsi="宋体"/>
          <w:sz w:val="24"/>
          <w:szCs w:val="28"/>
        </w:rPr>
      </w:pPr>
      <w:r>
        <w:rPr>
          <w:rFonts w:hint="eastAsia" w:ascii="宋体" w:hAnsi="宋体"/>
          <w:sz w:val="24"/>
          <w:szCs w:val="28"/>
        </w:rPr>
        <w:t>发包方：</w:t>
      </w:r>
      <w:r>
        <w:rPr>
          <w:rFonts w:hint="eastAsia" w:ascii="宋体" w:hAnsi="宋体"/>
          <w:sz w:val="24"/>
          <w:szCs w:val="28"/>
          <w:u w:val="single"/>
        </w:rPr>
        <w:t xml:space="preserve">                             </w:t>
      </w:r>
      <w:r>
        <w:rPr>
          <w:rFonts w:hint="eastAsia" w:ascii="宋体" w:hAnsi="宋体"/>
          <w:sz w:val="24"/>
          <w:szCs w:val="28"/>
        </w:rPr>
        <w:t>（以下简称甲方）</w:t>
      </w:r>
    </w:p>
    <w:p>
      <w:pPr>
        <w:snapToGrid w:val="0"/>
        <w:spacing w:afterLines="50" w:line="360" w:lineRule="auto"/>
        <w:rPr>
          <w:rFonts w:ascii="宋体" w:hAnsi="宋体"/>
          <w:sz w:val="24"/>
          <w:szCs w:val="28"/>
        </w:rPr>
      </w:pPr>
      <w:r>
        <w:rPr>
          <w:rFonts w:hint="eastAsia" w:ascii="宋体" w:hAnsi="宋体"/>
          <w:sz w:val="24"/>
          <w:szCs w:val="28"/>
        </w:rPr>
        <w:t>承包方：</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（以下简称乙方）</w:t>
      </w:r>
    </w:p>
    <w:p>
      <w:pPr>
        <w:snapToGrid w:val="0"/>
        <w:spacing w:line="360" w:lineRule="auto"/>
        <w:ind w:firstLine="555"/>
        <w:jc w:val="left"/>
        <w:rPr>
          <w:rFonts w:ascii="宋体" w:hAnsi="宋体" w:cs="宋体"/>
          <w:sz w:val="24"/>
        </w:rPr>
      </w:pPr>
      <w:r>
        <w:rPr>
          <w:rFonts w:hint="eastAsia" w:ascii="宋体" w:hAnsi="宋体" w:cs="宋体"/>
          <w:sz w:val="24"/>
        </w:rPr>
        <w:t>根据《中华人民共和国民法典》及有关法律规定，遵循平等、自愿、公平和诚实信用的原则，双方就</w:t>
      </w:r>
      <w:r>
        <w:rPr>
          <w:rFonts w:hint="eastAsia" w:ascii="宋体" w:hAnsi="宋体"/>
          <w:sz w:val="24"/>
          <w:szCs w:val="28"/>
          <w:u w:val="single"/>
        </w:rPr>
        <w:t xml:space="preserve">  钱江院区绿化改造   </w:t>
      </w:r>
      <w:r>
        <w:rPr>
          <w:rFonts w:hint="eastAsia" w:ascii="宋体" w:hAnsi="宋体" w:cs="宋体"/>
          <w:sz w:val="24"/>
        </w:rPr>
        <w:t>施工及有关事项，共同达成如下协议内容。</w:t>
      </w:r>
    </w:p>
    <w:p>
      <w:pPr>
        <w:snapToGrid w:val="0"/>
        <w:spacing w:line="360" w:lineRule="auto"/>
        <w:ind w:firstLine="482" w:firstLineChars="200"/>
        <w:rPr>
          <w:rFonts w:ascii="宋体" w:hAnsi="宋体" w:cs="宋体"/>
          <w:b/>
          <w:sz w:val="24"/>
        </w:rPr>
      </w:pPr>
      <w:r>
        <w:rPr>
          <w:rFonts w:hint="eastAsia" w:ascii="宋体" w:hAnsi="宋体" w:cs="宋体"/>
          <w:b/>
          <w:sz w:val="24"/>
        </w:rPr>
        <w:t>一、工程内容及合同总价</w:t>
      </w:r>
    </w:p>
    <w:p>
      <w:pPr>
        <w:snapToGrid w:val="0"/>
        <w:spacing w:line="360" w:lineRule="auto"/>
        <w:ind w:firstLine="480" w:firstLineChars="200"/>
        <w:rPr>
          <w:rFonts w:ascii="宋体" w:hAnsi="宋体" w:cs="宋体"/>
          <w:sz w:val="24"/>
        </w:rPr>
      </w:pPr>
      <w:r>
        <w:rPr>
          <w:rFonts w:hint="eastAsia" w:ascii="宋体" w:hAnsi="宋体" w:cs="宋体"/>
          <w:sz w:val="24"/>
        </w:rPr>
        <w:t>1.工程承包范围及内容：</w:t>
      </w:r>
      <w:r>
        <w:rPr>
          <w:rFonts w:ascii="Arial" w:hAnsi="宋体" w:cs="Arial"/>
          <w:sz w:val="24"/>
          <w:u w:val="single"/>
        </w:rPr>
        <w:t>详见</w:t>
      </w:r>
      <w:r>
        <w:rPr>
          <w:rFonts w:hint="eastAsia" w:ascii="Arial" w:hAnsi="宋体" w:cs="Arial"/>
          <w:sz w:val="24"/>
          <w:highlight w:val="none"/>
          <w:u w:val="single"/>
        </w:rPr>
        <w:t>施工图</w:t>
      </w:r>
      <w:r>
        <w:rPr>
          <w:rFonts w:hint="eastAsia" w:ascii="Arial" w:hAnsi="宋体" w:cs="Arial"/>
          <w:sz w:val="24"/>
          <w:u w:val="single"/>
        </w:rPr>
        <w:t>和附件1（工程量清单）</w:t>
      </w:r>
      <w:r>
        <w:rPr>
          <w:rFonts w:hint="eastAsia" w:ascii="宋体" w:hAnsi="宋体" w:cs="宋体"/>
          <w:sz w:val="24"/>
          <w:u w:val="single"/>
        </w:rPr>
        <w:t>。</w:t>
      </w:r>
      <w:r>
        <w:rPr>
          <w:rFonts w:hint="eastAsia" w:ascii="宋体" w:hAnsi="宋体"/>
          <w:sz w:val="24"/>
          <w:u w:val="single"/>
        </w:rPr>
        <w:t>苗木种植包括苗木采购、运输，种植前的种植环境准备，种植时的用工用料和机械使用，种植后绿化地周围的清理、养护、施肥、除虫、修剪、栽植树木支撑、管理费、利润和乙方认为可能发生的风险费用等。</w:t>
      </w:r>
    </w:p>
    <w:p>
      <w:pPr>
        <w:snapToGrid w:val="0"/>
        <w:spacing w:line="360" w:lineRule="auto"/>
        <w:ind w:firstLine="480" w:firstLineChars="200"/>
        <w:rPr>
          <w:rFonts w:ascii="宋体" w:hAnsi="宋体" w:cs="宋体"/>
          <w:sz w:val="24"/>
        </w:rPr>
      </w:pPr>
      <w:r>
        <w:rPr>
          <w:rFonts w:hint="eastAsia" w:ascii="宋体" w:hAnsi="宋体" w:cs="宋体"/>
          <w:sz w:val="24"/>
        </w:rPr>
        <w:t>2. 固定总价包干。合同价：</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w:t>
      </w:r>
    </w:p>
    <w:p>
      <w:pPr>
        <w:tabs>
          <w:tab w:val="left" w:pos="6490"/>
        </w:tabs>
        <w:snapToGrid w:val="0"/>
        <w:spacing w:line="360" w:lineRule="auto"/>
        <w:ind w:firstLine="482" w:firstLineChars="200"/>
        <w:rPr>
          <w:rFonts w:ascii="宋体" w:hAnsi="宋体" w:cs="宋体"/>
          <w:sz w:val="24"/>
        </w:rPr>
      </w:pPr>
      <w:r>
        <w:rPr>
          <w:rFonts w:hint="eastAsia" w:ascii="宋体" w:hAnsi="宋体" w:cs="宋体"/>
          <w:b/>
          <w:sz w:val="24"/>
        </w:rPr>
        <w:t>二、合同工期：</w:t>
      </w:r>
      <w:r>
        <w:rPr>
          <w:rFonts w:hint="eastAsia" w:ascii="宋体" w:hAnsi="宋体" w:cs="宋体"/>
          <w:sz w:val="24"/>
          <w:u w:val="single"/>
        </w:rPr>
        <w:t>30</w:t>
      </w:r>
      <w:r>
        <w:rPr>
          <w:rFonts w:hint="eastAsia" w:ascii="宋体" w:hAnsi="宋体" w:cs="宋体"/>
          <w:sz w:val="24"/>
        </w:rPr>
        <w:t>个日历天，按甲方通知进场施工时间为准。</w:t>
      </w:r>
    </w:p>
    <w:p>
      <w:pPr>
        <w:snapToGrid w:val="0"/>
        <w:spacing w:line="360" w:lineRule="auto"/>
        <w:ind w:firstLine="482" w:firstLineChars="200"/>
        <w:rPr>
          <w:rFonts w:ascii="宋体" w:hAnsi="宋体" w:cs="宋体"/>
          <w:sz w:val="24"/>
          <w:u w:val="single"/>
        </w:rPr>
      </w:pPr>
      <w:r>
        <w:rPr>
          <w:rFonts w:hint="eastAsia" w:ascii="宋体" w:hAnsi="宋体" w:cs="宋体"/>
          <w:b/>
          <w:sz w:val="24"/>
        </w:rPr>
        <w:t>三、质量要求：</w:t>
      </w:r>
      <w:r>
        <w:rPr>
          <w:rFonts w:hint="eastAsia" w:ascii="宋体" w:hAnsi="宋体" w:cs="宋体"/>
          <w:sz w:val="24"/>
          <w:u w:val="single"/>
        </w:rPr>
        <w:t>符合国家施工验收规范合格标准和设计要求。</w:t>
      </w:r>
      <w:r>
        <w:rPr>
          <w:rFonts w:ascii="宋体" w:hAnsi="宋体" w:cs="Arial"/>
          <w:sz w:val="24"/>
          <w:u w:val="single"/>
        </w:rPr>
        <w:t>树木、花卉和草皮种植保活率必须达到100%</w:t>
      </w:r>
      <w:r>
        <w:rPr>
          <w:rFonts w:hint="eastAsia" w:ascii="宋体" w:hAnsi="宋体" w:cs="Arial"/>
          <w:sz w:val="24"/>
          <w:u w:val="single"/>
        </w:rPr>
        <w:t>，维护保养期1年。维护期间未成活部分应及时免费补栽补种，并达到《城市绿化工程施工及验收规范（CJJ/T82-99）》、《杭州市园林绿化技术规程（HBL/T002-1999）》、《浙江省园林绿化技术规程（DB33/T1009）》的要求。观赏植物的开花率在95%以上，观果植物的结果率在95%以上，树冠形状按设计要求。</w:t>
      </w:r>
    </w:p>
    <w:p>
      <w:pPr>
        <w:snapToGrid w:val="0"/>
        <w:spacing w:line="360" w:lineRule="auto"/>
        <w:ind w:firstLine="482" w:firstLineChars="200"/>
        <w:rPr>
          <w:rFonts w:ascii="宋体" w:hAnsi="宋体"/>
          <w:b/>
          <w:sz w:val="24"/>
        </w:rPr>
      </w:pPr>
      <w:r>
        <w:rPr>
          <w:rFonts w:hint="eastAsia" w:ascii="宋体" w:hAnsi="宋体" w:cs="宋体"/>
          <w:b/>
          <w:sz w:val="24"/>
        </w:rPr>
        <w:t>四、</w:t>
      </w:r>
      <w:r>
        <w:rPr>
          <w:rFonts w:hint="eastAsia" w:ascii="宋体" w:hAnsi="宋体"/>
          <w:b/>
          <w:sz w:val="24"/>
        </w:rPr>
        <w:t>付款方式及结算审核：</w:t>
      </w:r>
    </w:p>
    <w:p>
      <w:pPr>
        <w:snapToGrid w:val="0"/>
        <w:spacing w:line="360" w:lineRule="auto"/>
        <w:ind w:firstLine="480" w:firstLineChars="200"/>
        <w:rPr>
          <w:rFonts w:ascii="宋体" w:hAnsi="宋体" w:cs="宋体"/>
          <w:sz w:val="24"/>
        </w:rPr>
      </w:pPr>
      <w:r>
        <w:rPr>
          <w:rFonts w:hint="eastAsia" w:ascii="宋体" w:hAnsi="宋体" w:cs="宋体"/>
          <w:sz w:val="24"/>
        </w:rPr>
        <w:t>1.工程款支付方式：</w:t>
      </w:r>
      <w:r>
        <w:rPr>
          <w:rFonts w:hint="eastAsia" w:ascii="宋体" w:hAnsi="宋体" w:cs="宋体"/>
          <w:sz w:val="24"/>
          <w:lang w:eastAsia="zh-CN"/>
        </w:rPr>
        <w:t>合同签订后支付预付款</w:t>
      </w:r>
      <w:r>
        <w:rPr>
          <w:rFonts w:hint="eastAsia" w:ascii="宋体" w:hAnsi="宋体" w:cs="宋体"/>
          <w:sz w:val="24"/>
          <w:lang w:val="en-US" w:eastAsia="zh-CN"/>
        </w:rPr>
        <w:t>60%，</w:t>
      </w:r>
      <w:r>
        <w:rPr>
          <w:rFonts w:hint="eastAsia" w:ascii="宋体" w:hAnsi="宋体" w:cs="宋体"/>
          <w:sz w:val="24"/>
        </w:rPr>
        <w:t>工程完工并经甲方验收合格</w:t>
      </w:r>
      <w:r>
        <w:rPr>
          <w:rFonts w:hint="eastAsia" w:ascii="宋体" w:hAnsi="宋体" w:cs="宋体"/>
          <w:sz w:val="24"/>
          <w:lang w:eastAsia="zh-CN"/>
        </w:rPr>
        <w:t>、维保期到期后支付剩余的</w:t>
      </w:r>
      <w:r>
        <w:rPr>
          <w:rFonts w:hint="eastAsia" w:ascii="宋体" w:hAnsi="宋体" w:cs="宋体"/>
          <w:sz w:val="24"/>
          <w:lang w:val="en-US" w:eastAsia="zh-CN"/>
        </w:rPr>
        <w:t>40%。</w:t>
      </w:r>
    </w:p>
    <w:p>
      <w:pPr>
        <w:snapToGrid w:val="0"/>
        <w:spacing w:line="360" w:lineRule="auto"/>
        <w:ind w:firstLine="480" w:firstLineChars="200"/>
        <w:rPr>
          <w:rFonts w:ascii="宋体" w:hAnsi="宋体" w:cs="宋体"/>
          <w:sz w:val="24"/>
        </w:rPr>
      </w:pPr>
      <w:r>
        <w:rPr>
          <w:rFonts w:hint="eastAsia" w:ascii="宋体" w:hAnsi="宋体" w:cs="宋体"/>
          <w:sz w:val="24"/>
        </w:rPr>
        <w:t>4.乙方在收款之前，应向甲方提供等额、合法、有效的正规发票，甲方凭发票付款。如乙方未按约定提供正规发票的，甲方有权拒绝付款，直至收到乙方提交的正规发票为止，在此情况下，甲方不承担逾期付款违约责任。</w:t>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五、项目管理</w:t>
      </w:r>
    </w:p>
    <w:p>
      <w:pPr>
        <w:tabs>
          <w:tab w:val="left" w:pos="180"/>
        </w:tabs>
        <w:adjustRightInd w:val="0"/>
        <w:snapToGrid w:val="0"/>
        <w:spacing w:line="360" w:lineRule="auto"/>
        <w:ind w:firstLine="480" w:firstLineChars="200"/>
        <w:rPr>
          <w:rFonts w:ascii="宋体" w:hAnsi="宋体" w:cs="宋体"/>
          <w:sz w:val="24"/>
        </w:rPr>
      </w:pPr>
      <w:r>
        <w:rPr>
          <w:rFonts w:hint="eastAsia" w:ascii="宋体" w:hAnsi="宋体" w:cs="宋体"/>
          <w:sz w:val="24"/>
        </w:rPr>
        <w:t>1.乙方必须严格按照要求精心组织施工，做好施工组织设计及隐蔽工程验收工作，严格把好各道施工工序的质量关，杜绝工程质量事故。做好文明施工，确保人员和施工安全。</w:t>
      </w:r>
    </w:p>
    <w:p>
      <w:pPr>
        <w:adjustRightInd w:val="0"/>
        <w:snapToGrid w:val="0"/>
        <w:spacing w:line="360" w:lineRule="auto"/>
        <w:ind w:firstLine="480" w:firstLineChars="200"/>
        <w:rPr>
          <w:rFonts w:ascii="宋体" w:hAnsi="宋体" w:cs="宋体"/>
          <w:sz w:val="24"/>
          <w:u w:val="single"/>
        </w:rPr>
      </w:pPr>
      <w:r>
        <w:rPr>
          <w:rFonts w:hint="eastAsia" w:ascii="宋体" w:hAnsi="宋体" w:cs="宋体"/>
          <w:sz w:val="24"/>
        </w:rPr>
        <w:t>2.乙方项目经理：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姓    名：</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身份证号：</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360" w:lineRule="auto"/>
        <w:ind w:firstLine="480" w:firstLineChars="200"/>
        <w:rPr>
          <w:rFonts w:ascii="宋体" w:hAnsi="宋体" w:cs="宋体"/>
          <w:sz w:val="24"/>
          <w:highlight w:val="yellow"/>
        </w:rPr>
      </w:pPr>
      <w:r>
        <w:rPr>
          <w:rFonts w:hint="eastAsia" w:ascii="宋体" w:hAnsi="宋体" w:cs="宋体"/>
          <w:sz w:val="24"/>
        </w:rPr>
        <w:t>联系电话：</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360" w:lineRule="auto"/>
        <w:ind w:firstLine="480" w:firstLineChars="200"/>
        <w:rPr>
          <w:rFonts w:ascii="宋体" w:hAnsi="宋体" w:cs="宋体"/>
          <w:sz w:val="24"/>
          <w:highlight w:val="yellow"/>
        </w:rPr>
      </w:pPr>
      <w:r>
        <w:rPr>
          <w:rFonts w:hint="eastAsia" w:ascii="宋体" w:hAnsi="宋体" w:cs="宋体"/>
          <w:sz w:val="24"/>
        </w:rPr>
        <w:t>联系地址：</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电子信箱：</w:t>
      </w:r>
      <w:r>
        <w:fldChar w:fldCharType="begin"/>
      </w:r>
      <w:r>
        <w:instrText xml:space="preserve"> HYPERLINK "mailto:519365421@qq.com" </w:instrText>
      </w:r>
      <w:r>
        <w:fldChar w:fldCharType="separate"/>
      </w:r>
      <w:r>
        <w:rPr>
          <w:rFonts w:hint="eastAsia" w:ascii="宋体" w:hAnsi="宋体" w:cs="宋体"/>
          <w:sz w:val="24"/>
          <w:u w:val="single"/>
        </w:rPr>
        <w:t xml:space="preserve">             </w:t>
      </w:r>
      <w:r>
        <w:rPr>
          <w:rFonts w:hint="eastAsia" w:ascii="宋体" w:hAnsi="宋体" w:cs="宋体"/>
          <w:sz w:val="24"/>
          <w:u w:val="single"/>
        </w:rPr>
        <w:fldChar w:fldCharType="end"/>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乙方项目经理全权代表乙方履行本合同。</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3.甲方代表：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姓    名：</w:t>
      </w:r>
      <w:r>
        <w:rPr>
          <w:rFonts w:hint="eastAsia" w:ascii="宋体" w:hAnsi="宋体" w:cs="宋体"/>
          <w:sz w:val="24"/>
          <w:u w:val="single"/>
        </w:rPr>
        <w:t xml:space="preserve">           </w:t>
      </w:r>
      <w:r>
        <w:rPr>
          <w:rFonts w:hint="eastAsia" w:ascii="宋体" w:hAnsi="宋体" w:cs="宋体"/>
          <w:sz w:val="24"/>
        </w:rPr>
        <w:t>；</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联系电话：</w:t>
      </w:r>
      <w:r>
        <w:rPr>
          <w:rFonts w:hint="eastAsia" w:ascii="宋体" w:hAnsi="宋体" w:cs="宋体"/>
          <w:sz w:val="24"/>
          <w:u w:val="single"/>
        </w:rPr>
        <w:t>             </w:t>
      </w:r>
      <w:r>
        <w:rPr>
          <w:rFonts w:hint="eastAsia" w:ascii="宋体" w:hAnsi="宋体" w:cs="宋体"/>
          <w:sz w:val="24"/>
        </w:rPr>
        <w:t>。</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甲方代表</w:t>
      </w:r>
      <w:r>
        <w:rPr>
          <w:rFonts w:hint="eastAsia" w:ascii="宋体" w:hAnsi="宋体" w:cs="宋体"/>
          <w:kern w:val="0"/>
          <w:sz w:val="24"/>
        </w:rPr>
        <w:t>负责处理本合同履行过程中与甲方有关的具体事宜，</w:t>
      </w:r>
      <w:r>
        <w:rPr>
          <w:rFonts w:hint="eastAsia" w:ascii="宋体" w:hAnsi="宋体" w:cs="宋体"/>
          <w:sz w:val="24"/>
        </w:rPr>
        <w:t>但本合同履行过程中任何书面文书的签署以及相关材料的签证、确认都须经甲方盖章确认后才生效。</w:t>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六、、争议解决</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本合同有关的一切争议，双方当事人一致同意向工程所在地人民法院起诉。</w:t>
      </w:r>
    </w:p>
    <w:p>
      <w:pPr>
        <w:adjustRightInd w:val="0"/>
        <w:snapToGrid w:val="0"/>
        <w:spacing w:line="360" w:lineRule="auto"/>
        <w:ind w:firstLine="482" w:firstLineChars="200"/>
        <w:rPr>
          <w:rFonts w:ascii="宋体" w:hAnsi="宋体" w:cs="宋体"/>
          <w:b/>
          <w:bCs/>
          <w:sz w:val="24"/>
        </w:rPr>
      </w:pPr>
      <w:bookmarkStart w:id="4" w:name="_Toc351203489"/>
      <w:r>
        <w:rPr>
          <w:rFonts w:hint="eastAsia" w:ascii="宋体" w:hAnsi="宋体" w:cs="宋体"/>
          <w:b/>
          <w:bCs/>
          <w:sz w:val="24"/>
        </w:rPr>
        <w:t>七、其他</w:t>
      </w:r>
    </w:p>
    <w:p>
      <w:pPr>
        <w:snapToGrid w:val="0"/>
        <w:spacing w:line="360" w:lineRule="auto"/>
        <w:ind w:firstLine="480" w:firstLineChars="200"/>
        <w:rPr>
          <w:rFonts w:ascii="宋体" w:hAnsi="宋体" w:cs="宋体"/>
          <w:bCs/>
          <w:sz w:val="24"/>
        </w:rPr>
      </w:pPr>
      <w:r>
        <w:rPr>
          <w:rFonts w:hint="eastAsia" w:ascii="宋体" w:hAnsi="宋体" w:cs="宋体"/>
          <w:bCs/>
          <w:sz w:val="24"/>
        </w:rPr>
        <w:t>1.</w:t>
      </w:r>
      <w:bookmarkEnd w:id="4"/>
      <w:r>
        <w:rPr>
          <w:rFonts w:hint="eastAsia" w:ascii="宋体" w:hAnsi="宋体" w:cs="宋体"/>
          <w:bCs/>
          <w:sz w:val="24"/>
        </w:rPr>
        <w:t>本合同自双方盖章之日起生效。</w:t>
      </w:r>
    </w:p>
    <w:p>
      <w:pPr>
        <w:snapToGrid w:val="0"/>
        <w:spacing w:line="360" w:lineRule="auto"/>
        <w:ind w:firstLine="480" w:firstLineChars="200"/>
        <w:rPr>
          <w:rFonts w:ascii="宋体" w:hAnsi="宋体"/>
          <w:bCs/>
          <w:sz w:val="24"/>
          <w:szCs w:val="28"/>
        </w:rPr>
      </w:pPr>
      <w:r>
        <w:rPr>
          <w:rFonts w:hint="eastAsia" w:ascii="宋体" w:hAnsi="宋体" w:cs="宋体"/>
          <w:sz w:val="24"/>
        </w:rPr>
        <w:t>2.</w:t>
      </w:r>
      <w:r>
        <w:rPr>
          <w:rFonts w:hint="eastAsia" w:ascii="宋体" w:hAnsi="宋体" w:cs="宋体"/>
          <w:bCs/>
          <w:sz w:val="24"/>
        </w:rPr>
        <w:t>本合同一式</w:t>
      </w:r>
      <w:r>
        <w:rPr>
          <w:rFonts w:hint="eastAsia" w:ascii="宋体" w:hAnsi="宋体" w:cs="宋体"/>
          <w:bCs/>
          <w:sz w:val="24"/>
          <w:u w:val="single"/>
        </w:rPr>
        <w:t xml:space="preserve"> 肆 </w:t>
      </w:r>
      <w:r>
        <w:rPr>
          <w:rFonts w:hint="eastAsia" w:ascii="宋体" w:hAnsi="宋体" w:cs="宋体"/>
          <w:bCs/>
          <w:sz w:val="24"/>
        </w:rPr>
        <w:t>份，均具有同等法律效力，甲方</w:t>
      </w:r>
      <w:r>
        <w:rPr>
          <w:rFonts w:hint="eastAsia" w:ascii="宋体" w:hAnsi="宋体" w:cs="宋体"/>
          <w:bCs/>
          <w:sz w:val="24"/>
          <w:u w:val="single"/>
        </w:rPr>
        <w:t xml:space="preserve"> 贰 </w:t>
      </w:r>
      <w:r>
        <w:rPr>
          <w:rFonts w:hint="eastAsia" w:ascii="宋体" w:hAnsi="宋体" w:cs="宋体"/>
          <w:bCs/>
          <w:sz w:val="24"/>
        </w:rPr>
        <w:t>份，乙方</w:t>
      </w:r>
      <w:r>
        <w:rPr>
          <w:rFonts w:hint="eastAsia" w:ascii="宋体" w:hAnsi="宋体" w:cs="宋体"/>
          <w:bCs/>
          <w:sz w:val="24"/>
          <w:u w:val="single"/>
        </w:rPr>
        <w:t xml:space="preserve"> 贰 </w:t>
      </w:r>
      <w:r>
        <w:rPr>
          <w:rFonts w:hint="eastAsia" w:ascii="宋体" w:hAnsi="宋体" w:cs="宋体"/>
          <w:bCs/>
          <w:sz w:val="24"/>
        </w:rPr>
        <w:t>份。</w:t>
      </w:r>
    </w:p>
    <w:tbl>
      <w:tblPr>
        <w:tblStyle w:val="14"/>
        <w:tblW w:w="9210" w:type="dxa"/>
        <w:tblInd w:w="288" w:type="dxa"/>
        <w:tblLayout w:type="fixed"/>
        <w:tblCellMar>
          <w:top w:w="0" w:type="dxa"/>
          <w:left w:w="108" w:type="dxa"/>
          <w:bottom w:w="0" w:type="dxa"/>
          <w:right w:w="108" w:type="dxa"/>
        </w:tblCellMar>
      </w:tblPr>
      <w:tblGrid>
        <w:gridCol w:w="4605"/>
        <w:gridCol w:w="4605"/>
      </w:tblGrid>
      <w:tr>
        <w:tblPrEx>
          <w:tblCellMar>
            <w:top w:w="0" w:type="dxa"/>
            <w:left w:w="108" w:type="dxa"/>
            <w:bottom w:w="0" w:type="dxa"/>
            <w:right w:w="108" w:type="dxa"/>
          </w:tblCellMar>
        </w:tblPrEx>
        <w:trPr>
          <w:trHeight w:val="682" w:hRule="atLeast"/>
        </w:trPr>
        <w:tc>
          <w:tcPr>
            <w:tcW w:w="4605" w:type="dxa"/>
          </w:tcPr>
          <w:p>
            <w:pPr>
              <w:snapToGrid w:val="0"/>
              <w:spacing w:beforeLines="50"/>
              <w:rPr>
                <w:rFonts w:ascii="宋体" w:hAnsi="宋体" w:cs="Arial"/>
                <w:sz w:val="22"/>
              </w:rPr>
            </w:pPr>
            <w:r>
              <w:rPr>
                <w:rFonts w:hint="eastAsia" w:ascii="宋体" w:hAnsi="宋体" w:cs="Arial"/>
                <w:sz w:val="22"/>
              </w:rPr>
              <w:t>甲方：</w:t>
            </w:r>
          </w:p>
          <w:p>
            <w:pPr>
              <w:snapToGrid w:val="0"/>
              <w:spacing w:beforeLines="50"/>
              <w:rPr>
                <w:rFonts w:ascii="宋体" w:hAnsi="宋体" w:cs="Arial"/>
                <w:sz w:val="22"/>
              </w:rPr>
            </w:pPr>
            <w:r>
              <w:rPr>
                <w:rFonts w:hint="eastAsia" w:ascii="宋体" w:hAnsi="宋体" w:cs="Arial"/>
                <w:sz w:val="22"/>
              </w:rPr>
              <w:t>（公章）</w:t>
            </w:r>
          </w:p>
        </w:tc>
        <w:tc>
          <w:tcPr>
            <w:tcW w:w="4605" w:type="dxa"/>
          </w:tcPr>
          <w:p>
            <w:pPr>
              <w:snapToGrid w:val="0"/>
              <w:spacing w:beforeLines="50"/>
              <w:rPr>
                <w:rFonts w:ascii="宋体" w:hAnsi="宋体" w:cs="Arial"/>
                <w:sz w:val="22"/>
              </w:rPr>
            </w:pPr>
            <w:r>
              <w:rPr>
                <w:rFonts w:hint="eastAsia" w:ascii="宋体" w:hAnsi="宋体" w:cs="Arial"/>
                <w:sz w:val="22"/>
              </w:rPr>
              <w:t>乙方：</w:t>
            </w:r>
          </w:p>
          <w:p>
            <w:pPr>
              <w:snapToGrid w:val="0"/>
              <w:spacing w:beforeLines="50"/>
              <w:rPr>
                <w:rFonts w:ascii="宋体" w:hAnsi="宋体" w:cs="Arial"/>
                <w:sz w:val="22"/>
              </w:rPr>
            </w:pPr>
            <w:r>
              <w:rPr>
                <w:rFonts w:hint="eastAsia" w:ascii="宋体" w:hAnsi="宋体" w:cs="Arial"/>
                <w:sz w:val="22"/>
              </w:rPr>
              <w:t>（公章）</w:t>
            </w:r>
          </w:p>
        </w:tc>
      </w:tr>
      <w:tr>
        <w:tblPrEx>
          <w:tblCellMar>
            <w:top w:w="0" w:type="dxa"/>
            <w:left w:w="108" w:type="dxa"/>
            <w:bottom w:w="0" w:type="dxa"/>
            <w:right w:w="108" w:type="dxa"/>
          </w:tblCellMar>
        </w:tblPrEx>
        <w:tc>
          <w:tcPr>
            <w:tcW w:w="4605" w:type="dxa"/>
          </w:tcPr>
          <w:p>
            <w:pPr>
              <w:snapToGrid w:val="0"/>
              <w:spacing w:beforeLines="50"/>
              <w:rPr>
                <w:rFonts w:ascii="宋体" w:hAnsi="宋体" w:cs="Arial"/>
                <w:sz w:val="22"/>
              </w:rPr>
            </w:pPr>
            <w:r>
              <w:rPr>
                <w:rFonts w:hint="eastAsia" w:ascii="宋体" w:hAnsi="宋体" w:cs="Arial"/>
                <w:sz w:val="22"/>
              </w:rPr>
              <w:t>法定代表人或授权代理人：</w:t>
            </w:r>
          </w:p>
          <w:p>
            <w:pPr>
              <w:snapToGrid w:val="0"/>
              <w:spacing w:beforeLines="50"/>
              <w:rPr>
                <w:rFonts w:ascii="宋体" w:hAnsi="宋体" w:cs="Arial"/>
                <w:sz w:val="22"/>
              </w:rPr>
            </w:pPr>
            <w:r>
              <w:rPr>
                <w:rFonts w:hint="eastAsia" w:ascii="宋体" w:hAnsi="宋体" w:cs="Arial"/>
                <w:sz w:val="22"/>
              </w:rPr>
              <w:t>（盖章）</w:t>
            </w:r>
          </w:p>
        </w:tc>
        <w:tc>
          <w:tcPr>
            <w:tcW w:w="4605" w:type="dxa"/>
          </w:tcPr>
          <w:p>
            <w:pPr>
              <w:snapToGrid w:val="0"/>
              <w:spacing w:beforeLines="50"/>
              <w:rPr>
                <w:rFonts w:ascii="宋体" w:hAnsi="宋体" w:cs="Arial"/>
                <w:sz w:val="22"/>
              </w:rPr>
            </w:pPr>
            <w:r>
              <w:rPr>
                <w:rFonts w:hint="eastAsia" w:ascii="宋体" w:hAnsi="宋体" w:cs="Arial"/>
                <w:sz w:val="22"/>
              </w:rPr>
              <w:t>法定代表人：</w:t>
            </w:r>
          </w:p>
          <w:p>
            <w:pPr>
              <w:snapToGrid w:val="0"/>
              <w:spacing w:beforeLines="50"/>
              <w:rPr>
                <w:rFonts w:ascii="宋体" w:hAnsi="宋体" w:cs="Arial"/>
                <w:sz w:val="22"/>
              </w:rPr>
            </w:pPr>
            <w:r>
              <w:rPr>
                <w:rFonts w:hint="eastAsia" w:ascii="宋体" w:hAnsi="宋体" w:cs="Arial"/>
                <w:sz w:val="22"/>
              </w:rPr>
              <w:t>（盖章）</w:t>
            </w:r>
          </w:p>
        </w:tc>
      </w:tr>
      <w:tr>
        <w:tblPrEx>
          <w:tblCellMar>
            <w:top w:w="0" w:type="dxa"/>
            <w:left w:w="108" w:type="dxa"/>
            <w:bottom w:w="0" w:type="dxa"/>
            <w:right w:w="108" w:type="dxa"/>
          </w:tblCellMar>
        </w:tblPrEx>
        <w:tc>
          <w:tcPr>
            <w:tcW w:w="4605" w:type="dxa"/>
          </w:tcPr>
          <w:p>
            <w:pPr>
              <w:snapToGrid w:val="0"/>
              <w:spacing w:beforeLines="50"/>
              <w:rPr>
                <w:rFonts w:ascii="宋体" w:hAnsi="宋体" w:cs="Arial"/>
                <w:sz w:val="22"/>
              </w:rPr>
            </w:pPr>
            <w:r>
              <w:rPr>
                <w:rFonts w:hint="eastAsia" w:ascii="宋体" w:hAnsi="宋体" w:cs="Arial"/>
                <w:sz w:val="22"/>
              </w:rPr>
              <w:t xml:space="preserve">地址： </w:t>
            </w:r>
          </w:p>
          <w:p>
            <w:pPr>
              <w:snapToGrid w:val="0"/>
              <w:spacing w:beforeLines="50"/>
              <w:rPr>
                <w:rFonts w:ascii="宋体" w:hAnsi="宋体" w:cs="Arial"/>
                <w:sz w:val="22"/>
              </w:rPr>
            </w:pPr>
            <w:r>
              <w:rPr>
                <w:rFonts w:hint="eastAsia" w:ascii="宋体" w:hAnsi="宋体" w:cs="Arial"/>
                <w:sz w:val="22"/>
              </w:rPr>
              <w:t>统一社会信用代码:</w:t>
            </w:r>
            <w:r>
              <w:rPr>
                <w:rFonts w:hint="eastAsia" w:ascii="宋体" w:hAnsi="宋体"/>
                <w:szCs w:val="21"/>
              </w:rPr>
              <w:t xml:space="preserve">  </w:t>
            </w:r>
          </w:p>
          <w:p>
            <w:pPr>
              <w:snapToGrid w:val="0"/>
              <w:spacing w:beforeLines="50"/>
              <w:rPr>
                <w:rFonts w:ascii="宋体" w:hAnsi="宋体" w:cs="Arial"/>
                <w:bCs/>
                <w:sz w:val="22"/>
              </w:rPr>
            </w:pPr>
            <w:r>
              <w:rPr>
                <w:rFonts w:hint="eastAsia" w:ascii="宋体" w:hAnsi="宋体" w:cs="Arial"/>
                <w:bCs/>
                <w:sz w:val="22"/>
              </w:rPr>
              <w:t>邮政编码：</w:t>
            </w:r>
            <w:r>
              <w:rPr>
                <w:rFonts w:hint="eastAsia" w:ascii="宋体" w:hAnsi="宋体" w:cs="Arial"/>
                <w:sz w:val="22"/>
              </w:rPr>
              <w:t xml:space="preserve"> </w:t>
            </w:r>
          </w:p>
        </w:tc>
        <w:tc>
          <w:tcPr>
            <w:tcW w:w="4605" w:type="dxa"/>
          </w:tcPr>
          <w:p>
            <w:pPr>
              <w:snapToGrid w:val="0"/>
              <w:spacing w:beforeLines="50"/>
              <w:rPr>
                <w:rFonts w:ascii="宋体" w:hAnsi="宋体" w:cs="Arial"/>
                <w:sz w:val="22"/>
              </w:rPr>
            </w:pPr>
            <w:r>
              <w:rPr>
                <w:rFonts w:hint="eastAsia" w:ascii="宋体" w:hAnsi="宋体" w:cs="Arial"/>
                <w:sz w:val="22"/>
              </w:rPr>
              <w:t>地址：</w:t>
            </w:r>
          </w:p>
          <w:p>
            <w:pPr>
              <w:snapToGrid w:val="0"/>
              <w:spacing w:beforeLines="50"/>
              <w:rPr>
                <w:rFonts w:ascii="宋体" w:hAnsi="宋体" w:cs="Arial"/>
                <w:sz w:val="22"/>
              </w:rPr>
            </w:pPr>
            <w:r>
              <w:rPr>
                <w:rFonts w:hint="eastAsia" w:ascii="宋体" w:hAnsi="宋体" w:cs="Arial"/>
                <w:sz w:val="22"/>
              </w:rPr>
              <w:t xml:space="preserve"> 统一社会信用代码: </w:t>
            </w:r>
          </w:p>
          <w:p>
            <w:pPr>
              <w:snapToGrid w:val="0"/>
              <w:spacing w:beforeLines="50"/>
              <w:rPr>
                <w:rFonts w:ascii="宋体" w:hAnsi="宋体" w:cs="Arial"/>
                <w:bCs/>
                <w:sz w:val="22"/>
              </w:rPr>
            </w:pPr>
            <w:r>
              <w:rPr>
                <w:rFonts w:hint="eastAsia" w:ascii="宋体" w:hAnsi="宋体" w:cs="Arial"/>
                <w:sz w:val="22"/>
              </w:rPr>
              <w:t>邮政编码：</w:t>
            </w:r>
          </w:p>
        </w:tc>
      </w:tr>
      <w:tr>
        <w:tblPrEx>
          <w:tblCellMar>
            <w:top w:w="0" w:type="dxa"/>
            <w:left w:w="108" w:type="dxa"/>
            <w:bottom w:w="0" w:type="dxa"/>
            <w:right w:w="108" w:type="dxa"/>
          </w:tblCellMar>
        </w:tblPrEx>
        <w:tc>
          <w:tcPr>
            <w:tcW w:w="4605" w:type="dxa"/>
          </w:tcPr>
          <w:p>
            <w:pPr>
              <w:snapToGrid w:val="0"/>
              <w:spacing w:beforeLines="50"/>
              <w:rPr>
                <w:rFonts w:ascii="宋体" w:hAnsi="宋体" w:cs="Arial"/>
                <w:bCs/>
                <w:sz w:val="22"/>
              </w:rPr>
            </w:pPr>
            <w:r>
              <w:rPr>
                <w:rFonts w:hint="eastAsia" w:ascii="宋体" w:hAnsi="宋体" w:cs="Arial"/>
                <w:sz w:val="22"/>
              </w:rPr>
              <w:t xml:space="preserve">开户行： </w:t>
            </w:r>
          </w:p>
        </w:tc>
        <w:tc>
          <w:tcPr>
            <w:tcW w:w="4605" w:type="dxa"/>
          </w:tcPr>
          <w:p>
            <w:pPr>
              <w:snapToGrid w:val="0"/>
              <w:spacing w:beforeLines="50"/>
              <w:rPr>
                <w:rFonts w:ascii="宋体" w:hAnsi="宋体" w:cs="Arial"/>
                <w:bCs/>
                <w:sz w:val="22"/>
              </w:rPr>
            </w:pPr>
            <w:r>
              <w:rPr>
                <w:rFonts w:hint="eastAsia" w:ascii="宋体" w:hAnsi="宋体" w:cs="Arial"/>
                <w:sz w:val="22"/>
              </w:rPr>
              <w:t>开户行：</w:t>
            </w:r>
            <w:r>
              <w:rPr>
                <w:rFonts w:hint="eastAsia" w:ascii="宋体" w:hAnsi="宋体"/>
              </w:rPr>
              <w:t xml:space="preserve"> </w:t>
            </w:r>
          </w:p>
        </w:tc>
      </w:tr>
      <w:tr>
        <w:tblPrEx>
          <w:tblCellMar>
            <w:top w:w="0" w:type="dxa"/>
            <w:left w:w="108" w:type="dxa"/>
            <w:bottom w:w="0" w:type="dxa"/>
            <w:right w:w="108" w:type="dxa"/>
          </w:tblCellMar>
        </w:tblPrEx>
        <w:tc>
          <w:tcPr>
            <w:tcW w:w="4605" w:type="dxa"/>
          </w:tcPr>
          <w:p>
            <w:pPr>
              <w:snapToGrid w:val="0"/>
              <w:spacing w:beforeLines="50"/>
              <w:rPr>
                <w:rFonts w:ascii="宋体" w:hAnsi="宋体" w:cs="Arial"/>
                <w:bCs/>
                <w:sz w:val="22"/>
              </w:rPr>
            </w:pPr>
            <w:r>
              <w:rPr>
                <w:rFonts w:hint="eastAsia" w:ascii="宋体" w:hAnsi="宋体" w:cs="Arial"/>
                <w:sz w:val="22"/>
              </w:rPr>
              <w:t xml:space="preserve">账号： </w:t>
            </w:r>
          </w:p>
        </w:tc>
        <w:tc>
          <w:tcPr>
            <w:tcW w:w="4605" w:type="dxa"/>
          </w:tcPr>
          <w:p>
            <w:pPr>
              <w:snapToGrid w:val="0"/>
              <w:spacing w:beforeLines="50"/>
              <w:rPr>
                <w:rFonts w:ascii="宋体" w:hAnsi="宋体" w:cs="Arial"/>
                <w:bCs/>
                <w:sz w:val="22"/>
              </w:rPr>
            </w:pPr>
            <w:r>
              <w:rPr>
                <w:rFonts w:hint="eastAsia" w:ascii="宋体" w:hAnsi="宋体" w:cs="Arial"/>
                <w:sz w:val="22"/>
              </w:rPr>
              <w:t>账号：</w:t>
            </w:r>
            <w:r>
              <w:rPr>
                <w:rFonts w:hint="eastAsia" w:ascii="宋体" w:hAnsi="宋体"/>
                <w:sz w:val="24"/>
              </w:rPr>
              <w:t xml:space="preserve"> </w:t>
            </w:r>
          </w:p>
        </w:tc>
      </w:tr>
      <w:tr>
        <w:tblPrEx>
          <w:tblCellMar>
            <w:top w:w="0" w:type="dxa"/>
            <w:left w:w="108" w:type="dxa"/>
            <w:bottom w:w="0" w:type="dxa"/>
            <w:right w:w="108" w:type="dxa"/>
          </w:tblCellMar>
        </w:tblPrEx>
        <w:tc>
          <w:tcPr>
            <w:tcW w:w="4605" w:type="dxa"/>
          </w:tcPr>
          <w:p>
            <w:pPr>
              <w:snapToGrid w:val="0"/>
              <w:spacing w:beforeLines="50"/>
              <w:rPr>
                <w:rFonts w:ascii="宋体" w:hAnsi="宋体" w:cs="Arial"/>
                <w:bCs/>
                <w:sz w:val="22"/>
              </w:rPr>
            </w:pPr>
            <w:r>
              <w:rPr>
                <w:rFonts w:hint="eastAsia" w:ascii="宋体" w:hAnsi="宋体" w:cs="Arial"/>
                <w:sz w:val="22"/>
              </w:rPr>
              <w:t xml:space="preserve">开户名:  </w:t>
            </w:r>
          </w:p>
        </w:tc>
        <w:tc>
          <w:tcPr>
            <w:tcW w:w="4605" w:type="dxa"/>
          </w:tcPr>
          <w:p>
            <w:pPr>
              <w:snapToGrid w:val="0"/>
              <w:spacing w:beforeLines="50"/>
              <w:rPr>
                <w:rFonts w:ascii="宋体" w:hAnsi="宋体" w:cs="Arial"/>
                <w:bCs/>
                <w:sz w:val="22"/>
              </w:rPr>
            </w:pPr>
            <w:r>
              <w:rPr>
                <w:rFonts w:hint="eastAsia" w:ascii="宋体" w:hAnsi="宋体" w:cs="Arial"/>
                <w:sz w:val="22"/>
              </w:rPr>
              <w:t xml:space="preserve">开户名:                        </w:t>
            </w:r>
          </w:p>
        </w:tc>
      </w:tr>
    </w:tbl>
    <w:p>
      <w:pPr>
        <w:pStyle w:val="32"/>
        <w:rPr>
          <w:rFonts w:hint="eastAsia" w:ascii="微软雅黑" w:hAnsi="微软雅黑" w:eastAsia="微软雅黑" w:cs="微软雅黑"/>
        </w:rPr>
      </w:pPr>
    </w:p>
    <w:p>
      <w:pPr>
        <w:pStyle w:val="32"/>
        <w:rPr>
          <w:rFonts w:hint="eastAsia" w:ascii="微软雅黑" w:hAnsi="微软雅黑" w:eastAsia="微软雅黑" w:cs="微软雅黑"/>
        </w:rPr>
      </w:pPr>
    </w:p>
    <w:p>
      <w:pPr>
        <w:pStyle w:val="32"/>
        <w:rPr>
          <w:rFonts w:hint="eastAsia" w:ascii="微软雅黑" w:hAnsi="微软雅黑" w:eastAsia="微软雅黑" w:cs="微软雅黑"/>
        </w:rPr>
      </w:pPr>
    </w:p>
    <w:p>
      <w:pPr>
        <w:pStyle w:val="32"/>
        <w:rPr>
          <w:rFonts w:hint="eastAsia" w:ascii="微软雅黑" w:hAnsi="微软雅黑" w:eastAsia="微软雅黑" w:cs="微软雅黑"/>
        </w:rPr>
      </w:pPr>
    </w:p>
    <w:p>
      <w:pPr>
        <w:pStyle w:val="32"/>
        <w:rPr>
          <w:rFonts w:hint="eastAsia" w:ascii="微软雅黑" w:hAnsi="微软雅黑" w:eastAsia="微软雅黑" w:cs="微软雅黑"/>
        </w:rPr>
      </w:pPr>
    </w:p>
    <w:p>
      <w:pPr>
        <w:pStyle w:val="32"/>
        <w:rPr>
          <w:rFonts w:ascii="微软雅黑" w:hAnsi="微软雅黑" w:eastAsia="微软雅黑" w:cs="微软雅黑"/>
          <w:color w:val="auto"/>
          <w:kern w:val="2"/>
          <w:sz w:val="21"/>
        </w:rPr>
      </w:pPr>
      <w:r>
        <w:rPr>
          <w:rFonts w:hint="eastAsia" w:ascii="微软雅黑" w:hAnsi="微软雅黑" w:eastAsia="微软雅黑" w:cs="微软雅黑"/>
        </w:rPr>
        <w:t>附件1（工程量清单）</w:t>
      </w:r>
      <w:r>
        <w:rPr>
          <w:rFonts w:hint="eastAsia" w:ascii="微软雅黑" w:hAnsi="微软雅黑" w:eastAsia="微软雅黑" w:cs="微软雅黑"/>
          <w:color w:val="auto"/>
          <w:kern w:val="2"/>
          <w:sz w:val="21"/>
        </w:rPr>
        <w:t>：</w:t>
      </w:r>
    </w:p>
    <w:tbl>
      <w:tblPr>
        <w:tblStyle w:val="14"/>
        <w:tblW w:w="8426" w:type="dxa"/>
        <w:tblInd w:w="96" w:type="dxa"/>
        <w:tblLayout w:type="fixed"/>
        <w:tblCellMar>
          <w:top w:w="0" w:type="dxa"/>
          <w:left w:w="108" w:type="dxa"/>
          <w:bottom w:w="0" w:type="dxa"/>
          <w:right w:w="108" w:type="dxa"/>
        </w:tblCellMar>
      </w:tblPr>
      <w:tblGrid>
        <w:gridCol w:w="429"/>
        <w:gridCol w:w="1804"/>
        <w:gridCol w:w="620"/>
        <w:gridCol w:w="660"/>
        <w:gridCol w:w="790"/>
        <w:gridCol w:w="700"/>
        <w:gridCol w:w="520"/>
        <w:gridCol w:w="576"/>
        <w:gridCol w:w="2327"/>
      </w:tblGrid>
      <w:tr>
        <w:tblPrEx>
          <w:tblCellMar>
            <w:top w:w="0" w:type="dxa"/>
            <w:left w:w="108" w:type="dxa"/>
            <w:bottom w:w="0" w:type="dxa"/>
            <w:right w:w="108" w:type="dxa"/>
          </w:tblCellMar>
        </w:tblPrEx>
        <w:trPr>
          <w:trHeight w:val="300" w:hRule="atLeast"/>
        </w:trPr>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序号</w:t>
            </w:r>
          </w:p>
        </w:tc>
        <w:tc>
          <w:tcPr>
            <w:tcW w:w="18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项目名称</w:t>
            </w:r>
          </w:p>
        </w:tc>
        <w:tc>
          <w:tcPr>
            <w:tcW w:w="27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规格</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数量</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单位</w:t>
            </w:r>
          </w:p>
        </w:tc>
        <w:tc>
          <w:tcPr>
            <w:tcW w:w="23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备注</w:t>
            </w:r>
          </w:p>
        </w:tc>
      </w:tr>
      <w:tr>
        <w:tblPrEx>
          <w:tblCellMar>
            <w:top w:w="0" w:type="dxa"/>
            <w:left w:w="108" w:type="dxa"/>
            <w:bottom w:w="0" w:type="dxa"/>
            <w:right w:w="108" w:type="dxa"/>
          </w:tblCellMar>
        </w:tblPrEx>
        <w:trPr>
          <w:trHeight w:val="30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6"/>
                <w:szCs w:val="16"/>
              </w:rPr>
            </w:pPr>
          </w:p>
        </w:tc>
        <w:tc>
          <w:tcPr>
            <w:tcW w:w="1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6"/>
                <w:szCs w:val="16"/>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胸径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高度</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冠幅</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kern w:val="0"/>
                <w:sz w:val="16"/>
                <w:szCs w:val="16"/>
              </w:rPr>
              <w:t>分枝点</w:t>
            </w: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6"/>
                <w:szCs w:val="16"/>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6"/>
                <w:szCs w:val="16"/>
              </w:rPr>
            </w:pPr>
          </w:p>
        </w:tc>
        <w:tc>
          <w:tcPr>
            <w:tcW w:w="23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0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 </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平整绿地</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726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平方</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迁移桂花</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350 </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300 </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9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3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迁移紫荆</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250-300</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6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4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迁移银杏</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18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12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5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迁移早樱</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D7</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6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6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迁移白玉兰</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D6</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4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7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迁移垂丝海棠</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D8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8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迁移香樟</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18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9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迁移香樟</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12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10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迁移朴树</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22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3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11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迁移红叶石楠球</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150 </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12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迁移红花继木球</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120 </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13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迁移茶花</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250 </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150 </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株</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14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迁移十大功劳</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40 </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41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平方</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36株/平方</w:t>
            </w: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15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迁移红叶石楠</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40 </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22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平方</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36株/平方</w:t>
            </w: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16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移除原有灌木</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40 </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437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平方</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36株/平方</w:t>
            </w: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17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草坪</w:t>
            </w:r>
          </w:p>
        </w:tc>
        <w:tc>
          <w:tcPr>
            <w:tcW w:w="27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马尼拉秋季混播黑麦草</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585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平方</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18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种植土</w:t>
            </w:r>
          </w:p>
        </w:tc>
        <w:tc>
          <w:tcPr>
            <w:tcW w:w="27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80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立方</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19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垃圾清运</w:t>
            </w:r>
          </w:p>
        </w:tc>
        <w:tc>
          <w:tcPr>
            <w:tcW w:w="27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6"/>
                <w:szCs w:val="16"/>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5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车</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20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进口颗粒有机肥</w:t>
            </w:r>
          </w:p>
        </w:tc>
        <w:tc>
          <w:tcPr>
            <w:tcW w:w="27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40公斤</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包</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44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21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泥碳</w:t>
            </w:r>
          </w:p>
        </w:tc>
        <w:tc>
          <w:tcPr>
            <w:tcW w:w="27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10公斤</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100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包</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22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木趣</w:t>
            </w:r>
          </w:p>
        </w:tc>
        <w:tc>
          <w:tcPr>
            <w:tcW w:w="27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彩色有机覆盖物</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78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平方</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6"/>
                <w:szCs w:val="16"/>
              </w:rPr>
            </w:pPr>
          </w:p>
        </w:tc>
      </w:tr>
      <w:tr>
        <w:tblPrEx>
          <w:tblCellMar>
            <w:top w:w="0" w:type="dxa"/>
            <w:left w:w="108" w:type="dxa"/>
            <w:bottom w:w="0" w:type="dxa"/>
            <w:right w:w="108" w:type="dxa"/>
          </w:tblCellMar>
        </w:tblPrEx>
        <w:trPr>
          <w:trHeight w:val="380"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23 </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sz w:val="16"/>
                <w:szCs w:val="16"/>
              </w:rPr>
              <w:t>汀步园路</w:t>
            </w:r>
          </w:p>
        </w:tc>
        <w:tc>
          <w:tcPr>
            <w:tcW w:w="27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40*100*5</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20 </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米</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详见剖面图</w:t>
            </w:r>
          </w:p>
        </w:tc>
      </w:tr>
    </w:tbl>
    <w:p>
      <w:pPr>
        <w:pStyle w:val="32"/>
        <w:rPr>
          <w:rFonts w:ascii="微软雅黑" w:hAnsi="微软雅黑" w:eastAsia="微软雅黑" w:cs="微软雅黑"/>
        </w:rPr>
        <w:sectPr>
          <w:footerReference r:id="rId3" w:type="default"/>
          <w:pgSz w:w="11906" w:h="16838"/>
          <w:pgMar w:top="1440" w:right="1080" w:bottom="1440" w:left="1080" w:header="851" w:footer="992" w:gutter="0"/>
          <w:pgNumType w:start="1"/>
          <w:cols w:space="425" w:num="1"/>
          <w:docGrid w:type="lines" w:linePitch="312" w:charSpace="0"/>
        </w:sectPr>
      </w:pPr>
    </w:p>
    <w:p>
      <w:pPr>
        <w:widowControl/>
        <w:adjustRightInd w:val="0"/>
        <w:spacing w:line="360" w:lineRule="auto"/>
        <w:ind w:left="210" w:leftChars="100" w:right="210" w:rightChars="100"/>
        <w:jc w:val="center"/>
        <w:rPr>
          <w:rFonts w:ascii="宋体" w:hAnsi="宋体" w:cs="宋体"/>
          <w:bCs/>
          <w:kern w:val="0"/>
          <w:sz w:val="20"/>
        </w:rPr>
      </w:pPr>
      <w:r>
        <w:rPr>
          <w:rFonts w:hint="eastAsia" w:ascii="宋体" w:hAnsi="宋体" w:cs="宋体"/>
          <w:bCs/>
          <w:kern w:val="0"/>
          <w:sz w:val="20"/>
        </w:rPr>
        <w:t>浙江大学医学院附属妇产科医院</w:t>
      </w:r>
    </w:p>
    <w:p>
      <w:pPr>
        <w:widowControl/>
        <w:adjustRightInd w:val="0"/>
        <w:spacing w:line="360" w:lineRule="auto"/>
        <w:ind w:left="210" w:leftChars="100" w:right="210" w:rightChars="100"/>
        <w:jc w:val="center"/>
        <w:rPr>
          <w:rFonts w:ascii="宋体" w:hAnsi="宋体" w:cs="宋体"/>
          <w:kern w:val="0"/>
          <w:sz w:val="24"/>
          <w:szCs w:val="36"/>
        </w:rPr>
      </w:pPr>
      <w:r>
        <w:rPr>
          <w:rFonts w:hint="eastAsia" w:ascii="宋体" w:hAnsi="宋体" w:cs="宋体"/>
          <w:b/>
          <w:bCs/>
          <w:kern w:val="0"/>
          <w:sz w:val="24"/>
          <w:szCs w:val="36"/>
        </w:rPr>
        <w:t>物资服务采购廉洁协议</w:t>
      </w:r>
    </w:p>
    <w:p>
      <w:pPr>
        <w:spacing w:line="360" w:lineRule="auto"/>
        <w:rPr>
          <w:rFonts w:ascii="宋体" w:hAnsi="宋体" w:cs="宋体"/>
          <w:kern w:val="0"/>
          <w:sz w:val="20"/>
        </w:rPr>
      </w:pPr>
      <w:r>
        <w:rPr>
          <w:rFonts w:hint="eastAsia" w:ascii="宋体" w:hAnsi="宋体" w:cs="宋体"/>
          <w:kern w:val="0"/>
          <w:sz w:val="20"/>
        </w:rPr>
        <w:t>甲方：浙江大学医学院附属妇产科医院钱江院区（采购方）  </w:t>
      </w:r>
    </w:p>
    <w:p>
      <w:pPr>
        <w:spacing w:line="360" w:lineRule="auto"/>
        <w:rPr>
          <w:rFonts w:ascii="宋体" w:hAnsi="宋体" w:cs="宋体"/>
          <w:kern w:val="0"/>
          <w:sz w:val="20"/>
        </w:rPr>
      </w:pPr>
      <w:r>
        <w:rPr>
          <w:rFonts w:hint="eastAsia" w:ascii="宋体" w:hAnsi="宋体" w:cs="宋体"/>
          <w:kern w:val="0"/>
          <w:sz w:val="20"/>
        </w:rPr>
        <w:t>乙方:                                     （服务方）</w:t>
      </w:r>
    </w:p>
    <w:p>
      <w:pPr>
        <w:spacing w:line="360" w:lineRule="auto"/>
        <w:rPr>
          <w:rFonts w:ascii="宋体" w:hAnsi="宋体" w:cs="宋体"/>
          <w:kern w:val="0"/>
          <w:sz w:val="20"/>
        </w:rPr>
      </w:pPr>
      <w:r>
        <w:rPr>
          <w:rFonts w:hint="eastAsia" w:ascii="宋体" w:hAnsi="宋体" w:cs="宋体"/>
          <w:kern w:val="0"/>
          <w:sz w:val="20"/>
        </w:rPr>
        <w:t>采购物资服务名称：钱江院区</w:t>
      </w:r>
      <w:r>
        <w:rPr>
          <w:rFonts w:hint="eastAsia" w:ascii="宋体" w:hAnsi="宋体"/>
          <w:sz w:val="20"/>
        </w:rPr>
        <w:t>绿化改造项目</w:t>
      </w:r>
    </w:p>
    <w:p>
      <w:pPr>
        <w:spacing w:line="360" w:lineRule="auto"/>
        <w:ind w:firstLine="400" w:firstLineChars="200"/>
        <w:rPr>
          <w:rFonts w:ascii="宋体" w:hAnsi="宋体" w:cs="宋体"/>
          <w:kern w:val="0"/>
          <w:sz w:val="20"/>
        </w:rPr>
      </w:pPr>
      <w:r>
        <w:rPr>
          <w:rFonts w:hint="eastAsia" w:ascii="宋体" w:hAnsi="宋体" w:cs="宋体"/>
          <w:kern w:val="0"/>
          <w:sz w:val="20"/>
        </w:rPr>
        <w:t>为进一步加强医疗卫生行风建设，规范医院购销行为，有效防范商业贿赂行为，营造公平交易、诚实守信的购销环境，经甲、乙双方协商，同意签订本协议，并共同遵守：</w:t>
      </w:r>
    </w:p>
    <w:p>
      <w:pPr>
        <w:spacing w:line="360" w:lineRule="auto"/>
        <w:ind w:firstLine="400" w:firstLineChars="200"/>
        <w:rPr>
          <w:color w:val="000000"/>
          <w:sz w:val="20"/>
        </w:rPr>
      </w:pPr>
      <w:r>
        <w:rPr>
          <w:rFonts w:hint="eastAsia" w:ascii="宋体" w:hAnsi="宋体" w:cs="宋体"/>
          <w:kern w:val="0"/>
          <w:sz w:val="20"/>
        </w:rPr>
        <w:t>一、</w:t>
      </w:r>
      <w:r>
        <w:rPr>
          <w:rFonts w:hint="eastAsia"/>
          <w:color w:val="000000"/>
          <w:sz w:val="20"/>
        </w:rPr>
        <w:t>甲、乙双方</w:t>
      </w:r>
      <w:r>
        <w:rPr>
          <w:rFonts w:hint="eastAsia" w:ascii="宋体" w:hAnsi="宋体" w:cs="宋体"/>
          <w:kern w:val="0"/>
          <w:sz w:val="20"/>
        </w:rPr>
        <w:t>在采购活动中</w:t>
      </w:r>
      <w:r>
        <w:rPr>
          <w:rFonts w:hint="eastAsia"/>
          <w:color w:val="000000"/>
          <w:sz w:val="20"/>
        </w:rPr>
        <w:t>必须严格遵守国家有关法律法规，</w:t>
      </w:r>
      <w:r>
        <w:rPr>
          <w:rFonts w:hint="eastAsia" w:ascii="宋体" w:hAnsi="宋体" w:cs="宋体"/>
          <w:kern w:val="0"/>
          <w:sz w:val="20"/>
        </w:rPr>
        <w:t>遵循“公开、公平、公正”的原则，</w:t>
      </w:r>
      <w:r>
        <w:rPr>
          <w:rFonts w:hint="eastAsia"/>
          <w:color w:val="000000"/>
          <w:sz w:val="20"/>
        </w:rPr>
        <w:t>认真履行各自的职责，不得违反有关招标采购工作管理规章制度，损害国家和集体利益。</w:t>
      </w:r>
    </w:p>
    <w:p>
      <w:pPr>
        <w:spacing w:line="360" w:lineRule="auto"/>
        <w:rPr>
          <w:color w:val="000000"/>
          <w:sz w:val="20"/>
        </w:rPr>
      </w:pPr>
      <w:r>
        <w:rPr>
          <w:rFonts w:hint="eastAsia" w:ascii="宋体" w:hAnsi="宋体" w:cs="宋体"/>
          <w:kern w:val="0"/>
          <w:sz w:val="20"/>
        </w:rPr>
        <w:t>  二、</w:t>
      </w:r>
      <w:r>
        <w:rPr>
          <w:rFonts w:hint="eastAsia"/>
          <w:color w:val="000000"/>
          <w:sz w:val="20"/>
        </w:rPr>
        <w:t>甲方工作人员（含家属、子女，下同）要廉洁自律，不得以任何形式索要和收受贿赂。不得向乙方索要或接受乙方的钱物、有价证券；不得参加可能影响公正执行公务的宴请和高消费娱乐活动；不得在乙方报销应由个人支付的费用；不得参加乙方组织的旅游、考察活动。</w:t>
      </w:r>
    </w:p>
    <w:p>
      <w:pPr>
        <w:spacing w:line="360" w:lineRule="auto"/>
        <w:ind w:firstLine="400" w:firstLineChars="200"/>
        <w:rPr>
          <w:rFonts w:ascii="宋体" w:hAnsi="宋体" w:cs="宋体"/>
          <w:kern w:val="0"/>
          <w:sz w:val="20"/>
        </w:rPr>
      </w:pPr>
      <w:r>
        <w:rPr>
          <w:rFonts w:hint="eastAsia" w:ascii="宋体" w:hAnsi="宋体" w:cs="宋体"/>
          <w:kern w:val="0"/>
          <w:sz w:val="20"/>
        </w:rPr>
        <w:t>三、乙方</w:t>
      </w:r>
      <w:r>
        <w:rPr>
          <w:rFonts w:hint="eastAsia"/>
          <w:color w:val="000000"/>
          <w:sz w:val="20"/>
        </w:rPr>
        <w:t>指定</w:t>
      </w:r>
      <w:r>
        <w:rPr>
          <w:rFonts w:hint="eastAsia"/>
          <w:color w:val="000000"/>
          <w:sz w:val="20"/>
          <w:u w:val="single"/>
        </w:rPr>
        <w:t xml:space="preserve">               </w:t>
      </w:r>
      <w:r>
        <w:rPr>
          <w:rFonts w:hint="eastAsia"/>
          <w:color w:val="000000"/>
          <w:sz w:val="20"/>
        </w:rPr>
        <w:t xml:space="preserve"> 作为业务代表洽谈业务。乙方代表及其工作人员不得以任何借口和形式向甲方工作人员赠送礼品、礼金，报销</w:t>
      </w:r>
      <w:r>
        <w:rPr>
          <w:rFonts w:hint="eastAsia" w:ascii="宋体" w:hAnsi="宋体" w:cs="宋体"/>
          <w:kern w:val="0"/>
          <w:sz w:val="20"/>
        </w:rPr>
        <w:t>甲方人员开支的发票等，不得以各种名目安排甲方工作人员参加影响公正执行公务的宴请和高消费娱乐活动和境内、外旅游。</w:t>
      </w:r>
    </w:p>
    <w:p>
      <w:pPr>
        <w:spacing w:line="360" w:lineRule="auto"/>
        <w:ind w:firstLine="300" w:firstLineChars="150"/>
        <w:rPr>
          <w:rFonts w:ascii="宋体" w:hAnsi="宋体" w:cs="宋体"/>
          <w:kern w:val="0"/>
          <w:sz w:val="20"/>
        </w:rPr>
      </w:pPr>
      <w:r>
        <w:rPr>
          <w:rFonts w:hint="eastAsia" w:ascii="宋体" w:hAnsi="宋体" w:cs="宋体"/>
          <w:kern w:val="0"/>
          <w:sz w:val="20"/>
        </w:rPr>
        <w:t>四、甲方工作人员如违反本协议规定，将视情节轻重给予党纪、政纪处分，涉嫌犯罪的移交司法机关追究刑事责任。乙方工作人员违反本协议规定，将视情节轻重予以罚款、终止采购合同，涉嫌犯罪的移交司法机关追究刑事责任。给对方造成经济损失的，应予以赔偿。</w:t>
      </w:r>
    </w:p>
    <w:p>
      <w:pPr>
        <w:spacing w:line="360" w:lineRule="auto"/>
        <w:rPr>
          <w:rFonts w:ascii="宋体" w:hAnsi="宋体" w:cs="宋体"/>
          <w:kern w:val="0"/>
          <w:sz w:val="20"/>
        </w:rPr>
      </w:pPr>
      <w:r>
        <w:rPr>
          <w:rFonts w:hint="eastAsia" w:ascii="宋体" w:hAnsi="宋体" w:cs="宋体"/>
          <w:kern w:val="0"/>
          <w:sz w:val="20"/>
        </w:rPr>
        <w:t>  五、本协议与物资采购合同一并签订并具同等法律效力。一式二份，甲、乙双方各执一份。本协议自双方签字即刻生效。</w:t>
      </w:r>
    </w:p>
    <w:p>
      <w:pPr>
        <w:spacing w:line="360" w:lineRule="auto"/>
        <w:rPr>
          <w:rFonts w:ascii="宋体" w:hAnsi="宋体" w:cs="宋体"/>
          <w:kern w:val="0"/>
          <w:sz w:val="20"/>
        </w:rPr>
      </w:pPr>
    </w:p>
    <w:p>
      <w:pPr>
        <w:spacing w:line="360" w:lineRule="auto"/>
        <w:rPr>
          <w:rFonts w:ascii="宋体" w:hAnsi="宋体" w:cs="宋体"/>
          <w:kern w:val="0"/>
          <w:sz w:val="20"/>
        </w:rPr>
      </w:pPr>
      <w:r>
        <w:rPr>
          <w:rFonts w:hint="eastAsia" w:ascii="宋体" w:hAnsi="宋体" w:cs="宋体"/>
          <w:kern w:val="0"/>
          <w:sz w:val="20"/>
        </w:rPr>
        <w:t>甲方单位（公章）           法定代表人（或分管领导）签名：</w:t>
      </w:r>
    </w:p>
    <w:p>
      <w:pPr>
        <w:spacing w:line="360" w:lineRule="auto"/>
        <w:rPr>
          <w:rFonts w:ascii="宋体" w:hAnsi="宋体" w:cs="宋体"/>
          <w:kern w:val="0"/>
          <w:sz w:val="20"/>
        </w:rPr>
      </w:pPr>
      <w:r>
        <w:rPr>
          <w:rFonts w:hint="eastAsia" w:ascii="宋体" w:hAnsi="宋体" w:cs="宋体"/>
          <w:kern w:val="0"/>
          <w:sz w:val="20"/>
        </w:rPr>
        <w:t xml:space="preserve">                           经办人签名：</w:t>
      </w:r>
    </w:p>
    <w:p>
      <w:pPr>
        <w:widowControl/>
        <w:spacing w:before="100" w:beforeAutospacing="1" w:after="100" w:afterAutospacing="1" w:line="360" w:lineRule="auto"/>
        <w:ind w:firstLine="4724" w:firstLineChars="2362"/>
        <w:rPr>
          <w:rFonts w:ascii="宋体" w:hAnsi="宋体" w:cs="宋体"/>
          <w:kern w:val="0"/>
          <w:sz w:val="20"/>
        </w:rPr>
      </w:pPr>
      <w:r>
        <w:rPr>
          <w:rFonts w:hint="eastAsia" w:ascii="宋体" w:hAnsi="宋体" w:cs="宋体"/>
          <w:kern w:val="0"/>
          <w:sz w:val="20"/>
        </w:rPr>
        <w:t>年       月       日</w:t>
      </w:r>
    </w:p>
    <w:p>
      <w:pPr>
        <w:spacing w:line="360" w:lineRule="auto"/>
        <w:rPr>
          <w:rFonts w:ascii="宋体" w:hAnsi="宋体" w:cs="宋体"/>
          <w:kern w:val="0"/>
          <w:sz w:val="20"/>
        </w:rPr>
      </w:pPr>
    </w:p>
    <w:p>
      <w:pPr>
        <w:spacing w:line="360" w:lineRule="auto"/>
        <w:rPr>
          <w:rFonts w:ascii="宋体" w:hAnsi="宋体" w:cs="宋体"/>
          <w:kern w:val="0"/>
          <w:sz w:val="20"/>
        </w:rPr>
      </w:pPr>
      <w:r>
        <w:rPr>
          <w:rFonts w:hint="eastAsia" w:ascii="宋体" w:hAnsi="宋体" w:cs="宋体"/>
          <w:kern w:val="0"/>
          <w:sz w:val="20"/>
        </w:rPr>
        <w:t>乙方单位（公章）           法定代表人签名：</w:t>
      </w:r>
    </w:p>
    <w:p>
      <w:pPr>
        <w:spacing w:line="360" w:lineRule="auto"/>
        <w:rPr>
          <w:rFonts w:ascii="宋体" w:hAnsi="宋体" w:cs="宋体"/>
          <w:kern w:val="0"/>
          <w:sz w:val="20"/>
        </w:rPr>
      </w:pPr>
      <w:r>
        <w:rPr>
          <w:rFonts w:hint="eastAsia" w:ascii="宋体" w:hAnsi="宋体" w:cs="宋体"/>
          <w:kern w:val="0"/>
          <w:sz w:val="20"/>
        </w:rPr>
        <w:t xml:space="preserve">                           授权代表签名：</w:t>
      </w:r>
    </w:p>
    <w:p>
      <w:pPr>
        <w:widowControl/>
        <w:spacing w:before="100" w:beforeAutospacing="1" w:after="100" w:afterAutospacing="1" w:line="360" w:lineRule="auto"/>
        <w:ind w:firstLine="2310"/>
        <w:jc w:val="center"/>
        <w:rPr>
          <w:rFonts w:hint="eastAsia" w:ascii="宋体" w:hAnsi="宋体" w:cs="宋体"/>
          <w:kern w:val="0"/>
          <w:sz w:val="20"/>
        </w:rPr>
      </w:pPr>
      <w:r>
        <w:rPr>
          <w:rFonts w:hint="eastAsia" w:ascii="宋体" w:hAnsi="宋体" w:cs="宋体"/>
          <w:kern w:val="0"/>
          <w:sz w:val="20"/>
        </w:rPr>
        <w:t xml:space="preserve">          年       月       日</w:t>
      </w:r>
    </w:p>
    <w:p>
      <w:pPr>
        <w:spacing w:line="360" w:lineRule="auto"/>
        <w:rPr>
          <w:rFonts w:hint="eastAsia"/>
          <w:b/>
          <w:sz w:val="24"/>
        </w:rPr>
      </w:pPr>
    </w:p>
    <w:p>
      <w:pPr>
        <w:rPr>
          <w:rFonts w:hint="eastAsia"/>
          <w:b/>
          <w:sz w:val="24"/>
        </w:rPr>
      </w:pPr>
      <w:r>
        <w:rPr>
          <w:rFonts w:hint="eastAsia"/>
          <w:b/>
          <w:sz w:val="24"/>
        </w:rPr>
        <w:br w:type="page"/>
      </w:r>
    </w:p>
    <w:p>
      <w:pPr>
        <w:spacing w:line="360" w:lineRule="auto"/>
        <w:rPr>
          <w:rFonts w:hint="eastAsia"/>
          <w:b/>
          <w:sz w:val="24"/>
        </w:rPr>
      </w:pPr>
      <w:r>
        <w:rPr>
          <w:rFonts w:hint="eastAsia"/>
          <w:b/>
          <w:sz w:val="24"/>
          <w:lang w:val="en-US" w:eastAsia="zh-CN"/>
        </w:rPr>
        <w:t>1、</w:t>
      </w:r>
      <w:r>
        <w:rPr>
          <w:rFonts w:hint="eastAsia"/>
          <w:b/>
          <w:sz w:val="24"/>
        </w:rPr>
        <w:t>供应商资格承诺函</w:t>
      </w:r>
    </w:p>
    <w:p>
      <w:pPr>
        <w:spacing w:line="360" w:lineRule="auto"/>
        <w:rPr>
          <w:rFonts w:hint="eastAsia" w:ascii="宋体" w:hAnsi="宋体" w:cs="宋体"/>
          <w:kern w:val="0"/>
          <w:sz w:val="24"/>
        </w:rPr>
      </w:pPr>
    </w:p>
    <w:p>
      <w:pPr>
        <w:snapToGrid w:val="0"/>
        <w:spacing w:line="360" w:lineRule="auto"/>
        <w:jc w:val="center"/>
        <w:rPr>
          <w:rFonts w:hint="eastAsia" w:ascii="宋体" w:hAnsi="宋体"/>
          <w:sz w:val="24"/>
        </w:rPr>
      </w:pPr>
      <w:r>
        <w:rPr>
          <w:rFonts w:hint="eastAsia"/>
          <w:b/>
          <w:sz w:val="30"/>
          <w:szCs w:val="30"/>
        </w:rPr>
        <w:t>供应商资格承诺函</w:t>
      </w:r>
    </w:p>
    <w:p>
      <w:pPr>
        <w:snapToGrid w:val="0"/>
        <w:spacing w:line="360" w:lineRule="auto"/>
        <w:rPr>
          <w:rFonts w:ascii="宋体" w:hAnsi="宋体"/>
          <w:sz w:val="24"/>
          <w:szCs w:val="20"/>
        </w:rPr>
      </w:pPr>
      <w:r>
        <w:rPr>
          <w:rFonts w:hint="eastAsia" w:ascii="宋体" w:hAnsi="宋体"/>
          <w:sz w:val="24"/>
        </w:rPr>
        <w:t>致：</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w:t>
      </w:r>
    </w:p>
    <w:p>
      <w:pPr>
        <w:snapToGrid w:val="0"/>
        <w:spacing w:line="360" w:lineRule="auto"/>
        <w:ind w:firstLine="720" w:firstLineChars="300"/>
        <w:rPr>
          <w:rFonts w:ascii="宋体" w:hAnsi="宋体"/>
          <w:sz w:val="24"/>
          <w:szCs w:val="20"/>
        </w:rPr>
      </w:pP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（供应商名称）符合参加本次政府采购活动的资格条件并承诺如下。</w:t>
      </w:r>
    </w:p>
    <w:p>
      <w:pPr>
        <w:snapToGrid w:val="0"/>
        <w:spacing w:line="360" w:lineRule="auto"/>
        <w:ind w:firstLine="480" w:firstLineChars="200"/>
        <w:rPr>
          <w:rFonts w:hint="eastAsia" w:ascii="宋体" w:hAnsi="宋体"/>
          <w:sz w:val="24"/>
        </w:rPr>
      </w:pPr>
      <w:r>
        <w:rPr>
          <w:rFonts w:hint="eastAsia" w:ascii="宋体" w:hAnsi="宋体"/>
          <w:sz w:val="24"/>
        </w:rPr>
        <w:t>一、满足《中华人民共和国政府采购法》第二十二条规定</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具有独立承担民事责任的能力；</w:t>
      </w:r>
      <w:r>
        <w:rPr>
          <w:rFonts w:ascii="宋体" w:hAnsi="宋体" w:cs="宋体"/>
          <w:kern w:val="0"/>
          <w:sz w:val="24"/>
        </w:rPr>
        <w:br w:type="textWrapping"/>
      </w:r>
      <w:r>
        <w:rPr>
          <w:rFonts w:ascii="宋体" w:hAnsi="宋体" w:cs="宋体"/>
          <w:kern w:val="0"/>
          <w:sz w:val="24"/>
        </w:rPr>
        <w:t>  </w:t>
      </w:r>
      <w:r>
        <w:rPr>
          <w:rFonts w:hint="eastAsia" w:ascii="宋体" w:hAnsi="宋体" w:cs="宋体"/>
          <w:kern w:val="0"/>
          <w:sz w:val="24"/>
        </w:rPr>
        <w:t>2、</w:t>
      </w:r>
      <w:r>
        <w:rPr>
          <w:rFonts w:ascii="宋体" w:hAnsi="宋体" w:cs="宋体"/>
          <w:kern w:val="0"/>
          <w:sz w:val="24"/>
        </w:rPr>
        <w:t>具有良好的商业信誉和健全的财务会计制度；</w:t>
      </w:r>
      <w:r>
        <w:rPr>
          <w:rFonts w:ascii="宋体" w:hAnsi="宋体" w:cs="宋体"/>
          <w:kern w:val="0"/>
          <w:sz w:val="24"/>
        </w:rPr>
        <w:br w:type="textWrapping"/>
      </w:r>
      <w:r>
        <w:rPr>
          <w:rFonts w:ascii="宋体" w:hAnsi="宋体" w:cs="宋体"/>
          <w:kern w:val="0"/>
          <w:sz w:val="24"/>
        </w:rPr>
        <w:t>  </w:t>
      </w:r>
      <w:r>
        <w:rPr>
          <w:rFonts w:hint="eastAsia" w:ascii="宋体" w:hAnsi="宋体" w:cs="宋体"/>
          <w:kern w:val="0"/>
          <w:sz w:val="24"/>
        </w:rPr>
        <w:t>3、</w:t>
      </w:r>
      <w:r>
        <w:rPr>
          <w:rFonts w:ascii="宋体" w:hAnsi="宋体" w:cs="宋体"/>
          <w:kern w:val="0"/>
          <w:sz w:val="24"/>
        </w:rPr>
        <w:t>具有履行合同所必需的设备和专业技术能力；</w:t>
      </w:r>
      <w:r>
        <w:rPr>
          <w:rFonts w:ascii="宋体" w:hAnsi="宋体" w:cs="宋体"/>
          <w:kern w:val="0"/>
          <w:sz w:val="24"/>
        </w:rPr>
        <w:br w:type="textWrapping"/>
      </w:r>
      <w:r>
        <w:rPr>
          <w:rFonts w:ascii="宋体" w:hAnsi="宋体" w:cs="宋体"/>
          <w:kern w:val="0"/>
          <w:sz w:val="24"/>
        </w:rPr>
        <w:t>  </w:t>
      </w:r>
      <w:r>
        <w:rPr>
          <w:rFonts w:hint="eastAsia" w:ascii="宋体" w:hAnsi="宋体" w:cs="宋体"/>
          <w:kern w:val="0"/>
          <w:sz w:val="24"/>
        </w:rPr>
        <w:t>4、</w:t>
      </w:r>
      <w:r>
        <w:rPr>
          <w:rFonts w:ascii="宋体" w:hAnsi="宋体" w:cs="宋体"/>
          <w:kern w:val="0"/>
          <w:sz w:val="24"/>
        </w:rPr>
        <w:t>有依法缴纳税收和社会保障资金的良好记录；</w:t>
      </w:r>
      <w:r>
        <w:rPr>
          <w:rFonts w:ascii="宋体" w:hAnsi="宋体" w:cs="宋体"/>
          <w:kern w:val="0"/>
          <w:sz w:val="24"/>
        </w:rPr>
        <w:br w:type="textWrapping"/>
      </w:r>
      <w:r>
        <w:rPr>
          <w:rFonts w:ascii="宋体" w:hAnsi="宋体" w:cs="宋体"/>
          <w:kern w:val="0"/>
          <w:sz w:val="24"/>
        </w:rPr>
        <w:t>  </w:t>
      </w:r>
      <w:r>
        <w:rPr>
          <w:rFonts w:hint="eastAsia" w:ascii="宋体" w:hAnsi="宋体" w:cs="宋体"/>
          <w:kern w:val="0"/>
          <w:sz w:val="24"/>
        </w:rPr>
        <w:t>5、</w:t>
      </w:r>
      <w:r>
        <w:rPr>
          <w:rFonts w:ascii="宋体" w:hAnsi="宋体" w:cs="宋体"/>
          <w:kern w:val="0"/>
          <w:sz w:val="24"/>
        </w:rPr>
        <w:t>参加政府采购活动前三年内，在经营活动中没有重大违法记录；</w:t>
      </w:r>
    </w:p>
    <w:p>
      <w:pPr>
        <w:snapToGrid w:val="0"/>
        <w:spacing w:line="360" w:lineRule="auto"/>
        <w:ind w:firstLine="480" w:firstLineChars="200"/>
        <w:rPr>
          <w:rFonts w:hint="default"/>
          <w:lang w:val="en-US" w:eastAsia="zh-CN"/>
        </w:rPr>
      </w:pPr>
      <w:r>
        <w:rPr>
          <w:rFonts w:hint="eastAsia" w:hAnsi="宋体" w:cs="宋体"/>
          <w:kern w:val="0"/>
          <w:sz w:val="24"/>
          <w:lang w:val="en-US" w:eastAsia="zh-CN"/>
        </w:rPr>
        <w:t>6、</w:t>
      </w:r>
      <w:r>
        <w:rPr>
          <w:rFonts w:hint="eastAsia" w:ascii="宋体" w:hAnsi="宋体" w:cs="宋体"/>
          <w:kern w:val="0"/>
          <w:sz w:val="24"/>
          <w:szCs w:val="24"/>
        </w:rPr>
        <w:t>本项目不接受联合体投标。</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三、满足落实政府采购政策需满足的资格要求：</w:t>
      </w:r>
      <w:r>
        <w:rPr>
          <w:rFonts w:hint="eastAsia" w:ascii="宋体" w:hAnsi="宋体"/>
          <w:b/>
          <w:sz w:val="24"/>
        </w:rPr>
        <w:t>无</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四、满足本项目的特定资格要求：无</w:t>
      </w:r>
    </w:p>
    <w:p>
      <w:pPr>
        <w:snapToGrid w:val="0"/>
        <w:spacing w:line="360" w:lineRule="auto"/>
        <w:ind w:firstLine="480" w:firstLineChars="200"/>
        <w:rPr>
          <w:rFonts w:hint="eastAsia" w:ascii="宋体" w:hAnsi="宋体" w:cs="宋体"/>
          <w:kern w:val="0"/>
          <w:sz w:val="24"/>
        </w:rPr>
      </w:pP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本单位对上述承诺内容的真实性负责。如有虚假，将依法承担相应责任。</w:t>
      </w:r>
    </w:p>
    <w:p>
      <w:pPr>
        <w:spacing w:line="360" w:lineRule="auto"/>
        <w:rPr>
          <w:rFonts w:hint="eastAsia" w:ascii="宋体" w:hAnsi="宋体"/>
          <w:sz w:val="24"/>
        </w:rPr>
      </w:pPr>
    </w:p>
    <w:p>
      <w:pPr>
        <w:spacing w:line="360" w:lineRule="auto"/>
        <w:rPr>
          <w:rFonts w:hint="eastAsia" w:ascii="宋体" w:hAnsi="宋体"/>
          <w:sz w:val="24"/>
        </w:rPr>
      </w:pPr>
    </w:p>
    <w:p>
      <w:pPr>
        <w:pStyle w:val="2"/>
        <w:spacing w:line="360" w:lineRule="auto"/>
        <w:rPr>
          <w:rFonts w:hAnsi="宋体"/>
          <w:sz w:val="24"/>
        </w:rPr>
      </w:pPr>
      <w:r>
        <w:rPr>
          <w:rFonts w:hint="eastAsia" w:hAnsi="宋体"/>
          <w:sz w:val="24"/>
        </w:rPr>
        <w:t>供应商：</w:t>
      </w:r>
      <w:r>
        <w:rPr>
          <w:rFonts w:hAnsi="宋体"/>
          <w:sz w:val="24"/>
          <w:u w:val="single"/>
        </w:rPr>
        <w:t xml:space="preserve">       </w:t>
      </w:r>
      <w:r>
        <w:rPr>
          <w:rFonts w:hint="eastAsia" w:hAnsi="宋体"/>
          <w:sz w:val="24"/>
          <w:u w:val="single"/>
        </w:rPr>
        <w:t>（盖章）</w:t>
      </w:r>
      <w:r>
        <w:rPr>
          <w:rFonts w:hAnsi="宋体"/>
          <w:sz w:val="24"/>
          <w:u w:val="single"/>
        </w:rPr>
        <w:t xml:space="preserve">        </w:t>
      </w:r>
      <w:r>
        <w:rPr>
          <w:rFonts w:hAnsi="宋体"/>
          <w:sz w:val="24"/>
        </w:rPr>
        <w:t xml:space="preserve">                      年    月    日</w:t>
      </w:r>
    </w:p>
    <w:p>
      <w:pPr>
        <w:snapToGrid w:val="0"/>
        <w:spacing w:line="360" w:lineRule="auto"/>
        <w:jc w:val="left"/>
        <w:rPr>
          <w:rFonts w:ascii="宋体" w:hAnsi="宋体"/>
          <w:b/>
          <w:sz w:val="24"/>
          <w:szCs w:val="20"/>
        </w:rPr>
      </w:pPr>
      <w:r>
        <w:br w:type="page"/>
      </w:r>
      <w:r>
        <w:rPr>
          <w:rFonts w:hint="eastAsia"/>
          <w:lang w:val="en-US" w:eastAsia="zh-CN"/>
        </w:rPr>
        <w:t>2、</w:t>
      </w:r>
      <w:r>
        <w:rPr>
          <w:rFonts w:hint="eastAsia" w:ascii="宋体" w:hAnsi="宋体"/>
          <w:b/>
          <w:sz w:val="24"/>
        </w:rPr>
        <w:t>法定代表人授权委托书格式：</w:t>
      </w:r>
    </w:p>
    <w:p>
      <w:pPr>
        <w:snapToGrid w:val="0"/>
        <w:spacing w:line="360" w:lineRule="auto"/>
        <w:jc w:val="center"/>
        <w:rPr>
          <w:rFonts w:hint="eastAsia" w:ascii="宋体" w:hAnsi="宋体"/>
          <w:b/>
          <w:sz w:val="32"/>
          <w:szCs w:val="32"/>
        </w:rPr>
      </w:pPr>
    </w:p>
    <w:p>
      <w:pPr>
        <w:snapToGrid w:val="0"/>
        <w:spacing w:line="360" w:lineRule="auto"/>
        <w:jc w:val="center"/>
        <w:rPr>
          <w:rFonts w:hint="eastAsia" w:ascii="宋体" w:hAnsi="宋体"/>
          <w:b/>
          <w:sz w:val="32"/>
          <w:szCs w:val="32"/>
        </w:rPr>
      </w:pPr>
    </w:p>
    <w:p>
      <w:pPr>
        <w:snapToGrid w:val="0"/>
        <w:spacing w:line="360" w:lineRule="auto"/>
        <w:jc w:val="center"/>
        <w:rPr>
          <w:rFonts w:ascii="宋体" w:hAnsi="宋体"/>
          <w:b/>
          <w:sz w:val="32"/>
          <w:szCs w:val="32"/>
        </w:rPr>
      </w:pPr>
      <w:r>
        <w:rPr>
          <w:rFonts w:hint="eastAsia" w:ascii="宋体" w:hAnsi="宋体"/>
          <w:b/>
          <w:sz w:val="32"/>
          <w:szCs w:val="32"/>
        </w:rPr>
        <w:t>法定代表人授权委托书</w:t>
      </w:r>
    </w:p>
    <w:p>
      <w:pPr>
        <w:snapToGrid w:val="0"/>
        <w:spacing w:line="360" w:lineRule="auto"/>
        <w:rPr>
          <w:rFonts w:ascii="宋体" w:hAnsi="宋体"/>
          <w:b/>
          <w:bCs/>
          <w:sz w:val="24"/>
          <w:szCs w:val="20"/>
        </w:rPr>
      </w:pPr>
      <w:r>
        <w:rPr>
          <w:rFonts w:hint="eastAsia" w:ascii="宋体" w:hAnsi="宋体"/>
          <w:b/>
          <w:bCs/>
          <w:sz w:val="24"/>
        </w:rPr>
        <w:t>致：</w:t>
      </w:r>
      <w:r>
        <w:rPr>
          <w:rFonts w:ascii="宋体" w:hAnsi="宋体"/>
          <w:b/>
          <w:sz w:val="24"/>
        </w:rPr>
        <w:t>______</w:t>
      </w:r>
      <w:r>
        <w:rPr>
          <w:rFonts w:ascii="宋体" w:hAnsi="宋体"/>
          <w:b/>
          <w:sz w:val="24"/>
          <w:u w:val="single"/>
        </w:rPr>
        <w:t>_     _</w:t>
      </w:r>
      <w:r>
        <w:rPr>
          <w:rFonts w:ascii="宋体" w:hAnsi="宋体"/>
          <w:b/>
          <w:sz w:val="24"/>
        </w:rPr>
        <w:t>_</w:t>
      </w:r>
      <w:r>
        <w:rPr>
          <w:rFonts w:hint="eastAsia" w:ascii="宋体" w:hAnsi="宋体"/>
          <w:b/>
          <w:sz w:val="24"/>
        </w:rPr>
        <w:t>（代理机构名称）</w:t>
      </w:r>
      <w:r>
        <w:rPr>
          <w:rFonts w:ascii="宋体" w:hAnsi="宋体"/>
          <w:b/>
          <w:bCs/>
          <w:sz w:val="24"/>
        </w:rPr>
        <w:t xml:space="preserve"> </w:t>
      </w:r>
      <w:r>
        <w:rPr>
          <w:rFonts w:hint="eastAsia" w:ascii="宋体" w:hAnsi="宋体"/>
          <w:b/>
          <w:sz w:val="24"/>
        </w:rPr>
        <w:t>：</w:t>
      </w:r>
    </w:p>
    <w:p>
      <w:pPr>
        <w:snapToGrid w:val="0"/>
        <w:spacing w:line="360" w:lineRule="auto"/>
        <w:ind w:firstLine="720" w:firstLineChars="300"/>
        <w:rPr>
          <w:rFonts w:ascii="宋体" w:hAnsi="宋体"/>
          <w:sz w:val="24"/>
        </w:rPr>
      </w:pPr>
    </w:p>
    <w:p>
      <w:pPr>
        <w:snapToGrid w:val="0"/>
        <w:spacing w:line="360" w:lineRule="auto"/>
        <w:ind w:firstLine="720" w:firstLineChars="300"/>
        <w:rPr>
          <w:rFonts w:ascii="宋体" w:hAnsi="宋体"/>
          <w:sz w:val="24"/>
          <w:szCs w:val="20"/>
        </w:rPr>
      </w:pPr>
      <w:r>
        <w:rPr>
          <w:rFonts w:hint="eastAsia" w:ascii="宋体" w:hAnsi="宋体"/>
          <w:sz w:val="24"/>
        </w:rPr>
        <w:t>我</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（姓名）系</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（供应商名称）的法定代表人，现授权委托本单位在职职工</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（姓名）以我方的名义参加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项目的磋商活动，并代表我方全权办理针对上述项目的磋商、签约等具体事务和签署相关文件。</w:t>
      </w:r>
    </w:p>
    <w:p>
      <w:pPr>
        <w:snapToGrid w:val="0"/>
        <w:spacing w:line="360" w:lineRule="auto"/>
        <w:rPr>
          <w:rFonts w:ascii="宋体" w:hAnsi="宋体"/>
          <w:sz w:val="24"/>
          <w:szCs w:val="20"/>
        </w:rPr>
      </w:pPr>
      <w:r>
        <w:rPr>
          <w:rFonts w:ascii="宋体" w:hAnsi="宋体"/>
          <w:sz w:val="24"/>
        </w:rPr>
        <w:t xml:space="preserve">    </w:t>
      </w:r>
      <w:r>
        <w:rPr>
          <w:rFonts w:hint="eastAsia" w:ascii="宋体" w:hAnsi="宋体"/>
          <w:sz w:val="24"/>
        </w:rPr>
        <w:t>我方对被授权人的签名事项负全部责任。</w:t>
      </w:r>
    </w:p>
    <w:p>
      <w:pPr>
        <w:snapToGrid w:val="0"/>
        <w:spacing w:line="360" w:lineRule="auto"/>
        <w:ind w:firstLine="480"/>
        <w:rPr>
          <w:rFonts w:ascii="宋体" w:hAnsi="宋体"/>
          <w:sz w:val="24"/>
          <w:szCs w:val="20"/>
        </w:rPr>
      </w:pPr>
    </w:p>
    <w:p>
      <w:pPr>
        <w:snapToGrid w:val="0"/>
        <w:spacing w:line="360" w:lineRule="auto"/>
        <w:ind w:firstLine="480"/>
        <w:rPr>
          <w:rFonts w:ascii="宋体" w:hAnsi="宋体"/>
          <w:sz w:val="24"/>
          <w:szCs w:val="20"/>
        </w:rPr>
      </w:pPr>
      <w:r>
        <w:rPr>
          <w:rFonts w:hint="eastAsia" w:ascii="宋体" w:hAnsi="宋体"/>
          <w:sz w:val="24"/>
        </w:rPr>
        <w:t>被授权人无转委托权，特此委托。</w:t>
      </w:r>
    </w:p>
    <w:p>
      <w:pPr>
        <w:snapToGrid w:val="0"/>
        <w:spacing w:line="360" w:lineRule="auto"/>
        <w:rPr>
          <w:rFonts w:ascii="宋体" w:hAnsi="宋体"/>
          <w:sz w:val="24"/>
          <w:szCs w:val="20"/>
        </w:rPr>
      </w:pPr>
    </w:p>
    <w:p>
      <w:pPr>
        <w:snapToGrid w:val="0"/>
        <w:spacing w:line="360" w:lineRule="auto"/>
        <w:rPr>
          <w:rFonts w:ascii="宋体" w:hAnsi="宋体"/>
          <w:sz w:val="24"/>
          <w:szCs w:val="20"/>
          <w:u w:val="single"/>
        </w:rPr>
      </w:pPr>
      <w:r>
        <w:rPr>
          <w:rFonts w:hint="eastAsia" w:ascii="宋体" w:hAnsi="宋体"/>
          <w:sz w:val="24"/>
        </w:rPr>
        <w:t>被授权人：</w:t>
      </w:r>
      <w:r>
        <w:rPr>
          <w:rFonts w:ascii="宋体" w:hAnsi="宋体"/>
          <w:sz w:val="24"/>
          <w:u w:val="single"/>
        </w:rPr>
        <w:t xml:space="preserve">  </w:t>
      </w:r>
      <w:r>
        <w:rPr>
          <w:rFonts w:hint="eastAsia" w:ascii="宋体" w:hAnsi="宋体"/>
          <w:spacing w:val="20"/>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法定代表人：</w:t>
      </w:r>
      <w:r>
        <w:rPr>
          <w:rFonts w:ascii="宋体" w:hAnsi="宋体"/>
          <w:sz w:val="24"/>
          <w:u w:val="single"/>
        </w:rPr>
        <w:t xml:space="preserve"> </w:t>
      </w:r>
      <w:r>
        <w:rPr>
          <w:rFonts w:hint="eastAsia" w:ascii="宋体" w:hAnsi="宋体"/>
          <w:spacing w:val="20"/>
          <w:sz w:val="24"/>
          <w:u w:val="single"/>
        </w:rPr>
        <w:t xml:space="preserve">             </w:t>
      </w:r>
      <w:r>
        <w:rPr>
          <w:rFonts w:ascii="宋体" w:hAnsi="宋体"/>
          <w:sz w:val="24"/>
          <w:u w:val="single"/>
        </w:rPr>
        <w:t xml:space="preserve"> </w:t>
      </w:r>
    </w:p>
    <w:p>
      <w:pPr>
        <w:snapToGrid w:val="0"/>
        <w:spacing w:line="360" w:lineRule="auto"/>
        <w:rPr>
          <w:rFonts w:ascii="宋体" w:hAnsi="宋体"/>
          <w:sz w:val="24"/>
          <w:szCs w:val="20"/>
        </w:rPr>
      </w:pPr>
      <w:r>
        <w:rPr>
          <w:rFonts w:hint="eastAsia" w:ascii="宋体" w:hAnsi="宋体"/>
          <w:sz w:val="24"/>
        </w:rPr>
        <w:t>职务：</w:t>
      </w:r>
      <w:r>
        <w:rPr>
          <w:rFonts w:ascii="宋体" w:hAnsi="宋体"/>
          <w:sz w:val="24"/>
          <w:u w:val="single"/>
        </w:rPr>
        <w:t xml:space="preserve">           </w:t>
      </w:r>
      <w:r>
        <w:rPr>
          <w:rFonts w:ascii="宋体" w:hAnsi="宋体"/>
          <w:sz w:val="24"/>
        </w:rPr>
        <w:t xml:space="preserve">                   </w:t>
      </w:r>
      <w:r>
        <w:rPr>
          <w:rFonts w:hint="eastAsia" w:ascii="宋体" w:hAnsi="宋体"/>
          <w:sz w:val="24"/>
        </w:rPr>
        <w:t>职务：</w:t>
      </w:r>
      <w:r>
        <w:rPr>
          <w:rFonts w:ascii="宋体" w:hAnsi="宋体"/>
          <w:sz w:val="24"/>
          <w:u w:val="single"/>
        </w:rPr>
        <w:t xml:space="preserve">           </w:t>
      </w:r>
    </w:p>
    <w:p>
      <w:pPr>
        <w:snapToGrid w:val="0"/>
        <w:spacing w:line="360" w:lineRule="auto"/>
        <w:rPr>
          <w:rFonts w:ascii="宋体" w:hAnsi="宋体"/>
          <w:sz w:val="24"/>
        </w:rPr>
      </w:pPr>
      <w:r>
        <w:rPr>
          <w:rFonts w:hint="eastAsia" w:ascii="宋体" w:hAnsi="宋体"/>
          <w:sz w:val="24"/>
        </w:rPr>
        <w:t>被授权人身份证号码：</w:t>
      </w:r>
      <w:r>
        <w:rPr>
          <w:rFonts w:ascii="宋体" w:hAnsi="宋体"/>
          <w:sz w:val="24"/>
          <w:u w:val="single"/>
        </w:rPr>
        <w:t xml:space="preserve">                             </w:t>
      </w:r>
      <w:r>
        <w:rPr>
          <w:rFonts w:ascii="宋体" w:hAnsi="宋体"/>
          <w:sz w:val="24"/>
        </w:rPr>
        <w:t xml:space="preserve"> </w:t>
      </w:r>
    </w:p>
    <w:p>
      <w:pPr>
        <w:snapToGrid w:val="0"/>
        <w:spacing w:line="360" w:lineRule="auto"/>
        <w:rPr>
          <w:rFonts w:ascii="宋体" w:hAnsi="宋体"/>
          <w:sz w:val="24"/>
          <w:szCs w:val="20"/>
        </w:rPr>
      </w:pPr>
      <w:r>
        <w:rPr>
          <w:rFonts w:hint="eastAsia" w:ascii="宋体" w:hAnsi="宋体"/>
          <w:sz w:val="24"/>
        </w:rPr>
        <w:t>（附被授权人身份证正反双面复印件）</w:t>
      </w:r>
    </w:p>
    <w:p>
      <w:pPr>
        <w:snapToGrid w:val="0"/>
        <w:spacing w:line="360" w:lineRule="auto"/>
        <w:rPr>
          <w:rFonts w:ascii="宋体" w:hAnsi="宋体"/>
          <w:sz w:val="24"/>
          <w:szCs w:val="20"/>
          <w:u w:val="single"/>
        </w:rPr>
      </w:pPr>
      <w:r>
        <w:rPr>
          <w:rFonts w:ascii="宋体" w:hAnsi="宋体"/>
          <w:sz w:val="24"/>
        </w:rPr>
        <w:t xml:space="preserve">                                     </w:t>
      </w:r>
      <w:r>
        <w:rPr>
          <w:rFonts w:hint="eastAsia" w:ascii="宋体" w:hAnsi="宋体"/>
          <w:sz w:val="24"/>
        </w:rPr>
        <w:t>供应商名称：</w:t>
      </w:r>
      <w:r>
        <w:rPr>
          <w:rFonts w:hint="eastAsia" w:ascii="宋体" w:hAnsi="宋体"/>
          <w:sz w:val="24"/>
          <w:u w:val="single"/>
        </w:rPr>
        <w:t xml:space="preserve">      （盖章）    </w:t>
      </w:r>
    </w:p>
    <w:p>
      <w:pPr>
        <w:snapToGrid w:val="0"/>
        <w:spacing w:line="360" w:lineRule="auto"/>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napToGrid w:val="0"/>
        <w:spacing w:line="360" w:lineRule="auto"/>
        <w:rPr>
          <w:rFonts w:ascii="宋体" w:hAnsi="宋体"/>
          <w:sz w:val="24"/>
          <w:szCs w:val="20"/>
        </w:rPr>
      </w:pPr>
    </w:p>
    <w:p>
      <w:pPr>
        <w:snapToGrid w:val="0"/>
        <w:spacing w:line="360" w:lineRule="auto"/>
        <w:rPr>
          <w:rFonts w:ascii="宋体" w:hAnsi="宋体"/>
        </w:rPr>
        <w:sectPr>
          <w:headerReference r:id="rId4" w:type="first"/>
          <w:footerReference r:id="rId6" w:type="first"/>
          <w:footerReference r:id="rId5" w:type="even"/>
          <w:pgSz w:w="11906" w:h="16838"/>
          <w:pgMar w:top="1474" w:right="1797" w:bottom="1247" w:left="1797" w:header="851" w:footer="851" w:gutter="0"/>
          <w:cols w:space="720" w:num="1"/>
          <w:docGrid w:linePitch="312" w:charSpace="0"/>
        </w:sectPr>
      </w:pPr>
    </w:p>
    <w:p>
      <w:pPr>
        <w:snapToGrid w:val="0"/>
        <w:spacing w:line="360" w:lineRule="auto"/>
        <w:rPr>
          <w:rFonts w:ascii="宋体" w:hAnsi="宋体"/>
          <w:b/>
          <w:sz w:val="24"/>
          <w:szCs w:val="20"/>
        </w:rPr>
      </w:pPr>
      <w:r>
        <w:rPr>
          <w:rFonts w:hint="eastAsia" w:ascii="宋体" w:hAnsi="宋体"/>
          <w:b/>
          <w:sz w:val="24"/>
          <w:lang w:val="en-US" w:eastAsia="zh-CN"/>
        </w:rPr>
        <w:t>3</w:t>
      </w:r>
      <w:r>
        <w:rPr>
          <w:rFonts w:hint="eastAsia" w:ascii="宋体" w:hAnsi="宋体"/>
          <w:b/>
          <w:sz w:val="24"/>
        </w:rPr>
        <w:t>.商务响应表格式</w:t>
      </w:r>
    </w:p>
    <w:p>
      <w:pPr>
        <w:snapToGrid w:val="0"/>
        <w:spacing w:line="360" w:lineRule="auto"/>
        <w:jc w:val="center"/>
        <w:rPr>
          <w:rFonts w:hint="eastAsia" w:ascii="宋体" w:hAnsi="宋体"/>
          <w:sz w:val="32"/>
          <w:szCs w:val="32"/>
        </w:rPr>
      </w:pPr>
      <w:r>
        <w:rPr>
          <w:rFonts w:hint="eastAsia" w:ascii="宋体" w:hAnsi="宋体"/>
          <w:b/>
          <w:sz w:val="32"/>
          <w:szCs w:val="32"/>
        </w:rPr>
        <w:t>商务响应表</w:t>
      </w:r>
    </w:p>
    <w:p>
      <w:pPr>
        <w:snapToGrid w:val="0"/>
        <w:spacing w:line="360" w:lineRule="auto"/>
        <w:jc w:val="left"/>
        <w:rPr>
          <w:rFonts w:ascii="宋体" w:hAnsi="宋体"/>
          <w:sz w:val="24"/>
          <w:szCs w:val="20"/>
          <w:u w:val="single"/>
        </w:rPr>
      </w:pPr>
      <w:r>
        <w:rPr>
          <w:rFonts w:hint="eastAsia" w:hAnsi="宋体"/>
          <w:sz w:val="24"/>
        </w:rPr>
        <w:t>项目编号</w:t>
      </w:r>
      <w:r>
        <w:rPr>
          <w:rFonts w:hint="eastAsia" w:ascii="宋体" w:hAnsi="宋体"/>
          <w:sz w:val="24"/>
        </w:rPr>
        <w:t>：</w:t>
      </w:r>
      <w:r>
        <w:rPr>
          <w:rFonts w:ascii="宋体" w:hAnsi="宋体"/>
          <w:sz w:val="24"/>
          <w:u w:val="single"/>
        </w:rPr>
        <w:t xml:space="preserve">              </w:t>
      </w:r>
    </w:p>
    <w:tbl>
      <w:tblPr>
        <w:tblStyle w:val="14"/>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1836"/>
        <w:gridCol w:w="3528"/>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008"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jc w:val="center"/>
              <w:rPr>
                <w:rFonts w:hint="eastAsia" w:hAnsi="宋体"/>
                <w:kern w:val="2"/>
                <w:szCs w:val="21"/>
                <w:lang w:val="en-US" w:eastAsia="zh-CN"/>
              </w:rPr>
            </w:pPr>
            <w:r>
              <w:rPr>
                <w:rFonts w:hint="eastAsia" w:hAnsi="宋体"/>
                <w:kern w:val="2"/>
                <w:szCs w:val="21"/>
                <w:lang w:val="en-US" w:eastAsia="zh-CN"/>
              </w:rPr>
              <w:t>序号</w:t>
            </w:r>
          </w:p>
        </w:tc>
        <w:tc>
          <w:tcPr>
            <w:tcW w:w="1836"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jc w:val="center"/>
              <w:rPr>
                <w:rFonts w:hAnsi="宋体"/>
                <w:kern w:val="2"/>
                <w:szCs w:val="21"/>
                <w:lang w:val="en-US" w:eastAsia="zh-CN"/>
              </w:rPr>
            </w:pPr>
            <w:r>
              <w:rPr>
                <w:rFonts w:hAnsi="宋体"/>
                <w:kern w:val="2"/>
                <w:szCs w:val="21"/>
                <w:lang w:val="en-US" w:eastAsia="zh-CN"/>
              </w:rPr>
              <w:t>采购文件要求</w:t>
            </w:r>
          </w:p>
        </w:tc>
        <w:tc>
          <w:tcPr>
            <w:tcW w:w="3528"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jc w:val="center"/>
              <w:rPr>
                <w:rFonts w:hAnsi="宋体"/>
                <w:kern w:val="2"/>
                <w:szCs w:val="21"/>
                <w:lang w:val="en-US" w:eastAsia="zh-CN"/>
              </w:rPr>
            </w:pPr>
            <w:r>
              <w:rPr>
                <w:rFonts w:hAnsi="宋体"/>
                <w:kern w:val="2"/>
                <w:szCs w:val="21"/>
                <w:lang w:val="en-US" w:eastAsia="zh-CN"/>
              </w:rPr>
              <w:t>响应文件响应</w:t>
            </w:r>
          </w:p>
        </w:tc>
        <w:tc>
          <w:tcPr>
            <w:tcW w:w="2340"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szCs w:val="21"/>
                <w:lang w:val="en-US" w:eastAsia="zh-CN"/>
              </w:rPr>
            </w:pPr>
            <w:r>
              <w:rPr>
                <w:rFonts w:hAnsi="宋体"/>
                <w:kern w:val="2"/>
                <w:szCs w:val="21"/>
                <w:lang w:val="en-US" w:eastAsia="zh-CN"/>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before="0" w:beforeLines="0" w:after="0" w:afterLines="0" w:line="360" w:lineRule="auto"/>
              <w:jc w:val="center"/>
              <w:rPr>
                <w:rFonts w:hAnsi="宋体"/>
                <w:kern w:val="2"/>
                <w:szCs w:val="21"/>
                <w:lang w:val="en-US" w:eastAsia="zh-CN"/>
              </w:rPr>
            </w:pPr>
            <w:r>
              <w:rPr>
                <w:rFonts w:hAnsi="宋体"/>
                <w:kern w:val="2"/>
                <w:szCs w:val="21"/>
                <w:lang w:val="en-US" w:eastAsia="zh-CN"/>
              </w:rPr>
              <w:t>1</w:t>
            </w:r>
          </w:p>
        </w:tc>
        <w:tc>
          <w:tcPr>
            <w:tcW w:w="1836"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before="0" w:beforeLines="0" w:after="0" w:afterLines="0" w:line="360" w:lineRule="auto"/>
              <w:jc w:val="center"/>
              <w:rPr>
                <w:rFonts w:hAnsi="宋体"/>
                <w:kern w:val="2"/>
                <w:szCs w:val="21"/>
                <w:lang w:val="en-US" w:eastAsia="zh-CN"/>
              </w:rPr>
            </w:pPr>
            <w:r>
              <w:rPr>
                <w:rFonts w:hint="eastAsia" w:hAnsi="宋体"/>
                <w:kern w:val="2"/>
                <w:szCs w:val="21"/>
                <w:lang w:val="en-US" w:eastAsia="zh-CN"/>
              </w:rPr>
              <w:t>服务期</w:t>
            </w:r>
          </w:p>
        </w:tc>
        <w:tc>
          <w:tcPr>
            <w:tcW w:w="3528"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jc w:val="center"/>
              <w:rPr>
                <w:rFonts w:hAnsi="宋体"/>
                <w:kern w:val="2"/>
                <w:szCs w:val="21"/>
                <w:lang w:val="en-US" w:eastAsia="zh-CN"/>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szCs w:val="20"/>
              </w:rPr>
            </w:pPr>
            <w:r>
              <w:rPr>
                <w:rFonts w:ascii="宋体" w:hAnsi="宋体"/>
                <w:sz w:val="24"/>
                <w:szCs w:val="20"/>
              </w:rPr>
              <w:t>2</w:t>
            </w:r>
          </w:p>
        </w:tc>
        <w:tc>
          <w:tcPr>
            <w:tcW w:w="18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szCs w:val="20"/>
              </w:rPr>
            </w:pPr>
            <w:r>
              <w:rPr>
                <w:rFonts w:hint="eastAsia" w:ascii="宋体" w:hAnsi="宋体"/>
                <w:sz w:val="24"/>
                <w:szCs w:val="20"/>
              </w:rPr>
              <w:t>付款方式</w:t>
            </w:r>
          </w:p>
        </w:tc>
        <w:tc>
          <w:tcPr>
            <w:tcW w:w="35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szCs w:val="20"/>
              </w:rPr>
            </w:pPr>
            <w:r>
              <w:rPr>
                <w:rFonts w:ascii="宋体" w:hAnsi="宋体"/>
                <w:sz w:val="24"/>
                <w:szCs w:val="20"/>
              </w:rPr>
              <w:t>3</w:t>
            </w:r>
          </w:p>
        </w:tc>
        <w:tc>
          <w:tcPr>
            <w:tcW w:w="18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szCs w:val="20"/>
              </w:rPr>
            </w:pPr>
            <w:r>
              <w:rPr>
                <w:rFonts w:hint="eastAsia" w:ascii="宋体" w:hAnsi="宋体"/>
                <w:sz w:val="24"/>
                <w:szCs w:val="20"/>
              </w:rPr>
              <w:t>合同其他主要条款</w:t>
            </w:r>
          </w:p>
        </w:tc>
        <w:tc>
          <w:tcPr>
            <w:tcW w:w="35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ind w:left="43"/>
              <w:rPr>
                <w:rFonts w:ascii="宋体" w:hAnsi="宋体"/>
                <w:sz w:val="24"/>
                <w:szCs w:val="2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ind w:left="43"/>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szCs w:val="20"/>
              </w:rPr>
            </w:pPr>
            <w:r>
              <w:rPr>
                <w:rFonts w:ascii="宋体" w:hAnsi="宋体"/>
                <w:sz w:val="24"/>
                <w:szCs w:val="20"/>
              </w:rPr>
              <w:t>4</w:t>
            </w:r>
          </w:p>
        </w:tc>
        <w:tc>
          <w:tcPr>
            <w:tcW w:w="18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szCs w:val="20"/>
              </w:rPr>
            </w:pPr>
            <w:r>
              <w:rPr>
                <w:rFonts w:hint="eastAsia" w:ascii="宋体" w:hAnsi="宋体"/>
                <w:sz w:val="24"/>
                <w:szCs w:val="20"/>
              </w:rPr>
              <w:t>其他未列明的商务要求</w:t>
            </w:r>
          </w:p>
        </w:tc>
        <w:tc>
          <w:tcPr>
            <w:tcW w:w="35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c>
          <w:tcPr>
            <w:tcW w:w="183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c>
          <w:tcPr>
            <w:tcW w:w="35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c>
          <w:tcPr>
            <w:tcW w:w="183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c>
          <w:tcPr>
            <w:tcW w:w="35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r>
    </w:tbl>
    <w:p>
      <w:pPr>
        <w:snapToGrid w:val="0"/>
        <w:spacing w:line="360" w:lineRule="auto"/>
        <w:rPr>
          <w:rFonts w:hint="eastAsia" w:ascii="宋体" w:hAnsi="宋体"/>
          <w:sz w:val="24"/>
          <w:szCs w:val="20"/>
        </w:rPr>
      </w:pPr>
      <w:r>
        <w:rPr>
          <w:rFonts w:hint="eastAsia" w:ascii="宋体" w:hAnsi="宋体"/>
          <w:sz w:val="24"/>
          <w:szCs w:val="20"/>
        </w:rPr>
        <w:t>备注：未填写的或填写不完全的，视作完全响应采购文件要求。</w:t>
      </w:r>
    </w:p>
    <w:p>
      <w:pPr>
        <w:pStyle w:val="2"/>
        <w:rPr>
          <w:lang w:val="en-US" w:eastAsia="zh-CN"/>
        </w:rPr>
      </w:pPr>
    </w:p>
    <w:p>
      <w:pPr>
        <w:snapToGrid w:val="0"/>
        <w:spacing w:line="360" w:lineRule="auto"/>
        <w:rPr>
          <w:rFonts w:ascii="宋体" w:hAnsi="宋体"/>
          <w:sz w:val="24"/>
          <w:szCs w:val="20"/>
        </w:rPr>
      </w:pPr>
      <w:r>
        <w:rPr>
          <w:rFonts w:hint="eastAsia" w:ascii="宋体" w:hAnsi="宋体"/>
          <w:spacing w:val="20"/>
          <w:sz w:val="24"/>
        </w:rPr>
        <w:t>供应商名称：</w:t>
      </w:r>
      <w:r>
        <w:rPr>
          <w:rFonts w:ascii="宋体" w:hAnsi="宋体"/>
          <w:spacing w:val="20"/>
          <w:sz w:val="24"/>
          <w:u w:val="single"/>
        </w:rPr>
        <w:t xml:space="preserve">   </w:t>
      </w:r>
      <w:r>
        <w:rPr>
          <w:rFonts w:hint="eastAsia" w:ascii="宋体" w:hAnsi="宋体"/>
          <w:spacing w:val="20"/>
          <w:sz w:val="24"/>
          <w:u w:val="single"/>
        </w:rPr>
        <w:t>（盖章）</w:t>
      </w:r>
      <w:r>
        <w:rPr>
          <w:rFonts w:ascii="宋体" w:hAnsi="宋体"/>
          <w:spacing w:val="20"/>
          <w:sz w:val="24"/>
          <w:u w:val="single"/>
        </w:rPr>
        <w:t xml:space="preserve"> </w:t>
      </w:r>
      <w:r>
        <w:rPr>
          <w:rFonts w:hint="eastAsia" w:ascii="宋体" w:hAnsi="宋体"/>
          <w:spacing w:val="20"/>
          <w:sz w:val="24"/>
          <w:u w:val="single"/>
        </w:rPr>
        <w:t xml:space="preserve">   </w:t>
      </w:r>
      <w:r>
        <w:rPr>
          <w:rFonts w:ascii="宋体" w:hAnsi="宋体"/>
          <w:spacing w:val="20"/>
          <w:sz w:val="24"/>
        </w:rPr>
        <w:t xml:space="preserve">    </w:t>
      </w:r>
      <w:r>
        <w:rPr>
          <w:rFonts w:hint="eastAsia" w:ascii="宋体" w:hAnsi="宋体"/>
          <w:spacing w:val="20"/>
          <w:sz w:val="24"/>
        </w:rPr>
        <w:t xml:space="preserve">      日</w:t>
      </w:r>
      <w:r>
        <w:rPr>
          <w:rFonts w:ascii="宋体" w:hAnsi="宋体"/>
          <w:spacing w:val="20"/>
          <w:sz w:val="24"/>
        </w:rPr>
        <w:t xml:space="preserve">  </w:t>
      </w:r>
      <w:r>
        <w:rPr>
          <w:rFonts w:hint="eastAsia" w:ascii="宋体" w:hAnsi="宋体"/>
          <w:spacing w:val="20"/>
          <w:sz w:val="24"/>
        </w:rPr>
        <w:t>期：</w:t>
      </w:r>
      <w:r>
        <w:rPr>
          <w:rFonts w:ascii="宋体" w:hAnsi="宋体"/>
          <w:spacing w:val="20"/>
          <w:sz w:val="24"/>
          <w:u w:val="single"/>
        </w:rPr>
        <w:t xml:space="preserve">          </w:t>
      </w:r>
    </w:p>
    <w:p>
      <w:pPr>
        <w:rPr>
          <w:rFonts w:hint="eastAsia" w:ascii="宋体" w:hAnsi="宋体"/>
          <w:b/>
          <w:sz w:val="24"/>
        </w:rPr>
      </w:pPr>
      <w:r>
        <w:rPr>
          <w:rFonts w:hint="eastAsia" w:ascii="宋体" w:hAnsi="宋体"/>
          <w:b/>
          <w:sz w:val="24"/>
        </w:rPr>
        <w:br w:type="page"/>
      </w:r>
    </w:p>
    <w:p>
      <w:pPr>
        <w:snapToGrid w:val="0"/>
        <w:spacing w:line="360" w:lineRule="auto"/>
        <w:jc w:val="left"/>
        <w:rPr>
          <w:rFonts w:ascii="宋体" w:hAnsi="宋体"/>
          <w:b/>
          <w:sz w:val="24"/>
          <w:szCs w:val="20"/>
        </w:rPr>
      </w:pPr>
      <w:r>
        <w:rPr>
          <w:rFonts w:hint="eastAsia" w:ascii="宋体" w:hAnsi="宋体"/>
          <w:b/>
          <w:sz w:val="24"/>
          <w:lang w:val="en-US" w:eastAsia="zh-CN"/>
        </w:rPr>
        <w:t>4、</w:t>
      </w:r>
      <w:r>
        <w:rPr>
          <w:rFonts w:hint="eastAsia" w:ascii="宋体" w:hAnsi="宋体"/>
          <w:b/>
          <w:sz w:val="24"/>
        </w:rPr>
        <w:t>技术响应表格式</w:t>
      </w:r>
    </w:p>
    <w:p>
      <w:pPr>
        <w:snapToGrid w:val="0"/>
        <w:spacing w:line="360" w:lineRule="auto"/>
        <w:jc w:val="center"/>
        <w:rPr>
          <w:rFonts w:hint="eastAsia" w:ascii="宋体" w:hAnsi="宋体"/>
          <w:sz w:val="32"/>
          <w:szCs w:val="32"/>
        </w:rPr>
      </w:pPr>
      <w:r>
        <w:rPr>
          <w:rFonts w:hint="eastAsia" w:ascii="宋体" w:hAnsi="宋体"/>
          <w:b/>
          <w:sz w:val="32"/>
          <w:szCs w:val="32"/>
        </w:rPr>
        <w:t>技术响应表</w:t>
      </w:r>
    </w:p>
    <w:p>
      <w:pPr>
        <w:snapToGrid w:val="0"/>
        <w:spacing w:line="360" w:lineRule="auto"/>
        <w:jc w:val="left"/>
        <w:rPr>
          <w:rFonts w:ascii="宋体" w:hAnsi="宋体"/>
          <w:sz w:val="24"/>
          <w:szCs w:val="20"/>
        </w:rPr>
      </w:pPr>
      <w:r>
        <w:rPr>
          <w:rFonts w:hint="eastAsia" w:hAnsi="宋体"/>
          <w:sz w:val="24"/>
        </w:rPr>
        <w:t>项目编号</w:t>
      </w:r>
      <w:r>
        <w:rPr>
          <w:rFonts w:hint="eastAsia" w:ascii="宋体" w:hAnsi="宋体"/>
        </w:rPr>
        <w:t>：</w:t>
      </w:r>
      <w:r>
        <w:rPr>
          <w:rFonts w:ascii="宋体" w:hAnsi="宋体"/>
          <w:u w:val="single"/>
        </w:rPr>
        <w:t xml:space="preserve">              </w:t>
      </w:r>
    </w:p>
    <w:tbl>
      <w:tblPr>
        <w:tblStyle w:val="14"/>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07"/>
        <w:gridCol w:w="2340"/>
        <w:gridCol w:w="2882"/>
        <w:gridCol w:w="2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4" w:hRule="atLeast"/>
        </w:trPr>
        <w:tc>
          <w:tcPr>
            <w:tcW w:w="590"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jc w:val="center"/>
              <w:rPr>
                <w:rFonts w:hint="eastAsia" w:hAnsi="宋体"/>
                <w:kern w:val="2"/>
                <w:szCs w:val="21"/>
                <w:lang w:val="en-US" w:eastAsia="zh-CN"/>
              </w:rPr>
            </w:pPr>
            <w:r>
              <w:rPr>
                <w:rFonts w:hint="eastAsia" w:hAnsi="宋体"/>
                <w:kern w:val="2"/>
                <w:szCs w:val="21"/>
                <w:lang w:val="en-US" w:eastAsia="zh-CN"/>
              </w:rPr>
              <w:t>序号</w:t>
            </w:r>
          </w:p>
        </w:tc>
        <w:tc>
          <w:tcPr>
            <w:tcW w:w="1371"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jc w:val="center"/>
              <w:rPr>
                <w:rFonts w:hAnsi="宋体"/>
                <w:kern w:val="2"/>
                <w:szCs w:val="21"/>
                <w:lang w:val="en-US" w:eastAsia="zh-CN"/>
              </w:rPr>
            </w:pPr>
            <w:r>
              <w:rPr>
                <w:rFonts w:hAnsi="宋体"/>
                <w:kern w:val="2"/>
                <w:szCs w:val="21"/>
                <w:lang w:val="en-US" w:eastAsia="zh-CN"/>
              </w:rPr>
              <w:t>采购文件要求</w:t>
            </w:r>
          </w:p>
        </w:tc>
        <w:tc>
          <w:tcPr>
            <w:tcW w:w="1689"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jc w:val="center"/>
              <w:rPr>
                <w:rFonts w:hAnsi="宋体"/>
                <w:kern w:val="2"/>
                <w:szCs w:val="21"/>
                <w:lang w:val="en-US" w:eastAsia="zh-CN"/>
              </w:rPr>
            </w:pPr>
            <w:r>
              <w:rPr>
                <w:rFonts w:hAnsi="宋体"/>
                <w:kern w:val="2"/>
                <w:szCs w:val="21"/>
                <w:lang w:val="en-US" w:eastAsia="zh-CN"/>
              </w:rPr>
              <w:t>响应文件响应</w:t>
            </w:r>
          </w:p>
        </w:tc>
        <w:tc>
          <w:tcPr>
            <w:tcW w:w="1347"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jc w:val="center"/>
              <w:rPr>
                <w:rFonts w:hAnsi="宋体"/>
                <w:kern w:val="2"/>
                <w:szCs w:val="21"/>
                <w:lang w:val="en-US" w:eastAsia="zh-CN"/>
              </w:rPr>
            </w:pPr>
            <w:r>
              <w:rPr>
                <w:rFonts w:hAnsi="宋体"/>
                <w:kern w:val="2"/>
                <w:szCs w:val="21"/>
                <w:lang w:val="en-US" w:eastAsia="zh-CN"/>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0"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lang w:val="en-US" w:eastAsia="zh-CN"/>
              </w:rPr>
            </w:pPr>
            <w:r>
              <w:rPr>
                <w:rFonts w:hAnsi="宋体"/>
                <w:kern w:val="2"/>
                <w:lang w:val="en-US" w:eastAsia="zh-CN"/>
              </w:rPr>
              <w:t>1</w:t>
            </w:r>
          </w:p>
        </w:tc>
        <w:tc>
          <w:tcPr>
            <w:tcW w:w="1371" w:type="pct"/>
            <w:tcBorders>
              <w:top w:val="single" w:color="auto" w:sz="4" w:space="0"/>
              <w:left w:val="single" w:color="auto" w:sz="4" w:space="0"/>
              <w:bottom w:val="single" w:color="auto" w:sz="4" w:space="0"/>
              <w:right w:val="single" w:color="auto" w:sz="4" w:space="0"/>
            </w:tcBorders>
            <w:noWrap w:val="0"/>
            <w:vAlign w:val="center"/>
          </w:tcPr>
          <w:p>
            <w:pPr>
              <w:pStyle w:val="7"/>
              <w:snapToGrid w:val="0"/>
              <w:spacing w:before="0" w:beforeLines="0" w:after="0" w:afterLines="0" w:line="360" w:lineRule="auto"/>
              <w:rPr>
                <w:rFonts w:hAnsi="宋体"/>
                <w:kern w:val="2"/>
                <w:lang w:val="en-US" w:eastAsia="zh-CN"/>
              </w:rPr>
            </w:pPr>
            <w:r>
              <w:rPr>
                <w:rFonts w:hint="eastAsia" w:hAnsi="宋体"/>
                <w:kern w:val="2"/>
                <w:lang w:val="en-US" w:eastAsia="zh-CN"/>
              </w:rPr>
              <w:t>采购需求</w:t>
            </w:r>
          </w:p>
        </w:tc>
        <w:tc>
          <w:tcPr>
            <w:tcW w:w="1689"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lang w:val="en-US" w:eastAsia="zh-CN"/>
              </w:rPr>
            </w:pPr>
          </w:p>
        </w:tc>
        <w:tc>
          <w:tcPr>
            <w:tcW w:w="1347"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0"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szCs w:val="21"/>
                <w:lang w:val="en-US" w:eastAsia="zh-CN"/>
              </w:rPr>
            </w:pPr>
            <w:r>
              <w:rPr>
                <w:rFonts w:hAnsi="宋体"/>
                <w:kern w:val="2"/>
                <w:szCs w:val="21"/>
                <w:lang w:val="en-US" w:eastAsia="zh-CN"/>
              </w:rPr>
              <w:t>2</w:t>
            </w:r>
          </w:p>
        </w:tc>
        <w:tc>
          <w:tcPr>
            <w:tcW w:w="1371" w:type="pct"/>
            <w:tcBorders>
              <w:top w:val="single" w:color="auto" w:sz="4" w:space="0"/>
              <w:left w:val="single" w:color="auto" w:sz="4" w:space="0"/>
              <w:bottom w:val="single" w:color="auto" w:sz="4" w:space="0"/>
              <w:right w:val="single" w:color="auto" w:sz="4" w:space="0"/>
            </w:tcBorders>
            <w:noWrap w:val="0"/>
            <w:vAlign w:val="center"/>
          </w:tcPr>
          <w:p>
            <w:pPr>
              <w:pStyle w:val="7"/>
              <w:snapToGrid w:val="0"/>
              <w:spacing w:before="0" w:beforeLines="0" w:after="0" w:afterLines="0" w:line="360" w:lineRule="auto"/>
              <w:rPr>
                <w:rFonts w:hAnsi="宋体"/>
                <w:kern w:val="2"/>
                <w:szCs w:val="21"/>
                <w:lang w:val="en-US" w:eastAsia="zh-CN"/>
              </w:rPr>
            </w:pPr>
            <w:r>
              <w:rPr>
                <w:rFonts w:hint="eastAsia" w:hAnsi="宋体"/>
                <w:kern w:val="2"/>
                <w:szCs w:val="21"/>
                <w:lang w:val="en-US" w:eastAsia="zh-CN"/>
              </w:rPr>
              <w:t>人员要求</w:t>
            </w:r>
          </w:p>
        </w:tc>
        <w:tc>
          <w:tcPr>
            <w:tcW w:w="1689"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szCs w:val="21"/>
                <w:lang w:val="en-US" w:eastAsia="zh-CN"/>
              </w:rPr>
            </w:pPr>
          </w:p>
        </w:tc>
        <w:tc>
          <w:tcPr>
            <w:tcW w:w="1347"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0"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szCs w:val="21"/>
                <w:lang w:val="en-US" w:eastAsia="zh-CN"/>
              </w:rPr>
            </w:pPr>
            <w:r>
              <w:rPr>
                <w:rFonts w:hAnsi="宋体"/>
                <w:kern w:val="2"/>
                <w:szCs w:val="21"/>
                <w:lang w:val="en-US" w:eastAsia="zh-CN"/>
              </w:rPr>
              <w:t>3</w:t>
            </w:r>
          </w:p>
        </w:tc>
        <w:tc>
          <w:tcPr>
            <w:tcW w:w="1371" w:type="pct"/>
            <w:tcBorders>
              <w:top w:val="single" w:color="auto" w:sz="4" w:space="0"/>
              <w:left w:val="single" w:color="auto" w:sz="4" w:space="0"/>
              <w:bottom w:val="single" w:color="auto" w:sz="4" w:space="0"/>
              <w:right w:val="single" w:color="auto" w:sz="4" w:space="0"/>
            </w:tcBorders>
            <w:noWrap w:val="0"/>
            <w:vAlign w:val="center"/>
          </w:tcPr>
          <w:p>
            <w:pPr>
              <w:pStyle w:val="7"/>
              <w:snapToGrid w:val="0"/>
              <w:spacing w:before="0" w:beforeLines="0" w:after="0" w:afterLines="0" w:line="360" w:lineRule="auto"/>
              <w:rPr>
                <w:rFonts w:hAnsi="宋体"/>
                <w:kern w:val="2"/>
                <w:szCs w:val="21"/>
                <w:lang w:val="en-US" w:eastAsia="zh-CN"/>
              </w:rPr>
            </w:pPr>
            <w:r>
              <w:rPr>
                <w:rFonts w:hint="eastAsia" w:hAnsi="宋体"/>
                <w:kern w:val="2"/>
                <w:szCs w:val="21"/>
                <w:lang w:val="en-US" w:eastAsia="zh-CN"/>
              </w:rPr>
              <w:t>工作职责</w:t>
            </w:r>
          </w:p>
        </w:tc>
        <w:tc>
          <w:tcPr>
            <w:tcW w:w="1689"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szCs w:val="21"/>
                <w:lang w:val="en-US" w:eastAsia="zh-CN"/>
              </w:rPr>
            </w:pPr>
          </w:p>
        </w:tc>
        <w:tc>
          <w:tcPr>
            <w:tcW w:w="1347"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0"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szCs w:val="21"/>
                <w:lang w:val="en-US" w:eastAsia="zh-CN"/>
              </w:rPr>
            </w:pPr>
            <w:r>
              <w:rPr>
                <w:rFonts w:hAnsi="宋体"/>
                <w:kern w:val="2"/>
                <w:szCs w:val="21"/>
                <w:lang w:val="en-US" w:eastAsia="zh-CN"/>
              </w:rPr>
              <w:t>4</w:t>
            </w:r>
          </w:p>
        </w:tc>
        <w:tc>
          <w:tcPr>
            <w:tcW w:w="1371" w:type="pct"/>
            <w:tcBorders>
              <w:top w:val="single" w:color="auto" w:sz="4" w:space="0"/>
              <w:left w:val="single" w:color="auto" w:sz="4" w:space="0"/>
              <w:bottom w:val="single" w:color="auto" w:sz="4" w:space="0"/>
              <w:right w:val="single" w:color="auto" w:sz="4" w:space="0"/>
            </w:tcBorders>
            <w:noWrap w:val="0"/>
            <w:vAlign w:val="center"/>
          </w:tcPr>
          <w:p>
            <w:pPr>
              <w:pStyle w:val="7"/>
              <w:snapToGrid w:val="0"/>
              <w:spacing w:before="0" w:beforeLines="0" w:after="0" w:afterLines="0" w:line="360" w:lineRule="auto"/>
              <w:rPr>
                <w:rFonts w:ascii="宋体" w:hAnsi="宋体" w:eastAsia="宋体" w:cs="Times New Roman"/>
                <w:kern w:val="2"/>
                <w:sz w:val="20"/>
                <w:szCs w:val="21"/>
                <w:lang w:val="en-US" w:eastAsia="zh-CN" w:bidi="ar-SA"/>
              </w:rPr>
            </w:pPr>
            <w:r>
              <w:rPr>
                <w:rFonts w:hint="eastAsia" w:hAnsi="宋体"/>
                <w:szCs w:val="20"/>
              </w:rPr>
              <w:t>其他未列明的技术要求</w:t>
            </w:r>
          </w:p>
        </w:tc>
        <w:tc>
          <w:tcPr>
            <w:tcW w:w="1689"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szCs w:val="21"/>
                <w:lang w:val="en-US" w:eastAsia="zh-CN"/>
              </w:rPr>
            </w:pPr>
          </w:p>
        </w:tc>
        <w:tc>
          <w:tcPr>
            <w:tcW w:w="1347"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0"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szCs w:val="21"/>
                <w:lang w:val="en-US" w:eastAsia="zh-CN"/>
              </w:rPr>
            </w:pPr>
          </w:p>
        </w:tc>
        <w:tc>
          <w:tcPr>
            <w:tcW w:w="1371" w:type="pct"/>
            <w:tcBorders>
              <w:top w:val="single" w:color="auto" w:sz="4" w:space="0"/>
              <w:left w:val="single" w:color="auto" w:sz="4" w:space="0"/>
              <w:bottom w:val="single" w:color="auto" w:sz="4" w:space="0"/>
              <w:right w:val="single" w:color="auto" w:sz="4" w:space="0"/>
            </w:tcBorders>
            <w:noWrap w:val="0"/>
            <w:vAlign w:val="center"/>
          </w:tcPr>
          <w:p>
            <w:pPr>
              <w:pStyle w:val="7"/>
              <w:snapToGrid w:val="0"/>
              <w:spacing w:before="0" w:beforeLines="0" w:after="0" w:afterLines="0" w:line="360" w:lineRule="auto"/>
              <w:rPr>
                <w:rFonts w:hAnsi="宋体"/>
                <w:kern w:val="2"/>
                <w:szCs w:val="21"/>
                <w:lang w:val="en-US" w:eastAsia="zh-CN"/>
              </w:rPr>
            </w:pPr>
          </w:p>
        </w:tc>
        <w:tc>
          <w:tcPr>
            <w:tcW w:w="1689"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szCs w:val="21"/>
                <w:lang w:val="en-US" w:eastAsia="zh-CN"/>
              </w:rPr>
            </w:pPr>
          </w:p>
        </w:tc>
        <w:tc>
          <w:tcPr>
            <w:tcW w:w="1347"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0"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szCs w:val="21"/>
                <w:lang w:val="en-US" w:eastAsia="zh-CN"/>
              </w:rPr>
            </w:pPr>
          </w:p>
        </w:tc>
        <w:tc>
          <w:tcPr>
            <w:tcW w:w="1371" w:type="pct"/>
            <w:tcBorders>
              <w:top w:val="single" w:color="auto" w:sz="4" w:space="0"/>
              <w:left w:val="single" w:color="auto" w:sz="4" w:space="0"/>
              <w:bottom w:val="single" w:color="auto" w:sz="4" w:space="0"/>
              <w:right w:val="single" w:color="auto" w:sz="4" w:space="0"/>
            </w:tcBorders>
            <w:noWrap w:val="0"/>
            <w:vAlign w:val="center"/>
          </w:tcPr>
          <w:p>
            <w:pPr>
              <w:pStyle w:val="7"/>
              <w:snapToGrid w:val="0"/>
              <w:spacing w:before="0" w:beforeLines="0" w:after="0" w:afterLines="0" w:line="360" w:lineRule="auto"/>
              <w:rPr>
                <w:rFonts w:hAnsi="宋体"/>
                <w:kern w:val="2"/>
                <w:szCs w:val="21"/>
                <w:lang w:val="en-US" w:eastAsia="zh-CN"/>
              </w:rPr>
            </w:pPr>
          </w:p>
        </w:tc>
        <w:tc>
          <w:tcPr>
            <w:tcW w:w="1689"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szCs w:val="21"/>
                <w:lang w:val="en-US" w:eastAsia="zh-CN"/>
              </w:rPr>
            </w:pPr>
          </w:p>
        </w:tc>
        <w:tc>
          <w:tcPr>
            <w:tcW w:w="1347"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0"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szCs w:val="21"/>
                <w:lang w:val="en-US" w:eastAsia="zh-CN"/>
              </w:rPr>
            </w:pPr>
          </w:p>
        </w:tc>
        <w:tc>
          <w:tcPr>
            <w:tcW w:w="1371" w:type="pct"/>
            <w:tcBorders>
              <w:top w:val="single" w:color="auto" w:sz="4" w:space="0"/>
              <w:left w:val="single" w:color="auto" w:sz="4" w:space="0"/>
              <w:bottom w:val="single" w:color="auto" w:sz="4" w:space="0"/>
              <w:right w:val="single" w:color="auto" w:sz="4" w:space="0"/>
            </w:tcBorders>
            <w:noWrap w:val="0"/>
            <w:vAlign w:val="center"/>
          </w:tcPr>
          <w:p>
            <w:pPr>
              <w:pStyle w:val="7"/>
              <w:snapToGrid w:val="0"/>
              <w:spacing w:before="0" w:beforeLines="0" w:after="0" w:afterLines="0" w:line="360" w:lineRule="auto"/>
              <w:rPr>
                <w:rFonts w:hAnsi="宋体"/>
                <w:kern w:val="2"/>
                <w:szCs w:val="21"/>
                <w:lang w:val="en-US" w:eastAsia="zh-CN"/>
              </w:rPr>
            </w:pPr>
          </w:p>
        </w:tc>
        <w:tc>
          <w:tcPr>
            <w:tcW w:w="1689"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szCs w:val="21"/>
                <w:lang w:val="en-US" w:eastAsia="zh-CN"/>
              </w:rPr>
            </w:pPr>
          </w:p>
        </w:tc>
        <w:tc>
          <w:tcPr>
            <w:tcW w:w="1347" w:type="pct"/>
            <w:tcBorders>
              <w:top w:val="single" w:color="auto" w:sz="4" w:space="0"/>
              <w:left w:val="single" w:color="auto" w:sz="4" w:space="0"/>
              <w:bottom w:val="single" w:color="auto" w:sz="4" w:space="0"/>
              <w:right w:val="single" w:color="auto" w:sz="4" w:space="0"/>
            </w:tcBorders>
            <w:noWrap w:val="0"/>
            <w:vAlign w:val="top"/>
          </w:tcPr>
          <w:p>
            <w:pPr>
              <w:pStyle w:val="7"/>
              <w:snapToGrid w:val="0"/>
              <w:spacing w:before="0" w:beforeLines="0" w:after="0" w:afterLines="0" w:line="360" w:lineRule="auto"/>
              <w:rPr>
                <w:rFonts w:hAnsi="宋体"/>
                <w:kern w:val="2"/>
                <w:szCs w:val="21"/>
                <w:lang w:val="en-US" w:eastAsia="zh-CN"/>
              </w:rPr>
            </w:pPr>
          </w:p>
        </w:tc>
      </w:tr>
    </w:tbl>
    <w:p>
      <w:pPr>
        <w:snapToGrid w:val="0"/>
        <w:spacing w:line="360" w:lineRule="auto"/>
        <w:rPr>
          <w:rFonts w:hint="eastAsia" w:ascii="宋体" w:hAnsi="宋体"/>
          <w:sz w:val="24"/>
          <w:szCs w:val="20"/>
        </w:rPr>
      </w:pPr>
      <w:r>
        <w:rPr>
          <w:rFonts w:hint="eastAsia" w:ascii="宋体" w:hAnsi="宋体"/>
          <w:sz w:val="24"/>
          <w:szCs w:val="20"/>
        </w:rPr>
        <w:t>备注：未填写的或填写不完全的，视作完全响应采购文件要求。</w:t>
      </w:r>
    </w:p>
    <w:p>
      <w:pPr>
        <w:pStyle w:val="5"/>
        <w:spacing w:before="0" w:after="0" w:line="360" w:lineRule="auto"/>
        <w:rPr>
          <w:lang w:val="en-US"/>
        </w:rPr>
      </w:pPr>
    </w:p>
    <w:p>
      <w:pPr>
        <w:pStyle w:val="5"/>
        <w:spacing w:before="0" w:after="0" w:line="360" w:lineRule="auto"/>
      </w:pPr>
    </w:p>
    <w:p>
      <w:pPr>
        <w:snapToGrid w:val="0"/>
        <w:spacing w:line="360" w:lineRule="auto"/>
        <w:rPr>
          <w:rFonts w:ascii="宋体" w:hAnsi="宋体"/>
          <w:spacing w:val="20"/>
          <w:sz w:val="24"/>
          <w:u w:val="single"/>
        </w:rPr>
      </w:pPr>
      <w:r>
        <w:rPr>
          <w:rFonts w:hint="eastAsia" w:ascii="宋体" w:hAnsi="宋体"/>
          <w:spacing w:val="20"/>
          <w:sz w:val="24"/>
        </w:rPr>
        <w:t>供应商名称：</w:t>
      </w:r>
      <w:r>
        <w:rPr>
          <w:rFonts w:ascii="宋体" w:hAnsi="宋体"/>
          <w:spacing w:val="20"/>
          <w:sz w:val="24"/>
          <w:u w:val="single"/>
        </w:rPr>
        <w:t xml:space="preserve">   </w:t>
      </w:r>
      <w:r>
        <w:rPr>
          <w:rFonts w:hint="eastAsia" w:ascii="宋体" w:hAnsi="宋体"/>
          <w:spacing w:val="20"/>
          <w:sz w:val="24"/>
          <w:u w:val="single"/>
        </w:rPr>
        <w:t>（盖章）</w:t>
      </w:r>
      <w:r>
        <w:rPr>
          <w:rFonts w:ascii="宋体" w:hAnsi="宋体"/>
          <w:spacing w:val="20"/>
          <w:sz w:val="24"/>
          <w:u w:val="single"/>
        </w:rPr>
        <w:t xml:space="preserve"> </w:t>
      </w:r>
      <w:r>
        <w:rPr>
          <w:rFonts w:hint="eastAsia" w:ascii="宋体" w:hAnsi="宋体"/>
          <w:spacing w:val="20"/>
          <w:sz w:val="24"/>
          <w:u w:val="single"/>
        </w:rPr>
        <w:t xml:space="preserve">   </w:t>
      </w:r>
      <w:r>
        <w:rPr>
          <w:rFonts w:ascii="宋体" w:hAnsi="宋体"/>
          <w:spacing w:val="20"/>
          <w:sz w:val="24"/>
        </w:rPr>
        <w:t xml:space="preserve">    </w:t>
      </w:r>
      <w:r>
        <w:rPr>
          <w:rFonts w:hint="eastAsia" w:ascii="宋体" w:hAnsi="宋体"/>
          <w:spacing w:val="20"/>
          <w:sz w:val="24"/>
        </w:rPr>
        <w:t xml:space="preserve">      日</w:t>
      </w:r>
      <w:r>
        <w:rPr>
          <w:rFonts w:ascii="宋体" w:hAnsi="宋体"/>
          <w:spacing w:val="20"/>
          <w:sz w:val="24"/>
        </w:rPr>
        <w:t xml:space="preserve">  </w:t>
      </w:r>
      <w:r>
        <w:rPr>
          <w:rFonts w:hint="eastAsia" w:ascii="宋体" w:hAnsi="宋体"/>
          <w:spacing w:val="20"/>
          <w:sz w:val="24"/>
        </w:rPr>
        <w:t>期：</w:t>
      </w:r>
      <w:r>
        <w:rPr>
          <w:rFonts w:ascii="宋体" w:hAnsi="宋体"/>
          <w:spacing w:val="20"/>
          <w:sz w:val="24"/>
          <w:u w:val="single"/>
        </w:rPr>
        <w:t xml:space="preserve">          </w:t>
      </w:r>
    </w:p>
    <w:p>
      <w:pPr>
        <w:snapToGrid w:val="0"/>
        <w:spacing w:line="360" w:lineRule="auto"/>
        <w:jc w:val="left"/>
        <w:rPr>
          <w:rFonts w:ascii="宋体" w:hAnsi="宋体"/>
          <w:b/>
          <w:sz w:val="24"/>
          <w:szCs w:val="20"/>
        </w:rPr>
      </w:pPr>
      <w:r>
        <w:rPr>
          <w:rFonts w:ascii="宋体" w:hAnsi="宋体"/>
          <w:spacing w:val="20"/>
          <w:sz w:val="24"/>
          <w:u w:val="single"/>
        </w:rPr>
        <w:br w:type="page"/>
      </w:r>
      <w:r>
        <w:rPr>
          <w:rFonts w:hint="eastAsia" w:ascii="宋体" w:hAnsi="宋体"/>
          <w:b/>
          <w:sz w:val="24"/>
          <w:lang w:val="en-US" w:eastAsia="zh-CN"/>
        </w:rPr>
        <w:t>5</w:t>
      </w:r>
      <w:r>
        <w:rPr>
          <w:rFonts w:hint="eastAsia" w:ascii="宋体" w:hAnsi="宋体"/>
          <w:b/>
          <w:sz w:val="24"/>
        </w:rPr>
        <w:t>、项目实施人员一览表格式</w:t>
      </w:r>
    </w:p>
    <w:p>
      <w:pPr>
        <w:snapToGrid w:val="0"/>
        <w:spacing w:line="360" w:lineRule="auto"/>
        <w:jc w:val="center"/>
        <w:rPr>
          <w:rFonts w:ascii="宋体" w:hAnsi="宋体"/>
          <w:b/>
          <w:sz w:val="30"/>
          <w:szCs w:val="30"/>
        </w:rPr>
      </w:pPr>
      <w:r>
        <w:rPr>
          <w:rFonts w:hint="eastAsia" w:ascii="宋体" w:hAnsi="宋体"/>
          <w:b/>
          <w:sz w:val="30"/>
          <w:szCs w:val="30"/>
        </w:rPr>
        <w:t>项目实施人员一览表</w:t>
      </w:r>
    </w:p>
    <w:p>
      <w:pPr>
        <w:snapToGrid w:val="0"/>
        <w:spacing w:line="360" w:lineRule="auto"/>
        <w:rPr>
          <w:rFonts w:ascii="宋体" w:hAnsi="宋体"/>
          <w:sz w:val="24"/>
          <w:szCs w:val="20"/>
        </w:rPr>
      </w:pPr>
      <w:r>
        <w:rPr>
          <w:rFonts w:hint="eastAsia" w:ascii="宋体" w:hAnsi="宋体"/>
          <w:sz w:val="24"/>
        </w:rPr>
        <w:t>项目编号</w:t>
      </w:r>
      <w:r>
        <w:rPr>
          <w:rFonts w:hint="eastAsia" w:ascii="宋体" w:hAnsi="宋体"/>
        </w:rPr>
        <w:t>：</w:t>
      </w:r>
      <w:r>
        <w:rPr>
          <w:rFonts w:ascii="宋体" w:hAnsi="宋体"/>
          <w:u w:val="single"/>
        </w:rPr>
        <w:t xml:space="preserve">              </w:t>
      </w:r>
    </w:p>
    <w:tbl>
      <w:tblPr>
        <w:tblStyle w:val="14"/>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b/>
                <w:sz w:val="24"/>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b/>
                <w:sz w:val="24"/>
              </w:rPr>
            </w:pPr>
            <w:r>
              <w:rPr>
                <w:rFonts w:hint="eastAsia" w:ascii="宋体" w:hAnsi="宋体"/>
                <w:b/>
                <w:sz w:val="24"/>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b/>
                <w:sz w:val="24"/>
              </w:rPr>
            </w:pPr>
            <w:r>
              <w:rPr>
                <w:rFonts w:hint="eastAsia" w:ascii="宋体" w:hAnsi="宋体"/>
                <w:b/>
                <w:sz w:val="24"/>
              </w:rPr>
              <w:t>专业技术资格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b/>
                <w:sz w:val="24"/>
              </w:rPr>
            </w:pPr>
            <w:r>
              <w:rPr>
                <w:rFonts w:hint="eastAsia" w:ascii="宋体" w:hAnsi="宋体"/>
                <w:b/>
                <w:sz w:val="24"/>
              </w:rPr>
              <w:t>证书名称及编号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b/>
                <w:bCs/>
                <w:sz w:val="24"/>
              </w:rPr>
            </w:pPr>
            <w:r>
              <w:rPr>
                <w:rFonts w:hint="eastAsia" w:ascii="宋体" w:hAnsi="宋体"/>
                <w:b/>
                <w:bCs/>
                <w:sz w:val="24"/>
              </w:rPr>
              <w:t>参加本单位工作时间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center"/>
          </w:tcPr>
          <w:p>
            <w:pPr>
              <w:pStyle w:val="8"/>
              <w:snapToGrid w:val="0"/>
              <w:spacing w:line="360" w:lineRule="auto"/>
              <w:ind w:left="5250"/>
              <w:jc w:val="center"/>
              <w:rPr>
                <w:rFonts w:ascii="宋体" w:hAnsi="宋体" w:eastAsia="宋体"/>
                <w:kern w:val="2"/>
                <w:sz w:val="24"/>
                <w:szCs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r>
    </w:tbl>
    <w:p>
      <w:pPr>
        <w:snapToGrid w:val="0"/>
        <w:spacing w:line="360" w:lineRule="auto"/>
        <w:jc w:val="left"/>
        <w:rPr>
          <w:rFonts w:ascii="宋体" w:hAnsi="宋体"/>
          <w:b/>
          <w:sz w:val="24"/>
          <w:szCs w:val="20"/>
        </w:rPr>
      </w:pPr>
      <w:r>
        <w:rPr>
          <w:rFonts w:hint="eastAsia" w:ascii="宋体" w:hAnsi="宋体"/>
          <w:b/>
          <w:sz w:val="24"/>
        </w:rPr>
        <w:t>注：在填写时，如本表格不适合供应商的实际情况，可根据本表格式自行划表填写。</w:t>
      </w:r>
    </w:p>
    <w:p>
      <w:pPr>
        <w:snapToGrid w:val="0"/>
        <w:spacing w:line="360" w:lineRule="auto"/>
        <w:jc w:val="left"/>
        <w:rPr>
          <w:rFonts w:ascii="宋体" w:hAnsi="宋体"/>
          <w:sz w:val="24"/>
        </w:rPr>
      </w:pPr>
    </w:p>
    <w:p>
      <w:pPr>
        <w:snapToGrid w:val="0"/>
        <w:spacing w:line="360" w:lineRule="auto"/>
        <w:jc w:val="left"/>
        <w:rPr>
          <w:rFonts w:ascii="宋体" w:hAnsi="宋体"/>
          <w:spacing w:val="20"/>
          <w:sz w:val="24"/>
          <w:u w:val="single"/>
        </w:rPr>
      </w:pPr>
      <w:r>
        <w:rPr>
          <w:rFonts w:hint="eastAsia" w:ascii="宋体" w:hAnsi="宋体"/>
          <w:spacing w:val="20"/>
          <w:sz w:val="24"/>
        </w:rPr>
        <w:t>供应商名称：</w:t>
      </w:r>
      <w:r>
        <w:rPr>
          <w:rFonts w:ascii="宋体" w:hAnsi="宋体"/>
          <w:spacing w:val="20"/>
          <w:sz w:val="24"/>
          <w:u w:val="single"/>
        </w:rPr>
        <w:t xml:space="preserve">   </w:t>
      </w:r>
      <w:r>
        <w:rPr>
          <w:rFonts w:hint="eastAsia" w:ascii="宋体" w:hAnsi="宋体"/>
          <w:spacing w:val="20"/>
          <w:sz w:val="24"/>
          <w:u w:val="single"/>
        </w:rPr>
        <w:t>（盖章）</w:t>
      </w:r>
      <w:r>
        <w:rPr>
          <w:rFonts w:ascii="宋体" w:hAnsi="宋体"/>
          <w:spacing w:val="20"/>
          <w:sz w:val="24"/>
          <w:u w:val="single"/>
        </w:rPr>
        <w:t xml:space="preserve"> </w:t>
      </w:r>
      <w:r>
        <w:rPr>
          <w:rFonts w:hint="eastAsia" w:ascii="宋体" w:hAnsi="宋体"/>
          <w:spacing w:val="20"/>
          <w:sz w:val="24"/>
          <w:u w:val="single"/>
        </w:rPr>
        <w:t xml:space="preserve">   </w:t>
      </w:r>
      <w:r>
        <w:rPr>
          <w:rFonts w:ascii="宋体" w:hAnsi="宋体"/>
          <w:spacing w:val="20"/>
          <w:sz w:val="24"/>
        </w:rPr>
        <w:t xml:space="preserve">    </w:t>
      </w:r>
      <w:r>
        <w:rPr>
          <w:rFonts w:hint="eastAsia" w:ascii="宋体" w:hAnsi="宋体"/>
          <w:spacing w:val="20"/>
          <w:sz w:val="24"/>
        </w:rPr>
        <w:t xml:space="preserve">      日</w:t>
      </w:r>
      <w:r>
        <w:rPr>
          <w:rFonts w:ascii="宋体" w:hAnsi="宋体"/>
          <w:spacing w:val="20"/>
          <w:sz w:val="24"/>
        </w:rPr>
        <w:t xml:space="preserve">  </w:t>
      </w:r>
      <w:r>
        <w:rPr>
          <w:rFonts w:hint="eastAsia" w:ascii="宋体" w:hAnsi="宋体"/>
          <w:spacing w:val="20"/>
          <w:sz w:val="24"/>
        </w:rPr>
        <w:t>期：</w:t>
      </w:r>
      <w:r>
        <w:rPr>
          <w:rFonts w:ascii="宋体" w:hAnsi="宋体"/>
          <w:spacing w:val="20"/>
          <w:sz w:val="24"/>
          <w:u w:val="single"/>
        </w:rPr>
        <w:t xml:space="preserve">          </w:t>
      </w:r>
    </w:p>
    <w:p>
      <w:pPr>
        <w:snapToGrid w:val="0"/>
        <w:spacing w:line="360" w:lineRule="auto"/>
        <w:rPr>
          <w:rFonts w:ascii="宋体" w:hAnsi="宋体"/>
          <w:spacing w:val="20"/>
          <w:sz w:val="24"/>
          <w:u w:val="single"/>
        </w:rPr>
      </w:pPr>
    </w:p>
    <w:p>
      <w:pPr>
        <w:snapToGrid w:val="0"/>
        <w:spacing w:line="360" w:lineRule="auto"/>
        <w:jc w:val="left"/>
        <w:rPr>
          <w:rFonts w:ascii="宋体" w:hAnsi="宋体"/>
          <w:sz w:val="32"/>
          <w:szCs w:val="20"/>
        </w:rPr>
      </w:pPr>
    </w:p>
    <w:p>
      <w:pPr>
        <w:pStyle w:val="13"/>
      </w:pPr>
    </w:p>
    <w:sectPr>
      <w:pgSz w:w="11906" w:h="16838"/>
      <w:pgMar w:top="1134"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7"/>
      </w:rPr>
    </w:pPr>
    <w:r>
      <w:fldChar w:fldCharType="begin"/>
    </w:r>
    <w:r>
      <w:rPr>
        <w:rStyle w:val="17"/>
      </w:rPr>
      <w:instrText xml:space="preserve">PAGE  </w:instrText>
    </w:r>
    <w: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rP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C1BB9"/>
    <w:multiLevelType w:val="singleLevel"/>
    <w:tmpl w:val="940C1BB9"/>
    <w:lvl w:ilvl="0" w:tentative="0">
      <w:start w:val="1"/>
      <w:numFmt w:val="chineseCounting"/>
      <w:suff w:val="nothing"/>
      <w:lvlText w:val="%1、"/>
      <w:lvlJc w:val="left"/>
      <w:rPr>
        <w:rFonts w:hint="eastAsia"/>
      </w:rPr>
    </w:lvl>
  </w:abstractNum>
  <w:abstractNum w:abstractNumId="1">
    <w:nsid w:val="E0BA92F0"/>
    <w:multiLevelType w:val="singleLevel"/>
    <w:tmpl w:val="E0BA92F0"/>
    <w:lvl w:ilvl="0" w:tentative="0">
      <w:start w:val="2"/>
      <w:numFmt w:val="chineseCounting"/>
      <w:suff w:val="space"/>
      <w:lvlText w:val="第%1部分"/>
      <w:lvlJc w:val="left"/>
      <w:rPr>
        <w:rFonts w:hint="eastAsia"/>
      </w:rPr>
    </w:lvl>
  </w:abstractNum>
  <w:abstractNum w:abstractNumId="2">
    <w:nsid w:val="FDEC2163"/>
    <w:multiLevelType w:val="singleLevel"/>
    <w:tmpl w:val="FDEC2163"/>
    <w:lvl w:ilvl="0" w:tentative="0">
      <w:start w:val="3"/>
      <w:numFmt w:val="chineseCounting"/>
      <w:suff w:val="nothing"/>
      <w:lvlText w:val="%1、"/>
      <w:lvlJc w:val="left"/>
      <w:rPr>
        <w:rFonts w:hint="eastAsia"/>
      </w:rPr>
    </w:lvl>
  </w:abstractNum>
  <w:abstractNum w:abstractNumId="3">
    <w:nsid w:val="00000005"/>
    <w:multiLevelType w:val="multilevel"/>
    <w:tmpl w:val="0000000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28"/>
      <w:suff w:val="nothing"/>
      <w:lvlText w:val="%1%2.%3　"/>
      <w:lvlJc w:val="left"/>
      <w:pPr>
        <w:ind w:left="0" w:firstLine="0"/>
      </w:pPr>
      <w:rPr>
        <w:rFonts w:hint="eastAsia" w:ascii="黑体" w:hAnsi="Times New Roman" w:eastAsia="黑体"/>
        <w:b w:val="0"/>
        <w:i w:val="0"/>
        <w:sz w:val="21"/>
      </w:rPr>
    </w:lvl>
    <w:lvl w:ilvl="3" w:tentative="0">
      <w:start w:val="1"/>
      <w:numFmt w:val="decimal"/>
      <w:pStyle w:val="27"/>
      <w:suff w:val="nothing"/>
      <w:lvlText w:val="%1%2.%3.%4　"/>
      <w:lvlJc w:val="left"/>
      <w:pPr>
        <w:ind w:left="0" w:firstLine="0"/>
      </w:pPr>
      <w:rPr>
        <w:rFonts w:hint="eastAsia" w:ascii="黑体" w:hAnsi="Times New Roman" w:eastAsia="黑体"/>
        <w:b w:val="0"/>
        <w:i w:val="0"/>
        <w:sz w:val="21"/>
      </w:rPr>
    </w:lvl>
    <w:lvl w:ilvl="4" w:tentative="0">
      <w:start w:val="1"/>
      <w:numFmt w:val="decimal"/>
      <w:pStyle w:val="26"/>
      <w:suff w:val="nothing"/>
      <w:lvlText w:val="%1%2.%3.%4.%5　"/>
      <w:lvlJc w:val="left"/>
      <w:pPr>
        <w:ind w:left="0" w:firstLine="0"/>
      </w:pPr>
      <w:rPr>
        <w:rFonts w:hint="eastAsia" w:ascii="黑体" w:hAnsi="Times New Roman" w:eastAsia="黑体"/>
        <w:b w:val="0"/>
        <w:i w:val="0"/>
        <w:color w:val="auto"/>
        <w:sz w:val="21"/>
      </w:rPr>
    </w:lvl>
    <w:lvl w:ilvl="5" w:tentative="0">
      <w:start w:val="1"/>
      <w:numFmt w:val="decimal"/>
      <w:pStyle w:val="3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0000008"/>
    <w:multiLevelType w:val="multilevel"/>
    <w:tmpl w:val="00000008"/>
    <w:lvl w:ilvl="0" w:tentative="0">
      <w:start w:val="1"/>
      <w:numFmt w:val="decimal"/>
      <w:pStyle w:val="3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YwNmFlYzMwZDM5Y2EwODQ4Yzk0ZTBlOGFmZGI0NzEifQ=="/>
  </w:docVars>
  <w:rsids>
    <w:rsidRoot w:val="00152586"/>
    <w:rsid w:val="000073A0"/>
    <w:rsid w:val="0001082B"/>
    <w:rsid w:val="0002682F"/>
    <w:rsid w:val="000359D3"/>
    <w:rsid w:val="0003661B"/>
    <w:rsid w:val="000372FA"/>
    <w:rsid w:val="00037A97"/>
    <w:rsid w:val="000504D6"/>
    <w:rsid w:val="00061854"/>
    <w:rsid w:val="000704EB"/>
    <w:rsid w:val="000903B7"/>
    <w:rsid w:val="000952E7"/>
    <w:rsid w:val="00095918"/>
    <w:rsid w:val="000A6CA2"/>
    <w:rsid w:val="000B34D6"/>
    <w:rsid w:val="000B3904"/>
    <w:rsid w:val="000B50CE"/>
    <w:rsid w:val="000C20F7"/>
    <w:rsid w:val="000C5086"/>
    <w:rsid w:val="000D1259"/>
    <w:rsid w:val="000D4E01"/>
    <w:rsid w:val="000E4E7E"/>
    <w:rsid w:val="000E5BAD"/>
    <w:rsid w:val="000F5A4F"/>
    <w:rsid w:val="000F5C02"/>
    <w:rsid w:val="001408AF"/>
    <w:rsid w:val="00141AE5"/>
    <w:rsid w:val="00147341"/>
    <w:rsid w:val="00152586"/>
    <w:rsid w:val="00156D3A"/>
    <w:rsid w:val="001615EB"/>
    <w:rsid w:val="00163F1C"/>
    <w:rsid w:val="00170B8F"/>
    <w:rsid w:val="0019360C"/>
    <w:rsid w:val="001A2158"/>
    <w:rsid w:val="001B27D7"/>
    <w:rsid w:val="001B55A0"/>
    <w:rsid w:val="001C2C42"/>
    <w:rsid w:val="001C36E0"/>
    <w:rsid w:val="001D56E8"/>
    <w:rsid w:val="001D78CD"/>
    <w:rsid w:val="001E63CF"/>
    <w:rsid w:val="001E7F56"/>
    <w:rsid w:val="001F3184"/>
    <w:rsid w:val="00206846"/>
    <w:rsid w:val="00212258"/>
    <w:rsid w:val="002214F6"/>
    <w:rsid w:val="00221A34"/>
    <w:rsid w:val="00227A20"/>
    <w:rsid w:val="00227B19"/>
    <w:rsid w:val="00235EAA"/>
    <w:rsid w:val="002655C0"/>
    <w:rsid w:val="002810FD"/>
    <w:rsid w:val="002A0EBB"/>
    <w:rsid w:val="002A151C"/>
    <w:rsid w:val="002B56D6"/>
    <w:rsid w:val="002C1E9A"/>
    <w:rsid w:val="002C4702"/>
    <w:rsid w:val="002D7E8A"/>
    <w:rsid w:val="002E62CC"/>
    <w:rsid w:val="00310505"/>
    <w:rsid w:val="00314B42"/>
    <w:rsid w:val="00322A6D"/>
    <w:rsid w:val="00324C07"/>
    <w:rsid w:val="00331009"/>
    <w:rsid w:val="003341E1"/>
    <w:rsid w:val="0033578E"/>
    <w:rsid w:val="00366B2C"/>
    <w:rsid w:val="0037271A"/>
    <w:rsid w:val="0037789C"/>
    <w:rsid w:val="0038111A"/>
    <w:rsid w:val="003828BB"/>
    <w:rsid w:val="003A6AFF"/>
    <w:rsid w:val="003B3261"/>
    <w:rsid w:val="003B480E"/>
    <w:rsid w:val="003C43AB"/>
    <w:rsid w:val="003C6873"/>
    <w:rsid w:val="003D057C"/>
    <w:rsid w:val="003E27E9"/>
    <w:rsid w:val="0043049B"/>
    <w:rsid w:val="00450678"/>
    <w:rsid w:val="0045571B"/>
    <w:rsid w:val="00457F2F"/>
    <w:rsid w:val="00463EF3"/>
    <w:rsid w:val="004667FB"/>
    <w:rsid w:val="00471B92"/>
    <w:rsid w:val="004741FE"/>
    <w:rsid w:val="004856EE"/>
    <w:rsid w:val="004874EA"/>
    <w:rsid w:val="00493C1E"/>
    <w:rsid w:val="004963F3"/>
    <w:rsid w:val="004975A4"/>
    <w:rsid w:val="004B40A5"/>
    <w:rsid w:val="004B76B8"/>
    <w:rsid w:val="004D4B2D"/>
    <w:rsid w:val="00501785"/>
    <w:rsid w:val="0050442E"/>
    <w:rsid w:val="0051134B"/>
    <w:rsid w:val="0051303B"/>
    <w:rsid w:val="00515408"/>
    <w:rsid w:val="005216F6"/>
    <w:rsid w:val="00521B48"/>
    <w:rsid w:val="00527150"/>
    <w:rsid w:val="00531BE2"/>
    <w:rsid w:val="00550DCC"/>
    <w:rsid w:val="00557462"/>
    <w:rsid w:val="0056055B"/>
    <w:rsid w:val="00563EDA"/>
    <w:rsid w:val="005A6F1F"/>
    <w:rsid w:val="005B1462"/>
    <w:rsid w:val="005D4A81"/>
    <w:rsid w:val="005E3054"/>
    <w:rsid w:val="005F0293"/>
    <w:rsid w:val="00602B7B"/>
    <w:rsid w:val="006424A9"/>
    <w:rsid w:val="006449A0"/>
    <w:rsid w:val="00650498"/>
    <w:rsid w:val="00656698"/>
    <w:rsid w:val="00660EE0"/>
    <w:rsid w:val="00665254"/>
    <w:rsid w:val="006671C3"/>
    <w:rsid w:val="0069284B"/>
    <w:rsid w:val="00692E5A"/>
    <w:rsid w:val="006B0CEF"/>
    <w:rsid w:val="006B4671"/>
    <w:rsid w:val="006B4FA2"/>
    <w:rsid w:val="006B7091"/>
    <w:rsid w:val="006C060C"/>
    <w:rsid w:val="006C37A1"/>
    <w:rsid w:val="006C568D"/>
    <w:rsid w:val="006C62F5"/>
    <w:rsid w:val="00701812"/>
    <w:rsid w:val="0070249A"/>
    <w:rsid w:val="00711CB2"/>
    <w:rsid w:val="00731986"/>
    <w:rsid w:val="00743077"/>
    <w:rsid w:val="007516AE"/>
    <w:rsid w:val="00790041"/>
    <w:rsid w:val="007909A4"/>
    <w:rsid w:val="0079190B"/>
    <w:rsid w:val="00796EC7"/>
    <w:rsid w:val="007A1E48"/>
    <w:rsid w:val="007C0CFB"/>
    <w:rsid w:val="007C1555"/>
    <w:rsid w:val="007C5D8E"/>
    <w:rsid w:val="007F4A82"/>
    <w:rsid w:val="007F5DF2"/>
    <w:rsid w:val="007F651A"/>
    <w:rsid w:val="007F6C58"/>
    <w:rsid w:val="00807B7F"/>
    <w:rsid w:val="00814DBD"/>
    <w:rsid w:val="00823209"/>
    <w:rsid w:val="00831233"/>
    <w:rsid w:val="00837CDE"/>
    <w:rsid w:val="00851D3C"/>
    <w:rsid w:val="00856C8F"/>
    <w:rsid w:val="00862534"/>
    <w:rsid w:val="00864A63"/>
    <w:rsid w:val="00891888"/>
    <w:rsid w:val="008B301C"/>
    <w:rsid w:val="008D07B1"/>
    <w:rsid w:val="008D7B8A"/>
    <w:rsid w:val="0090293D"/>
    <w:rsid w:val="00902E13"/>
    <w:rsid w:val="00910637"/>
    <w:rsid w:val="009275E5"/>
    <w:rsid w:val="009369BB"/>
    <w:rsid w:val="00937421"/>
    <w:rsid w:val="0095403D"/>
    <w:rsid w:val="009A3BC4"/>
    <w:rsid w:val="009A73AD"/>
    <w:rsid w:val="009B3C51"/>
    <w:rsid w:val="009D6A9A"/>
    <w:rsid w:val="009D79F5"/>
    <w:rsid w:val="009E3235"/>
    <w:rsid w:val="009F39A7"/>
    <w:rsid w:val="009F64DC"/>
    <w:rsid w:val="00A00226"/>
    <w:rsid w:val="00A00292"/>
    <w:rsid w:val="00A228D5"/>
    <w:rsid w:val="00A249D7"/>
    <w:rsid w:val="00A46DB2"/>
    <w:rsid w:val="00A524E2"/>
    <w:rsid w:val="00A617A1"/>
    <w:rsid w:val="00A61D5B"/>
    <w:rsid w:val="00A72D91"/>
    <w:rsid w:val="00AC2018"/>
    <w:rsid w:val="00AD53E1"/>
    <w:rsid w:val="00AD64BC"/>
    <w:rsid w:val="00AE76EA"/>
    <w:rsid w:val="00AE7CC0"/>
    <w:rsid w:val="00B01590"/>
    <w:rsid w:val="00B01981"/>
    <w:rsid w:val="00B042A0"/>
    <w:rsid w:val="00B17848"/>
    <w:rsid w:val="00B22878"/>
    <w:rsid w:val="00B309BC"/>
    <w:rsid w:val="00B31ACD"/>
    <w:rsid w:val="00B31DF8"/>
    <w:rsid w:val="00B40A7F"/>
    <w:rsid w:val="00B41E19"/>
    <w:rsid w:val="00B421C1"/>
    <w:rsid w:val="00B5147A"/>
    <w:rsid w:val="00B53FB4"/>
    <w:rsid w:val="00B67D59"/>
    <w:rsid w:val="00B80E31"/>
    <w:rsid w:val="00B83410"/>
    <w:rsid w:val="00B90B8D"/>
    <w:rsid w:val="00B978E8"/>
    <w:rsid w:val="00BA4604"/>
    <w:rsid w:val="00BB26AB"/>
    <w:rsid w:val="00BB2B70"/>
    <w:rsid w:val="00BC0A55"/>
    <w:rsid w:val="00BD39EA"/>
    <w:rsid w:val="00BD7A8A"/>
    <w:rsid w:val="00BE05DB"/>
    <w:rsid w:val="00BE0C81"/>
    <w:rsid w:val="00BF44CC"/>
    <w:rsid w:val="00BF5F57"/>
    <w:rsid w:val="00C0504D"/>
    <w:rsid w:val="00C23497"/>
    <w:rsid w:val="00C3457D"/>
    <w:rsid w:val="00C81F7F"/>
    <w:rsid w:val="00C90253"/>
    <w:rsid w:val="00C965D5"/>
    <w:rsid w:val="00C97318"/>
    <w:rsid w:val="00CA36EE"/>
    <w:rsid w:val="00CA6B31"/>
    <w:rsid w:val="00CB0045"/>
    <w:rsid w:val="00CD3261"/>
    <w:rsid w:val="00CF309B"/>
    <w:rsid w:val="00D26844"/>
    <w:rsid w:val="00D275D0"/>
    <w:rsid w:val="00D45A57"/>
    <w:rsid w:val="00D51142"/>
    <w:rsid w:val="00D64FF1"/>
    <w:rsid w:val="00D75F6F"/>
    <w:rsid w:val="00D81D6C"/>
    <w:rsid w:val="00D864BC"/>
    <w:rsid w:val="00D92F50"/>
    <w:rsid w:val="00D9591D"/>
    <w:rsid w:val="00D96810"/>
    <w:rsid w:val="00DB1149"/>
    <w:rsid w:val="00DB615D"/>
    <w:rsid w:val="00DE5B90"/>
    <w:rsid w:val="00DF4F7B"/>
    <w:rsid w:val="00E03C12"/>
    <w:rsid w:val="00E11A0A"/>
    <w:rsid w:val="00E123F3"/>
    <w:rsid w:val="00E2018B"/>
    <w:rsid w:val="00E245B9"/>
    <w:rsid w:val="00E371A9"/>
    <w:rsid w:val="00E401F9"/>
    <w:rsid w:val="00E4771B"/>
    <w:rsid w:val="00E62717"/>
    <w:rsid w:val="00E67B9F"/>
    <w:rsid w:val="00E77296"/>
    <w:rsid w:val="00E924A0"/>
    <w:rsid w:val="00E9383A"/>
    <w:rsid w:val="00E96DE0"/>
    <w:rsid w:val="00EA1416"/>
    <w:rsid w:val="00EA372A"/>
    <w:rsid w:val="00EA6ED8"/>
    <w:rsid w:val="00EA7CA2"/>
    <w:rsid w:val="00EB5CA9"/>
    <w:rsid w:val="00EC5286"/>
    <w:rsid w:val="00ED43E8"/>
    <w:rsid w:val="00ED6CC1"/>
    <w:rsid w:val="00EE4175"/>
    <w:rsid w:val="00EE530E"/>
    <w:rsid w:val="00EF4295"/>
    <w:rsid w:val="00EF7FE4"/>
    <w:rsid w:val="00F11AE8"/>
    <w:rsid w:val="00F15D1B"/>
    <w:rsid w:val="00F24BED"/>
    <w:rsid w:val="00F3714B"/>
    <w:rsid w:val="00F55A8C"/>
    <w:rsid w:val="00F73111"/>
    <w:rsid w:val="00F927BB"/>
    <w:rsid w:val="00FA0E04"/>
    <w:rsid w:val="00FB1DED"/>
    <w:rsid w:val="00FB5F11"/>
    <w:rsid w:val="00FD14EC"/>
    <w:rsid w:val="00FD5159"/>
    <w:rsid w:val="00FE14A2"/>
    <w:rsid w:val="00FE1D45"/>
    <w:rsid w:val="00FE7F5D"/>
    <w:rsid w:val="00FF5F6E"/>
    <w:rsid w:val="07D06B61"/>
    <w:rsid w:val="08802303"/>
    <w:rsid w:val="0CC5423B"/>
    <w:rsid w:val="0E097C1A"/>
    <w:rsid w:val="0E9E11EA"/>
    <w:rsid w:val="0F576BE9"/>
    <w:rsid w:val="10830B90"/>
    <w:rsid w:val="12D544B9"/>
    <w:rsid w:val="13D1266D"/>
    <w:rsid w:val="13FF0390"/>
    <w:rsid w:val="148E1E39"/>
    <w:rsid w:val="16A46254"/>
    <w:rsid w:val="18A3471C"/>
    <w:rsid w:val="1B472E09"/>
    <w:rsid w:val="1B70342C"/>
    <w:rsid w:val="1BF01A5B"/>
    <w:rsid w:val="1D1B4B41"/>
    <w:rsid w:val="1DFF5562"/>
    <w:rsid w:val="1F764CB2"/>
    <w:rsid w:val="21A66E7A"/>
    <w:rsid w:val="226F1B0F"/>
    <w:rsid w:val="229A31AC"/>
    <w:rsid w:val="235275A8"/>
    <w:rsid w:val="23616CDA"/>
    <w:rsid w:val="2370007A"/>
    <w:rsid w:val="23AD7A2C"/>
    <w:rsid w:val="27DA4607"/>
    <w:rsid w:val="29D11495"/>
    <w:rsid w:val="2A7663AE"/>
    <w:rsid w:val="2E670B9B"/>
    <w:rsid w:val="2F5F5A2B"/>
    <w:rsid w:val="30AC6816"/>
    <w:rsid w:val="31824BA3"/>
    <w:rsid w:val="34C3033B"/>
    <w:rsid w:val="35405C7A"/>
    <w:rsid w:val="35B55ABD"/>
    <w:rsid w:val="35BF7C42"/>
    <w:rsid w:val="39096AFA"/>
    <w:rsid w:val="395824C8"/>
    <w:rsid w:val="3A463C37"/>
    <w:rsid w:val="3CE107AF"/>
    <w:rsid w:val="3CF008F0"/>
    <w:rsid w:val="3DBF43BB"/>
    <w:rsid w:val="4108522A"/>
    <w:rsid w:val="4211130C"/>
    <w:rsid w:val="45B81FBC"/>
    <w:rsid w:val="45D33723"/>
    <w:rsid w:val="4A114DBA"/>
    <w:rsid w:val="4B18237A"/>
    <w:rsid w:val="4C820B9A"/>
    <w:rsid w:val="50936417"/>
    <w:rsid w:val="54846316"/>
    <w:rsid w:val="5579070C"/>
    <w:rsid w:val="56344AE6"/>
    <w:rsid w:val="568C3447"/>
    <w:rsid w:val="571B14B1"/>
    <w:rsid w:val="57B73400"/>
    <w:rsid w:val="59E62115"/>
    <w:rsid w:val="5BAB2C2A"/>
    <w:rsid w:val="5C19051A"/>
    <w:rsid w:val="5CE82D37"/>
    <w:rsid w:val="5E610076"/>
    <w:rsid w:val="5E6444E2"/>
    <w:rsid w:val="5EA4679D"/>
    <w:rsid w:val="66E41572"/>
    <w:rsid w:val="67DE7C60"/>
    <w:rsid w:val="6C35558D"/>
    <w:rsid w:val="6CE72DC8"/>
    <w:rsid w:val="748C3FF3"/>
    <w:rsid w:val="77394E94"/>
    <w:rsid w:val="776C360A"/>
    <w:rsid w:val="77D116A8"/>
    <w:rsid w:val="791649D8"/>
    <w:rsid w:val="7B5D10A3"/>
    <w:rsid w:val="7CBE03EA"/>
    <w:rsid w:val="7E8A6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qFormat="1" w:uiPriority="0" w:semiHidden="0" w:name="Body Text First Indent"/>
    <w:lsdException w:qFormat="1" w:uiPriority="99"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23"/>
    <w:qFormat/>
    <w:uiPriority w:val="0"/>
    <w:pPr>
      <w:spacing w:line="200" w:lineRule="exact"/>
      <w:ind w:firstLine="301"/>
    </w:pPr>
    <w:rPr>
      <w:rFonts w:ascii="宋体" w:hAnsi="Courier New"/>
      <w:spacing w:val="-4"/>
      <w:sz w:val="18"/>
      <w:szCs w:val="20"/>
    </w:rPr>
  </w:style>
  <w:style w:type="paragraph" w:styleId="3">
    <w:name w:val="Body Text First Indent 2"/>
    <w:basedOn w:val="2"/>
    <w:unhideWhenUsed/>
    <w:qFormat/>
    <w:uiPriority w:val="99"/>
    <w:pPr>
      <w:ind w:firstLine="420"/>
    </w:pPr>
  </w:style>
  <w:style w:type="paragraph" w:styleId="4">
    <w:name w:val="toa heading"/>
    <w:basedOn w:val="1"/>
    <w:next w:val="1"/>
    <w:qFormat/>
    <w:uiPriority w:val="0"/>
    <w:pPr>
      <w:spacing w:before="120"/>
    </w:pPr>
    <w:rPr>
      <w:rFonts w:ascii="Arial" w:hAnsi="Arial"/>
      <w:sz w:val="24"/>
    </w:rPr>
  </w:style>
  <w:style w:type="paragraph" w:styleId="5">
    <w:name w:val="Body Text 3"/>
    <w:basedOn w:val="1"/>
    <w:qFormat/>
    <w:uiPriority w:val="0"/>
    <w:pPr>
      <w:snapToGrid w:val="0"/>
      <w:spacing w:before="50" w:after="50"/>
    </w:pPr>
    <w:rPr>
      <w:rFonts w:hAnsi="宋体" w:eastAsia="仿宋_GB2312"/>
      <w:b/>
      <w:bCs/>
      <w:kern w:val="0"/>
      <w:sz w:val="24"/>
      <w:szCs w:val="20"/>
    </w:rPr>
  </w:style>
  <w:style w:type="paragraph" w:styleId="6">
    <w:name w:val="Body Text"/>
    <w:basedOn w:val="1"/>
    <w:next w:val="1"/>
    <w:unhideWhenUsed/>
    <w:qFormat/>
    <w:uiPriority w:val="99"/>
    <w:pPr>
      <w:adjustRightInd w:val="0"/>
      <w:spacing w:line="315" w:lineRule="atLeast"/>
      <w:jc w:val="left"/>
    </w:pPr>
    <w:rPr>
      <w:rFonts w:ascii="仿宋_GB2312" w:eastAsia="仿宋_GB2312"/>
      <w:kern w:val="0"/>
      <w:sz w:val="28"/>
      <w:szCs w:val="20"/>
    </w:rPr>
  </w:style>
  <w:style w:type="paragraph" w:styleId="7">
    <w:name w:val="Plain Text"/>
    <w:basedOn w:val="1"/>
    <w:link w:val="20"/>
    <w:qFormat/>
    <w:uiPriority w:val="0"/>
    <w:rPr>
      <w:rFonts w:ascii="宋体" w:hAnsi="Courier New"/>
      <w:kern w:val="0"/>
      <w:sz w:val="20"/>
      <w:szCs w:val="20"/>
    </w:rPr>
  </w:style>
  <w:style w:type="paragraph" w:styleId="8">
    <w:name w:val="Date"/>
    <w:basedOn w:val="1"/>
    <w:next w:val="1"/>
    <w:uiPriority w:val="0"/>
    <w:pPr>
      <w:ind w:leftChars="2500"/>
    </w:pPr>
    <w:rPr>
      <w:rFonts w:eastAsia="楷体_GB2312"/>
      <w:kern w:val="0"/>
      <w:sz w:val="32"/>
      <w:szCs w:val="20"/>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6"/>
    <w:basedOn w:val="1"/>
    <w:next w:val="1"/>
    <w:unhideWhenUsed/>
    <w:qFormat/>
    <w:uiPriority w:val="39"/>
    <w:pPr>
      <w:ind w:left="1050"/>
      <w:jc w:val="left"/>
    </w:pPr>
    <w:rPr>
      <w:szCs w:val="21"/>
    </w:rPr>
  </w:style>
  <w:style w:type="paragraph" w:styleId="12">
    <w:name w:val="Normal (Web)"/>
    <w:basedOn w:val="1"/>
    <w:qFormat/>
    <w:uiPriority w:val="0"/>
    <w:rPr>
      <w:sz w:val="24"/>
    </w:rPr>
  </w:style>
  <w:style w:type="paragraph" w:styleId="13">
    <w:name w:val="Body Text First Indent"/>
    <w:basedOn w:val="6"/>
    <w:next w:val="11"/>
    <w:unhideWhenUsed/>
    <w:qFormat/>
    <w:uiPriority w:val="0"/>
    <w:pPr>
      <w:adjustRightInd/>
      <w:spacing w:after="120" w:line="240" w:lineRule="auto"/>
      <w:ind w:firstLine="420" w:firstLineChars="100"/>
      <w:jc w:val="both"/>
    </w:pPr>
    <w:rPr>
      <w:rFonts w:ascii="Times New Roman"/>
      <w:kern w:val="2"/>
      <w:sz w:val="21"/>
      <w:szCs w:val="24"/>
    </w:rPr>
  </w:style>
  <w:style w:type="table" w:styleId="15">
    <w:name w:val="Table Grid"/>
    <w:basedOn w:val="14"/>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page number"/>
    <w:uiPriority w:val="0"/>
  </w:style>
  <w:style w:type="character" w:customStyle="1" w:styleId="18">
    <w:name w:val="页眉 Char"/>
    <w:basedOn w:val="16"/>
    <w:link w:val="10"/>
    <w:qFormat/>
    <w:uiPriority w:val="99"/>
    <w:rPr>
      <w:sz w:val="18"/>
      <w:szCs w:val="18"/>
    </w:rPr>
  </w:style>
  <w:style w:type="character" w:customStyle="1" w:styleId="19">
    <w:name w:val="页脚 Char"/>
    <w:basedOn w:val="16"/>
    <w:link w:val="9"/>
    <w:qFormat/>
    <w:uiPriority w:val="99"/>
    <w:rPr>
      <w:sz w:val="18"/>
      <w:szCs w:val="18"/>
    </w:rPr>
  </w:style>
  <w:style w:type="character" w:customStyle="1" w:styleId="20">
    <w:name w:val="纯文本 Char"/>
    <w:link w:val="7"/>
    <w:qFormat/>
    <w:uiPriority w:val="0"/>
    <w:rPr>
      <w:rFonts w:ascii="宋体" w:hAnsi="Courier New"/>
    </w:rPr>
  </w:style>
  <w:style w:type="character" w:customStyle="1" w:styleId="21">
    <w:name w:val="纯文本 Char1"/>
    <w:basedOn w:val="16"/>
    <w:qFormat/>
    <w:uiPriority w:val="0"/>
    <w:rPr>
      <w:rFonts w:ascii="宋体" w:hAnsi="Courier New" w:eastAsia="宋体" w:cs="Courier New"/>
      <w:szCs w:val="21"/>
    </w:rPr>
  </w:style>
  <w:style w:type="paragraph" w:styleId="22">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3">
    <w:name w:val="正文文本缩进 Char"/>
    <w:basedOn w:val="16"/>
    <w:link w:val="2"/>
    <w:qFormat/>
    <w:uiPriority w:val="0"/>
    <w:rPr>
      <w:rFonts w:ascii="宋体" w:hAnsi="Courier New" w:eastAsia="宋体" w:cs="Times New Roman"/>
      <w:spacing w:val="-4"/>
      <w:sz w:val="18"/>
      <w:szCs w:val="20"/>
    </w:rPr>
  </w:style>
  <w:style w:type="paragraph" w:customStyle="1" w:styleId="24">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styleId="25">
    <w:name w:val="List Paragraph"/>
    <w:basedOn w:val="1"/>
    <w:qFormat/>
    <w:uiPriority w:val="34"/>
    <w:pPr>
      <w:ind w:firstLine="420" w:firstLineChars="200"/>
    </w:pPr>
  </w:style>
  <w:style w:type="paragraph" w:customStyle="1" w:styleId="26">
    <w:name w:val="三级条标题"/>
    <w:basedOn w:val="27"/>
    <w:next w:val="29"/>
    <w:qFormat/>
    <w:uiPriority w:val="0"/>
    <w:pPr>
      <w:numPr>
        <w:ilvl w:val="4"/>
      </w:numPr>
      <w:outlineLvl w:val="4"/>
    </w:pPr>
  </w:style>
  <w:style w:type="paragraph" w:customStyle="1" w:styleId="27">
    <w:name w:val="二级条标题"/>
    <w:basedOn w:val="28"/>
    <w:next w:val="29"/>
    <w:qFormat/>
    <w:uiPriority w:val="0"/>
    <w:pPr>
      <w:numPr>
        <w:ilvl w:val="3"/>
      </w:numPr>
      <w:outlineLvl w:val="3"/>
    </w:pPr>
  </w:style>
  <w:style w:type="paragraph" w:customStyle="1" w:styleId="28">
    <w:name w:val="一级条标题"/>
    <w:next w:val="29"/>
    <w:qFormat/>
    <w:uiPriority w:val="0"/>
    <w:pPr>
      <w:numPr>
        <w:ilvl w:val="2"/>
        <w:numId w:val="1"/>
      </w:numPr>
      <w:outlineLvl w:val="2"/>
    </w:pPr>
    <w:rPr>
      <w:rFonts w:ascii="Times New Roman" w:hAnsi="Times New Roman" w:eastAsia="黑体" w:cs="Times New Roman"/>
      <w:sz w:val="21"/>
      <w:szCs w:val="22"/>
      <w:lang w:val="en-US" w:eastAsia="zh-CN" w:bidi="ar-SA"/>
    </w:rPr>
  </w:style>
  <w:style w:type="paragraph" w:customStyle="1" w:styleId="29">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30">
    <w:name w:val="四级条标题"/>
    <w:basedOn w:val="26"/>
    <w:next w:val="29"/>
    <w:qFormat/>
    <w:uiPriority w:val="0"/>
    <w:pPr>
      <w:numPr>
        <w:ilvl w:val="5"/>
      </w:numPr>
      <w:outlineLvl w:val="5"/>
    </w:pPr>
  </w:style>
  <w:style w:type="paragraph" w:customStyle="1" w:styleId="31">
    <w:name w:val="正文表标题"/>
    <w:next w:val="29"/>
    <w:qFormat/>
    <w:uiPriority w:val="0"/>
    <w:pPr>
      <w:numPr>
        <w:ilvl w:val="0"/>
        <w:numId w:val="2"/>
      </w:numPr>
      <w:jc w:val="center"/>
    </w:pPr>
    <w:rPr>
      <w:rFonts w:ascii="黑体" w:hAnsi="Times New Roman" w:eastAsia="黑体" w:cs="Times New Roman"/>
      <w:sz w:val="21"/>
      <w:szCs w:val="22"/>
      <w:lang w:val="en-US" w:eastAsia="zh-CN" w:bidi="ar-SA"/>
    </w:rPr>
  </w:style>
  <w:style w:type="paragraph" w:customStyle="1" w:styleId="32">
    <w:name w:val="Default1"/>
    <w:qFormat/>
    <w:uiPriority w:val="0"/>
    <w:pPr>
      <w:widowControl w:val="0"/>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DB0F8A-C251-46E7-8FCC-F102881BB5F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1170</Words>
  <Characters>6673</Characters>
  <Lines>55</Lines>
  <Paragraphs>15</Paragraphs>
  <TotalTime>1</TotalTime>
  <ScaleCrop>false</ScaleCrop>
  <LinksUpToDate>false</LinksUpToDate>
  <CharactersWithSpaces>7828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2023-12-04T09:03:00Z</dcterms:created>
  <dc:creator>dell</dc:creator>
  <cp:lastModifiedBy>Administrator</cp:lastModifiedBy>
  <cp:lastPrinted>2017-12-11T03:35:00Z</cp:lastPrinted>
  <dcterms:modified xsi:type="dcterms:W3CDTF">2023-12-15T03:07:59Z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371933BDA098414A90D044A9C219539B</vt:lpwstr>
  </property>
</Properties>
</file>