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0"/>
        <w:widowControl w:val="0"/>
        <w:snapToGrid w:val="0"/>
        <w:spacing w:line="360" w:lineRule="auto"/>
        <w:ind w:firstLine="418" w:firstLineChars="52"/>
        <w:jc w:val="center"/>
        <w:rPr>
          <w:rFonts w:ascii="宋体" w:hAnsi="宋体"/>
          <w:color w:val="auto"/>
          <w:sz w:val="80"/>
          <w:szCs w:val="80"/>
        </w:rPr>
      </w:pPr>
    </w:p>
    <w:p w14:paraId="24B3ABE8">
      <w:pPr>
        <w:pStyle w:val="50"/>
        <w:widowControl w:val="0"/>
        <w:snapToGrid w:val="0"/>
        <w:spacing w:line="360" w:lineRule="auto"/>
        <w:ind w:firstLine="418" w:firstLineChars="52"/>
        <w:jc w:val="center"/>
        <w:rPr>
          <w:rFonts w:ascii="宋体" w:hAnsi="宋体"/>
          <w:color w:val="auto"/>
          <w:sz w:val="80"/>
          <w:szCs w:val="80"/>
        </w:rPr>
      </w:pPr>
    </w:p>
    <w:p w14:paraId="2EF008E7">
      <w:pPr>
        <w:pStyle w:val="50"/>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0"/>
        <w:widowControl w:val="0"/>
        <w:snapToGrid w:val="0"/>
        <w:spacing w:line="360" w:lineRule="auto"/>
        <w:ind w:firstLine="0"/>
        <w:jc w:val="center"/>
        <w:rPr>
          <w:bCs/>
          <w:color w:val="auto"/>
          <w:kern w:val="2"/>
          <w:sz w:val="32"/>
          <w:szCs w:val="32"/>
        </w:rPr>
      </w:pPr>
    </w:p>
    <w:p w14:paraId="0A0112AE">
      <w:pPr>
        <w:pStyle w:val="50"/>
        <w:widowControl w:val="0"/>
        <w:snapToGrid w:val="0"/>
        <w:spacing w:line="360" w:lineRule="auto"/>
        <w:ind w:firstLine="0"/>
        <w:jc w:val="center"/>
        <w:rPr>
          <w:bCs/>
          <w:color w:val="auto"/>
          <w:kern w:val="2"/>
          <w:sz w:val="32"/>
          <w:szCs w:val="32"/>
        </w:rPr>
      </w:pPr>
    </w:p>
    <w:p w14:paraId="3C66ED46">
      <w:pPr>
        <w:pStyle w:val="50"/>
        <w:widowControl w:val="0"/>
        <w:snapToGrid w:val="0"/>
        <w:spacing w:line="360" w:lineRule="auto"/>
        <w:ind w:firstLine="0"/>
        <w:jc w:val="center"/>
        <w:rPr>
          <w:bCs/>
          <w:color w:val="auto"/>
          <w:kern w:val="2"/>
          <w:sz w:val="32"/>
          <w:szCs w:val="32"/>
        </w:rPr>
      </w:pPr>
    </w:p>
    <w:p w14:paraId="6ED69C86">
      <w:pPr>
        <w:pStyle w:val="50"/>
        <w:widowControl w:val="0"/>
        <w:snapToGrid w:val="0"/>
        <w:spacing w:line="360" w:lineRule="auto"/>
        <w:ind w:firstLine="0"/>
        <w:jc w:val="center"/>
        <w:rPr>
          <w:bCs/>
          <w:color w:val="auto"/>
          <w:kern w:val="2"/>
          <w:sz w:val="32"/>
          <w:szCs w:val="32"/>
        </w:rPr>
      </w:pPr>
    </w:p>
    <w:p w14:paraId="56F992AA">
      <w:pPr>
        <w:pStyle w:val="50"/>
        <w:widowControl w:val="0"/>
        <w:snapToGrid w:val="0"/>
        <w:spacing w:line="360" w:lineRule="auto"/>
        <w:ind w:firstLine="0"/>
        <w:jc w:val="center"/>
        <w:rPr>
          <w:bCs/>
          <w:color w:val="auto"/>
          <w:kern w:val="2"/>
          <w:sz w:val="32"/>
          <w:szCs w:val="32"/>
        </w:rPr>
      </w:pPr>
    </w:p>
    <w:p w14:paraId="52805716">
      <w:pPr>
        <w:pStyle w:val="50"/>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项目名称：生殖科门诊病历数字化制作服务</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1022</w:t>
      </w:r>
    </w:p>
    <w:p w14:paraId="1412DA38">
      <w:pPr>
        <w:pStyle w:val="50"/>
        <w:widowControl w:val="0"/>
        <w:snapToGrid w:val="0"/>
        <w:spacing w:line="360" w:lineRule="auto"/>
        <w:ind w:firstLine="0"/>
        <w:jc w:val="center"/>
        <w:rPr>
          <w:rFonts w:ascii="宋体" w:hAnsi="宋体"/>
          <w:color w:val="auto"/>
        </w:rPr>
      </w:pPr>
    </w:p>
    <w:p w14:paraId="441F63E6">
      <w:pPr>
        <w:pStyle w:val="50"/>
        <w:spacing w:line="360" w:lineRule="auto"/>
        <w:ind w:firstLine="0"/>
        <w:jc w:val="center"/>
        <w:rPr>
          <w:rFonts w:ascii="宋体" w:hAnsi="宋体"/>
          <w:color w:val="auto"/>
          <w:sz w:val="32"/>
          <w:szCs w:val="32"/>
        </w:rPr>
      </w:pPr>
    </w:p>
    <w:p w14:paraId="6FA27D39">
      <w:pPr>
        <w:pStyle w:val="50"/>
        <w:spacing w:line="360" w:lineRule="auto"/>
        <w:ind w:firstLine="0"/>
        <w:jc w:val="center"/>
        <w:rPr>
          <w:rFonts w:ascii="宋体" w:hAnsi="宋体"/>
          <w:color w:val="auto"/>
          <w:sz w:val="32"/>
          <w:szCs w:val="32"/>
        </w:rPr>
      </w:pPr>
    </w:p>
    <w:p w14:paraId="4116234B">
      <w:pPr>
        <w:pStyle w:val="50"/>
        <w:spacing w:line="360" w:lineRule="auto"/>
        <w:ind w:firstLine="0"/>
        <w:jc w:val="center"/>
        <w:rPr>
          <w:rFonts w:ascii="宋体" w:hAnsi="宋体"/>
          <w:color w:val="auto"/>
          <w:sz w:val="32"/>
          <w:szCs w:val="32"/>
        </w:rPr>
      </w:pPr>
    </w:p>
    <w:p w14:paraId="18D4F23F">
      <w:pPr>
        <w:pStyle w:val="50"/>
        <w:spacing w:line="360" w:lineRule="auto"/>
        <w:ind w:firstLine="0"/>
        <w:jc w:val="center"/>
        <w:rPr>
          <w:rFonts w:ascii="宋体" w:hAnsi="宋体"/>
          <w:color w:val="auto"/>
          <w:sz w:val="32"/>
          <w:szCs w:val="32"/>
        </w:rPr>
      </w:pPr>
    </w:p>
    <w:p w14:paraId="70867142">
      <w:pPr>
        <w:pStyle w:val="50"/>
        <w:spacing w:line="360" w:lineRule="auto"/>
        <w:ind w:firstLine="0"/>
        <w:jc w:val="center"/>
        <w:rPr>
          <w:rFonts w:ascii="宋体" w:hAnsi="宋体"/>
          <w:color w:val="auto"/>
          <w:sz w:val="32"/>
          <w:szCs w:val="32"/>
        </w:rPr>
      </w:pPr>
    </w:p>
    <w:p w14:paraId="2136BCF0">
      <w:pPr>
        <w:pStyle w:val="50"/>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0"/>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1"/>
          </w:pPr>
        </w:p>
        <w:p w14:paraId="671F0060">
          <w:pPr>
            <w:pStyle w:val="12"/>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2"/>
              <w:rFonts w:hint="eastAsia" w:asciiTheme="minorEastAsia" w:hAnsiTheme="minorEastAsia" w:eastAsiaTheme="minorEastAsia"/>
              <w:b/>
              <w:sz w:val="30"/>
              <w:szCs w:val="30"/>
            </w:rPr>
            <w:t>第一章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2"/>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2"/>
              <w:rFonts w:hint="eastAsia" w:asciiTheme="minorEastAsia" w:hAnsiTheme="minorEastAsia" w:eastAsiaTheme="minorEastAsia"/>
              <w:b/>
              <w:sz w:val="30"/>
              <w:szCs w:val="30"/>
            </w:rPr>
            <w:t>第二章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2"/>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2"/>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- 14 -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5"/>
        <w:sectPr>
          <w:footerReference r:id="rId3" w:type="default"/>
          <w:pgSz w:w="11906" w:h="16838"/>
          <w:pgMar w:top="1440" w:right="1800" w:bottom="1440" w:left="1800" w:header="851" w:footer="992" w:gutter="0"/>
          <w:cols w:space="425" w:num="1"/>
          <w:docGrid w:type="lines" w:linePitch="312" w:charSpace="0"/>
        </w:sectPr>
      </w:pPr>
    </w:p>
    <w:p w14:paraId="5F3F6B66">
      <w:pPr>
        <w:pStyle w:val="15"/>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1022</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生殖科门诊病历数字化制作服务，预算金额</w:t>
      </w:r>
      <w:r>
        <w:rPr>
          <w:rFonts w:hint="eastAsia"/>
          <w:color w:val="0000FF"/>
          <w:sz w:val="24"/>
          <w:lang w:val="en-US" w:eastAsia="zh-CN"/>
        </w:rPr>
        <w:t>9.8</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11</w:t>
      </w:r>
      <w:r>
        <w:rPr>
          <w:rFonts w:hint="eastAsia"/>
          <w:b/>
          <w:color w:val="0000FF"/>
          <w:sz w:val="24"/>
        </w:rPr>
        <w:t>月</w:t>
      </w:r>
      <w:r>
        <w:rPr>
          <w:rFonts w:hint="eastAsia"/>
          <w:b/>
          <w:color w:val="0000FF"/>
          <w:sz w:val="24"/>
          <w:lang w:val="en-US" w:eastAsia="zh-CN"/>
        </w:rPr>
        <w:t>05</w:t>
      </w:r>
      <w:r>
        <w:rPr>
          <w:rFonts w:hint="eastAsia"/>
          <w:b/>
          <w:color w:val="0000FF"/>
          <w:sz w:val="24"/>
        </w:rPr>
        <w:t>日下午2点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10</w:t>
      </w:r>
      <w:r>
        <w:rPr>
          <w:rFonts w:hint="eastAsia"/>
          <w:b/>
          <w:sz w:val="24"/>
        </w:rPr>
        <w:t>月</w:t>
      </w:r>
      <w:r>
        <w:rPr>
          <w:rFonts w:hint="eastAsia"/>
          <w:b/>
          <w:sz w:val="24"/>
          <w:lang w:val="en-US" w:eastAsia="zh-CN"/>
        </w:rPr>
        <w:t>29</w:t>
      </w:r>
      <w:r>
        <w:rPr>
          <w:rFonts w:hint="eastAsia"/>
          <w:b/>
          <w:sz w:val="24"/>
        </w:rPr>
        <w:t>日17:00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2"/>
          <w:rFonts w:hint="eastAsia"/>
          <w:color w:val="auto"/>
          <w:sz w:val="24"/>
          <w:lang w:val="en-US" w:eastAsia="zh-CN"/>
        </w:rPr>
        <w:t>5518003</w:t>
      </w:r>
      <w:r>
        <w:rPr>
          <w:rStyle w:val="22"/>
          <w:color w:val="auto"/>
          <w:sz w:val="24"/>
        </w:rPr>
        <w:t>@zju.edu.cn</w:t>
      </w:r>
      <w:r>
        <w:rPr>
          <w:rStyle w:val="22"/>
          <w:color w:val="auto"/>
          <w:sz w:val="24"/>
        </w:rPr>
        <w:fldChar w:fldCharType="end"/>
      </w:r>
      <w:r>
        <w:rPr>
          <w:rFonts w:hint="eastAsia"/>
          <w:sz w:val="24"/>
        </w:rPr>
        <w:t>。</w:t>
      </w:r>
    </w:p>
    <w:p w14:paraId="6A88EC46">
      <w:pPr>
        <w:pStyle w:val="15"/>
      </w:pPr>
      <w:r>
        <w:rPr>
          <w:rFonts w:hint="eastAsia"/>
        </w:rPr>
        <w:t xml:space="preserve">第二章 </w:t>
      </w:r>
      <w:r>
        <w:t>采购内容</w:t>
      </w:r>
      <w:r>
        <w:rPr>
          <w:rFonts w:hint="eastAsia"/>
        </w:rPr>
        <w:t>及</w:t>
      </w:r>
      <w:r>
        <w:t>需求</w:t>
      </w:r>
      <w:bookmarkEnd w:id="1"/>
    </w:p>
    <w:p w14:paraId="4350C9D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139AF3C0">
      <w:pPr>
        <w:spacing w:line="360" w:lineRule="auto"/>
        <w:ind w:firstLine="424" w:firstLineChars="202"/>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该项目源于对生殖科门诊病历历史档案资料数字化管理的需求</w:t>
      </w:r>
      <w:r>
        <w:rPr>
          <w:rFonts w:hint="eastAsia" w:ascii="宋体" w:hAnsi="宋体" w:cs="宋体"/>
          <w:bCs/>
          <w:iCs/>
          <w:color w:val="000000" w:themeColor="text1"/>
          <w:szCs w:val="21"/>
          <w:lang w:eastAsia="zh-CN"/>
          <w14:textFill>
            <w14:solidFill>
              <w14:schemeClr w14:val="tx1"/>
            </w14:solidFill>
          </w14:textFill>
        </w:rPr>
        <w:t>。</w:t>
      </w:r>
      <w:r>
        <w:rPr>
          <w:rFonts w:hint="eastAsia" w:ascii="宋体" w:hAnsi="宋体" w:cs="宋体"/>
          <w:b/>
          <w:iCs/>
          <w:color w:val="000000" w:themeColor="text1"/>
          <w:szCs w:val="21"/>
          <w:lang w:val="en-US" w:eastAsia="zh-CN"/>
          <w14:textFill>
            <w14:solidFill>
              <w14:schemeClr w14:val="tx1"/>
            </w14:solidFill>
          </w14:textFill>
        </w:rPr>
        <w:t>项目</w:t>
      </w:r>
      <w:r>
        <w:rPr>
          <w:rFonts w:hint="eastAsia" w:ascii="宋体" w:hAnsi="宋体" w:cs="宋体"/>
          <w:bCs/>
          <w:iCs/>
          <w:color w:val="000000" w:themeColor="text1"/>
          <w:szCs w:val="21"/>
          <w14:textFill>
            <w14:solidFill>
              <w14:schemeClr w14:val="tx1"/>
            </w14:solidFill>
          </w14:textFill>
        </w:rPr>
        <w:t>旨在对医院生殖科门诊病历历史档案进行数字化处理，形成便于管理、查找、利用的数字化档案系统</w:t>
      </w:r>
      <w:r>
        <w:rPr>
          <w:rFonts w:hint="eastAsia" w:ascii="宋体" w:hAnsi="宋体" w:cs="宋体"/>
          <w:bCs/>
          <w:iCs/>
          <w:color w:val="000000" w:themeColor="text1"/>
          <w:szCs w:val="21"/>
          <w:lang w:eastAsia="zh-CN"/>
          <w14:textFill>
            <w14:solidFill>
              <w14:schemeClr w14:val="tx1"/>
            </w14:solidFill>
          </w14:textFill>
        </w:rPr>
        <w:t>，</w:t>
      </w:r>
      <w:r>
        <w:rPr>
          <w:rFonts w:hint="eastAsia" w:ascii="宋体" w:hAnsi="宋体" w:cs="宋体"/>
          <w:bCs/>
          <w:iCs/>
          <w:color w:val="000000" w:themeColor="text1"/>
          <w:szCs w:val="21"/>
          <w:lang w:val="en-US" w:eastAsia="zh-CN"/>
          <w14:textFill>
            <w14:solidFill>
              <w14:schemeClr w14:val="tx1"/>
            </w14:solidFill>
          </w14:textFill>
        </w:rPr>
        <w:t>解决</w:t>
      </w:r>
      <w:r>
        <w:rPr>
          <w:rFonts w:hint="eastAsia" w:ascii="宋体" w:hAnsi="宋体" w:cs="宋体"/>
          <w:bCs/>
          <w:iCs/>
          <w:color w:val="000000" w:themeColor="text1"/>
          <w:szCs w:val="21"/>
          <w14:textFill>
            <w14:solidFill>
              <w14:schemeClr w14:val="tx1"/>
            </w14:solidFill>
          </w14:textFill>
        </w:rPr>
        <w:t>生殖科纸质病案存储分散、调阅耗时的难题，更能为生殖医学科研、个体化诊疗方案优化提供安全高效的数据支撑，最终助力</w:t>
      </w:r>
      <w:r>
        <w:rPr>
          <w:rFonts w:hint="eastAsia" w:ascii="宋体" w:hAnsi="宋体" w:cs="宋体"/>
          <w:bCs/>
          <w:iCs/>
          <w:color w:val="000000" w:themeColor="text1"/>
          <w:szCs w:val="21"/>
          <w:lang w:val="en-US" w:eastAsia="zh-CN"/>
          <w14:textFill>
            <w14:solidFill>
              <w14:schemeClr w14:val="tx1"/>
            </w14:solidFill>
          </w14:textFill>
        </w:rPr>
        <w:t>提升</w:t>
      </w:r>
      <w:r>
        <w:rPr>
          <w:rFonts w:hint="eastAsia" w:ascii="宋体" w:hAnsi="宋体" w:cs="宋体"/>
          <w:bCs/>
          <w:iCs/>
          <w:color w:val="000000" w:themeColor="text1"/>
          <w:szCs w:val="21"/>
          <w14:textFill>
            <w14:solidFill>
              <w14:schemeClr w14:val="tx1"/>
            </w14:solidFill>
          </w14:textFill>
        </w:rPr>
        <w:t>患者满意度。</w:t>
      </w:r>
      <w:r>
        <w:rPr>
          <w:rFonts w:hint="eastAsia" w:ascii="宋体" w:hAnsi="宋体" w:cs="宋体"/>
          <w:bCs/>
          <w:iCs/>
          <w:color w:val="000000" w:themeColor="text1"/>
          <w:szCs w:val="21"/>
          <w:lang w:val="en-US" w:eastAsia="zh-CN"/>
          <w14:textFill>
            <w14:solidFill>
              <w14:schemeClr w14:val="tx1"/>
            </w14:solidFill>
          </w14:textFill>
        </w:rPr>
        <w:t>本项目服务</w:t>
      </w:r>
      <w:r>
        <w:rPr>
          <w:rFonts w:hint="eastAsia" w:ascii="宋体" w:hAnsi="宋体" w:cs="宋体"/>
          <w:bCs/>
          <w:iCs/>
          <w:color w:val="000000" w:themeColor="text1"/>
          <w:szCs w:val="21"/>
          <w14:textFill>
            <w14:solidFill>
              <w14:schemeClr w14:val="tx1"/>
            </w14:solidFill>
          </w14:textFill>
        </w:rPr>
        <w:t>符合国家及卫生部标准，具备多种档案检索模式，有使用权限控制（含网络申请审批、授权时段等），档案访问权限分阅读、打印、导出三类且向下兼容，还能自动记录操作日志、实现数据磁盘备份，确保数字化档案图像清晰且索引数据对应正确。</w:t>
      </w:r>
    </w:p>
    <w:p w14:paraId="05A35D59">
      <w:pPr>
        <w:pStyle w:val="2"/>
        <w:numPr>
          <w:ilvl w:val="0"/>
          <w:numId w:val="1"/>
        </w:numPr>
        <w:tabs>
          <w:tab w:val="left" w:pos="720"/>
          <w:tab w:val="left" w:pos="1980"/>
        </w:tabs>
        <w:spacing w:line="440" w:lineRule="exact"/>
        <w:rPr>
          <w:rFonts w:hAnsi="宋体" w:cs="宋体"/>
          <w:sz w:val="21"/>
          <w:szCs w:val="21"/>
          <w:lang w:eastAsia="zh-CN"/>
        </w:rPr>
      </w:pPr>
      <w:r>
        <w:rPr>
          <w:rFonts w:hint="eastAsia" w:hAnsi="宋体" w:cs="宋体"/>
          <w:sz w:val="21"/>
          <w:szCs w:val="21"/>
        </w:rPr>
        <w:t>项目内容</w:t>
      </w:r>
    </w:p>
    <w:p w14:paraId="29D65202"/>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211"/>
        <w:gridCol w:w="5201"/>
      </w:tblGrid>
      <w:tr w14:paraId="6CF1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14:paraId="0098488B">
            <w:pPr>
              <w:jc w:val="center"/>
            </w:pPr>
            <w:r>
              <w:rPr>
                <w:rFonts w:hint="eastAsia"/>
              </w:rPr>
              <w:t>序号</w:t>
            </w:r>
          </w:p>
        </w:tc>
        <w:tc>
          <w:tcPr>
            <w:tcW w:w="2211" w:type="dxa"/>
            <w:vAlign w:val="center"/>
          </w:tcPr>
          <w:p w14:paraId="1E5FC473">
            <w:pPr>
              <w:jc w:val="center"/>
            </w:pPr>
            <w:r>
              <w:rPr>
                <w:rFonts w:hint="eastAsia"/>
              </w:rPr>
              <w:t>内容</w:t>
            </w:r>
          </w:p>
        </w:tc>
        <w:tc>
          <w:tcPr>
            <w:tcW w:w="5201" w:type="dxa"/>
            <w:vAlign w:val="center"/>
          </w:tcPr>
          <w:p w14:paraId="44CB0B6F">
            <w:pPr>
              <w:jc w:val="center"/>
            </w:pPr>
            <w:r>
              <w:rPr>
                <w:rFonts w:hint="eastAsia"/>
              </w:rPr>
              <w:t>说明</w:t>
            </w:r>
          </w:p>
        </w:tc>
      </w:tr>
      <w:tr w14:paraId="4AC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0" w:type="dxa"/>
            <w:vAlign w:val="center"/>
          </w:tcPr>
          <w:p w14:paraId="152D0F81">
            <w:pPr>
              <w:spacing w:line="360" w:lineRule="auto"/>
            </w:pPr>
            <w:r>
              <w:rPr>
                <w:rFonts w:hint="eastAsia"/>
              </w:rPr>
              <w:t>1</w:t>
            </w:r>
          </w:p>
        </w:tc>
        <w:tc>
          <w:tcPr>
            <w:tcW w:w="2211" w:type="dxa"/>
            <w:vAlign w:val="center"/>
          </w:tcPr>
          <w:p w14:paraId="6E5CF05A">
            <w:pPr>
              <w:spacing w:line="360" w:lineRule="auto"/>
            </w:pPr>
            <w:r>
              <w:t>档案检索与阅读管理</w:t>
            </w:r>
          </w:p>
        </w:tc>
        <w:tc>
          <w:tcPr>
            <w:tcW w:w="5201" w:type="dxa"/>
            <w:vAlign w:val="center"/>
          </w:tcPr>
          <w:p w14:paraId="19B81022">
            <w:pPr>
              <w:spacing w:line="360" w:lineRule="auto"/>
            </w:pPr>
            <w:r>
              <w:t>支持单一及组合检索模式，满足不同场景下的查询需求；档案图像阅读显示带有水印，防范偷拍与非法拷贝，同时支持彩色及黑白阅读和打印。</w:t>
            </w:r>
          </w:p>
        </w:tc>
      </w:tr>
      <w:tr w14:paraId="696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0" w:type="dxa"/>
            <w:vAlign w:val="center"/>
          </w:tcPr>
          <w:p w14:paraId="6D2F8C21">
            <w:pPr>
              <w:spacing w:line="360" w:lineRule="auto"/>
            </w:pPr>
            <w:r>
              <w:rPr>
                <w:rFonts w:hint="eastAsia"/>
              </w:rPr>
              <w:t>2</w:t>
            </w:r>
          </w:p>
        </w:tc>
        <w:tc>
          <w:tcPr>
            <w:tcW w:w="2211" w:type="dxa"/>
            <w:vAlign w:val="center"/>
          </w:tcPr>
          <w:p w14:paraId="37F3A295">
            <w:pPr>
              <w:spacing w:line="360" w:lineRule="auto"/>
            </w:pPr>
            <w:r>
              <w:t>权限控制与外部访问</w:t>
            </w:r>
          </w:p>
        </w:tc>
        <w:tc>
          <w:tcPr>
            <w:tcW w:w="5201" w:type="dxa"/>
            <w:vAlign w:val="center"/>
          </w:tcPr>
          <w:p w14:paraId="444E4C3A">
            <w:pPr>
              <w:spacing w:line="360" w:lineRule="auto"/>
            </w:pPr>
            <w:r>
              <w:t>系统提供分级访问控制，权限涵盖阅读、打印、导出等层级，支持按用户组、科室、有效期、医学分类、IP地址等多维限制；外部机构可通过临时授权方式在设定时段内访问档案。</w:t>
            </w:r>
          </w:p>
        </w:tc>
      </w:tr>
      <w:tr w14:paraId="1F62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0" w:type="dxa"/>
            <w:vAlign w:val="center"/>
          </w:tcPr>
          <w:p w14:paraId="1169C90E">
            <w:pPr>
              <w:spacing w:line="360" w:lineRule="auto"/>
            </w:pPr>
            <w:r>
              <w:rPr>
                <w:rFonts w:hint="eastAsia"/>
              </w:rPr>
              <w:t>3</w:t>
            </w:r>
          </w:p>
        </w:tc>
        <w:tc>
          <w:tcPr>
            <w:tcW w:w="2211" w:type="dxa"/>
            <w:vAlign w:val="center"/>
          </w:tcPr>
          <w:p w14:paraId="0BCB402B">
            <w:pPr>
              <w:spacing w:line="360" w:lineRule="auto"/>
            </w:pPr>
            <w:r>
              <w:t>日志审计与安全追溯</w:t>
            </w:r>
          </w:p>
        </w:tc>
        <w:tc>
          <w:tcPr>
            <w:tcW w:w="5201" w:type="dxa"/>
            <w:vAlign w:val="center"/>
          </w:tcPr>
          <w:p w14:paraId="3E64A89C">
            <w:pPr>
              <w:spacing w:line="360" w:lineRule="auto"/>
            </w:pPr>
            <w:r>
              <w:t>系统自动记录用户的全部操作行为，生成可追溯的日志报表，保障使用过程可控可查，提升档案数据安全性。</w:t>
            </w:r>
          </w:p>
        </w:tc>
      </w:tr>
      <w:tr w14:paraId="0560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10" w:type="dxa"/>
            <w:vAlign w:val="center"/>
          </w:tcPr>
          <w:p w14:paraId="043EE029">
            <w:pPr>
              <w:spacing w:line="360" w:lineRule="auto"/>
            </w:pPr>
            <w:r>
              <w:rPr>
                <w:rFonts w:hint="eastAsia"/>
              </w:rPr>
              <w:t>4</w:t>
            </w:r>
          </w:p>
        </w:tc>
        <w:tc>
          <w:tcPr>
            <w:tcW w:w="2211" w:type="dxa"/>
            <w:vAlign w:val="center"/>
          </w:tcPr>
          <w:p w14:paraId="283BD1CD">
            <w:pPr>
              <w:spacing w:line="360" w:lineRule="auto"/>
            </w:pPr>
            <w:r>
              <w:t>数据质量与备份恢复</w:t>
            </w:r>
          </w:p>
        </w:tc>
        <w:tc>
          <w:tcPr>
            <w:tcW w:w="5201" w:type="dxa"/>
            <w:vAlign w:val="center"/>
          </w:tcPr>
          <w:p w14:paraId="08D60141">
            <w:pPr>
              <w:spacing w:line="360" w:lineRule="auto"/>
            </w:pPr>
            <w:r>
              <w:t>档案图像需高清、无歪斜且标注完整，保证病历索引与图像精准对应；系统支持磁盘备份及定时定期的数据备份与还原，确保档案数据长期安全存储。</w:t>
            </w:r>
          </w:p>
        </w:tc>
      </w:tr>
    </w:tbl>
    <w:p w14:paraId="012730A9"/>
    <w:p w14:paraId="0A2A7F66">
      <w:pPr>
        <w:pStyle w:val="2"/>
        <w:numPr>
          <w:ilvl w:val="0"/>
          <w:numId w:val="1"/>
        </w:numPr>
        <w:tabs>
          <w:tab w:val="left" w:pos="720"/>
          <w:tab w:val="left" w:pos="1980"/>
        </w:tabs>
        <w:spacing w:line="440" w:lineRule="exact"/>
        <w:rPr>
          <w:rFonts w:hAnsi="宋体" w:cs="宋体"/>
          <w:sz w:val="21"/>
          <w:szCs w:val="21"/>
        </w:rPr>
      </w:pPr>
      <w:r>
        <w:rPr>
          <w:rFonts w:hint="eastAsia" w:hAnsi="宋体" w:cs="宋体"/>
          <w:sz w:val="21"/>
          <w:szCs w:val="21"/>
        </w:rPr>
        <w:t>技术要求</w:t>
      </w:r>
    </w:p>
    <w:p w14:paraId="46A3B125">
      <w:pPr>
        <w:pStyle w:val="28"/>
        <w:numPr>
          <w:ilvl w:val="0"/>
          <w:numId w:val="2"/>
        </w:numPr>
      </w:pPr>
      <w:r>
        <w:rPr>
          <w:rFonts w:hint="eastAsia"/>
        </w:rPr>
        <w:t>总体要求</w:t>
      </w:r>
    </w:p>
    <w:p w14:paraId="1AD28142">
      <w:pPr>
        <w:spacing w:line="360" w:lineRule="auto"/>
        <w:ind w:firstLine="422" w:firstLineChars="200"/>
        <w:rPr>
          <w:b/>
          <w:bCs/>
        </w:rPr>
      </w:pPr>
      <w:r>
        <w:rPr>
          <w:rFonts w:hint="eastAsia"/>
          <w:b/>
          <w:bCs/>
        </w:rPr>
        <w:t>一、项目实施与服务期限</w:t>
      </w:r>
    </w:p>
    <w:p w14:paraId="0D55845F">
      <w:pPr>
        <w:spacing w:line="360" w:lineRule="auto"/>
        <w:ind w:firstLine="420" w:firstLineChars="200"/>
      </w:pPr>
      <w:r>
        <w:rPr>
          <w:rFonts w:hint="eastAsia"/>
        </w:rPr>
        <w:t>1.合同签订后，完成生殖科</w:t>
      </w:r>
      <w:r>
        <w:rPr>
          <w:rFonts w:hint="eastAsia"/>
          <w:lang w:val="en-US" w:eastAsia="zh-CN"/>
        </w:rPr>
        <w:t>自</w:t>
      </w:r>
      <w:r>
        <w:rPr>
          <w:rFonts w:hint="eastAsia"/>
        </w:rPr>
        <w:t>2024年6月</w:t>
      </w:r>
      <w:r>
        <w:rPr>
          <w:rFonts w:hint="eastAsia"/>
          <w:lang w:val="en-US" w:eastAsia="zh-CN"/>
        </w:rPr>
        <w:t>起</w:t>
      </w:r>
      <w:r>
        <w:rPr>
          <w:rFonts w:hint="eastAsia"/>
        </w:rPr>
        <w:t>产生的生殖和人工授精的档案资料数字化档案</w:t>
      </w:r>
      <w:r>
        <w:rPr>
          <w:rFonts w:hint="eastAsia"/>
          <w:lang w:val="en-US" w:eastAsia="zh-CN"/>
        </w:rPr>
        <w:t>制作</w:t>
      </w:r>
      <w:r>
        <w:rPr>
          <w:rFonts w:hint="eastAsia"/>
        </w:rPr>
        <w:t>工作</w:t>
      </w:r>
      <w:r>
        <w:rPr>
          <w:rFonts w:hint="eastAsia"/>
          <w:lang w:eastAsia="zh-CN"/>
        </w:rPr>
        <w:t>，</w:t>
      </w:r>
      <w:r>
        <w:rPr>
          <w:rFonts w:hint="eastAsia"/>
          <w:lang w:val="en-US" w:eastAsia="zh-CN"/>
        </w:rPr>
        <w:t>服务周期自合同签订起12个月，以实际制作的数量结算</w:t>
      </w:r>
      <w:r>
        <w:rPr>
          <w:rFonts w:hint="eastAsia"/>
        </w:rPr>
        <w:t>。</w:t>
      </w:r>
    </w:p>
    <w:p w14:paraId="657D583C">
      <w:pPr>
        <w:spacing w:line="360" w:lineRule="auto"/>
        <w:ind w:firstLine="420" w:firstLineChars="200"/>
        <w:rPr>
          <w:rFonts w:hint="eastAsia"/>
          <w:color w:val="auto"/>
        </w:rPr>
      </w:pPr>
      <w:r>
        <w:rPr>
          <w:rFonts w:hint="eastAsia"/>
          <w:color w:val="auto"/>
        </w:rPr>
        <w:t>2.结算金额为实际翻拍加工数量x每页单价以及人工录入档案首页数量x每份单价结算项目款项，最多不超过</w:t>
      </w:r>
      <w:r>
        <w:rPr>
          <w:rFonts w:hint="eastAsia"/>
          <w:color w:val="auto"/>
          <w:lang w:val="en-US" w:eastAsia="zh-CN"/>
        </w:rPr>
        <w:t>合同</w:t>
      </w:r>
      <w:r>
        <w:rPr>
          <w:rFonts w:hint="eastAsia"/>
          <w:color w:val="auto"/>
        </w:rPr>
        <w:t>金额。</w:t>
      </w:r>
    </w:p>
    <w:p w14:paraId="37ECD52E">
      <w:pPr>
        <w:pStyle w:val="4"/>
        <w:rPr>
          <w:color w:val="auto"/>
        </w:rPr>
      </w:pPr>
      <w:bookmarkStart w:id="14" w:name="_GoBack"/>
      <w:bookmarkEnd w:id="14"/>
    </w:p>
    <w:p w14:paraId="16C14FA3">
      <w:pPr>
        <w:spacing w:line="360" w:lineRule="auto"/>
        <w:ind w:firstLine="422" w:firstLineChars="200"/>
        <w:rPr>
          <w:b/>
          <w:bCs/>
          <w:color w:val="auto"/>
        </w:rPr>
      </w:pPr>
      <w:r>
        <w:rPr>
          <w:rFonts w:hint="eastAsia"/>
          <w:b/>
          <w:bCs/>
          <w:color w:val="auto"/>
        </w:rPr>
        <w:t>二、兼容性与系统整合</w:t>
      </w:r>
    </w:p>
    <w:p w14:paraId="5ED1CB38">
      <w:pPr>
        <w:spacing w:line="360" w:lineRule="auto"/>
        <w:ind w:firstLine="420" w:firstLineChars="200"/>
      </w:pPr>
      <w:r>
        <w:rPr>
          <w:rFonts w:hint="eastAsia"/>
          <w:color w:val="auto"/>
        </w:rPr>
        <w:t>1.数字化档案图像浏览等软件具备良好的</w:t>
      </w:r>
      <w:r>
        <w:rPr>
          <w:rFonts w:hint="eastAsia"/>
        </w:rPr>
        <w:t>兼容性，</w:t>
      </w:r>
      <w:r>
        <w:t>能够与医院现有档案数字化项目统一整合，确保后续信息调用和数据共享的便利性</w:t>
      </w:r>
      <w:r>
        <w:rPr>
          <w:rFonts w:hint="eastAsia"/>
        </w:rPr>
        <w:t>。</w:t>
      </w:r>
    </w:p>
    <w:p w14:paraId="15C3D5CB">
      <w:pPr>
        <w:spacing w:line="360" w:lineRule="auto"/>
        <w:ind w:firstLine="420" w:firstLineChars="200"/>
      </w:pPr>
      <w:r>
        <w:rPr>
          <w:rFonts w:hint="eastAsia"/>
        </w:rPr>
        <w:t>2.充分了解医院现有档案数字化项目现状，整合为统一应用，统一成一个界面调用所有数字化相关数据，并提供厂商承诺函，如查实未能达到院方要求的承诺被视为虚假应标，院方将追究其责任，并终止合作。</w:t>
      </w:r>
    </w:p>
    <w:p w14:paraId="1C22EEA4">
      <w:pPr>
        <w:spacing w:line="360" w:lineRule="auto"/>
        <w:ind w:firstLine="422" w:firstLineChars="200"/>
        <w:rPr>
          <w:b/>
          <w:bCs/>
        </w:rPr>
      </w:pPr>
      <w:r>
        <w:rPr>
          <w:rFonts w:hint="eastAsia"/>
          <w:b/>
          <w:bCs/>
        </w:rPr>
        <w:t>三、数字化加工技术要求</w:t>
      </w:r>
    </w:p>
    <w:p w14:paraId="4438387A">
      <w:pPr>
        <w:spacing w:line="360" w:lineRule="auto"/>
        <w:ind w:firstLine="420" w:firstLineChars="200"/>
      </w:pPr>
      <w:r>
        <w:rPr>
          <w:rFonts w:hint="eastAsia"/>
        </w:rPr>
        <w:t>1.对原始纸质档案应用数码技术分页数字化加工制作，形成数码图像。</w:t>
      </w:r>
    </w:p>
    <w:p w14:paraId="10E69AD2">
      <w:pPr>
        <w:spacing w:line="360" w:lineRule="auto"/>
        <w:ind w:firstLine="420" w:firstLineChars="200"/>
      </w:pPr>
      <w:r>
        <w:rPr>
          <w:rFonts w:hint="eastAsia"/>
        </w:rPr>
        <w:t>2.图像高清，数字化档案的图像尺寸为2048x1536(310万像素)及以上，必须同时提供彩色图像和黑白图像二份图片。</w:t>
      </w:r>
    </w:p>
    <w:p w14:paraId="5067C4CA">
      <w:pPr>
        <w:spacing w:line="360" w:lineRule="auto"/>
        <w:ind w:firstLine="422" w:firstLineChars="200"/>
        <w:rPr>
          <w:b/>
          <w:bCs/>
        </w:rPr>
      </w:pPr>
      <w:r>
        <w:rPr>
          <w:rFonts w:hint="eastAsia"/>
          <w:b/>
          <w:bCs/>
        </w:rPr>
        <w:t>四、档案信息录入与检索功能</w:t>
      </w:r>
    </w:p>
    <w:p w14:paraId="78890EB5">
      <w:pPr>
        <w:spacing w:line="360" w:lineRule="auto"/>
        <w:ind w:firstLine="420" w:firstLineChars="200"/>
        <w:rPr>
          <w:rFonts w:hint="eastAsia"/>
          <w:color w:val="auto"/>
          <w:lang w:val="en-US" w:eastAsia="zh-CN"/>
        </w:rPr>
      </w:pPr>
      <w:r>
        <w:rPr>
          <w:rFonts w:hint="eastAsia"/>
        </w:rPr>
        <w:t>1.</w:t>
      </w:r>
      <w:r>
        <w:t xml:space="preserve"> </w:t>
      </w:r>
      <w:r>
        <w:rPr>
          <w:rFonts w:hint="eastAsia"/>
        </w:rPr>
        <w:t>系统</w:t>
      </w:r>
      <w:r>
        <w:rPr>
          <w:rFonts w:hint="eastAsia"/>
          <w:color w:val="auto"/>
        </w:rPr>
        <w:t>支持</w:t>
      </w:r>
      <w:r>
        <w:rPr>
          <w:color w:val="auto"/>
        </w:rPr>
        <w:t>对档案关键信息进行录入和检索，至少包含以下字段：</w:t>
      </w:r>
      <w:r>
        <w:rPr>
          <w:rFonts w:hint="eastAsia"/>
          <w:color w:val="auto"/>
          <w:lang w:val="en-US" w:eastAsia="zh-CN"/>
        </w:rPr>
        <w:t>男、女双方病案号、姓名、身份证号、IVF周期号。</w:t>
      </w:r>
    </w:p>
    <w:p w14:paraId="016048D0">
      <w:pPr>
        <w:spacing w:line="360" w:lineRule="auto"/>
        <w:ind w:firstLine="420" w:firstLineChars="200"/>
      </w:pPr>
      <w:r>
        <w:rPr>
          <w:rFonts w:hint="eastAsia"/>
          <w:color w:val="auto"/>
        </w:rPr>
        <w:t>2.原始纸质档案可以</w:t>
      </w:r>
      <w:r>
        <w:rPr>
          <w:rFonts w:hint="eastAsia"/>
        </w:rPr>
        <w:t>使用条形码技术装箱保存，定位管理，便于对原始纸质档案的快速查找。</w:t>
      </w:r>
    </w:p>
    <w:p w14:paraId="0EEEECD9">
      <w:pPr>
        <w:spacing w:line="360" w:lineRule="auto"/>
        <w:ind w:firstLine="422" w:firstLineChars="200"/>
        <w:rPr>
          <w:b/>
          <w:bCs/>
        </w:rPr>
      </w:pPr>
      <w:r>
        <w:rPr>
          <w:rFonts w:hint="eastAsia"/>
          <w:b/>
          <w:bCs/>
        </w:rPr>
        <w:t>五、信息化平台集成与扩展</w:t>
      </w:r>
    </w:p>
    <w:p w14:paraId="0F5655DB">
      <w:pPr>
        <w:spacing w:line="360" w:lineRule="auto"/>
        <w:ind w:firstLine="420" w:firstLineChars="200"/>
      </w:pPr>
      <w:r>
        <w:rPr>
          <w:rFonts w:hint="eastAsia"/>
        </w:rPr>
        <w:t>1.数字化档案系统是医院信息化建设的一部分，需要整合到电子病历系统以及医院信息化平台中，以实现医院各系统的互联互通，提供“数字化档案”关键字(或具有相同功能表述的字段)软件产品证书。</w:t>
      </w:r>
    </w:p>
    <w:p w14:paraId="31D4EFAE">
      <w:pPr>
        <w:pStyle w:val="28"/>
        <w:numPr>
          <w:ilvl w:val="0"/>
          <w:numId w:val="2"/>
        </w:numPr>
      </w:pPr>
      <w:r>
        <w:rPr>
          <w:rFonts w:hint="eastAsia"/>
        </w:rPr>
        <w:t>维保服务要求</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7176"/>
      </w:tblGrid>
      <w:tr w14:paraId="1B57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533D0DE6">
            <w:r>
              <w:rPr>
                <w:rFonts w:hint="eastAsia"/>
              </w:rPr>
              <w:t>序号</w:t>
            </w:r>
          </w:p>
        </w:tc>
        <w:tc>
          <w:tcPr>
            <w:tcW w:w="7176" w:type="dxa"/>
            <w:vAlign w:val="center"/>
          </w:tcPr>
          <w:p w14:paraId="71CF8D6F">
            <w:r>
              <w:rPr>
                <w:rFonts w:hint="eastAsia"/>
              </w:rPr>
              <w:t>技术说明</w:t>
            </w:r>
          </w:p>
        </w:tc>
      </w:tr>
      <w:tr w14:paraId="419A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2E616271">
            <w:pPr>
              <w:pStyle w:val="28"/>
              <w:numPr>
                <w:ilvl w:val="0"/>
                <w:numId w:val="3"/>
              </w:numPr>
            </w:pPr>
          </w:p>
        </w:tc>
        <w:tc>
          <w:tcPr>
            <w:tcW w:w="7176" w:type="dxa"/>
            <w:vAlign w:val="center"/>
          </w:tcPr>
          <w:p w14:paraId="7282C14A">
            <w:pPr>
              <w:rPr>
                <w:i/>
                <w:color w:val="FF0000"/>
              </w:rPr>
            </w:pPr>
            <w:r>
              <w:rPr>
                <w:rFonts w:hint="eastAsia"/>
              </w:rPr>
              <w:t>服务范围</w:t>
            </w:r>
          </w:p>
        </w:tc>
      </w:tr>
      <w:tr w14:paraId="374F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58AA2256">
            <w:r>
              <w:rPr>
                <w:rFonts w:hint="eastAsia"/>
              </w:rPr>
              <w:t>1.</w:t>
            </w:r>
          </w:p>
        </w:tc>
        <w:tc>
          <w:tcPr>
            <w:tcW w:w="7176" w:type="dxa"/>
            <w:vAlign w:val="center"/>
          </w:tcPr>
          <w:p w14:paraId="5A8D6951">
            <w:pPr>
              <w:spacing w:line="360" w:lineRule="auto"/>
            </w:pPr>
            <w:r>
              <w:rPr>
                <w:b/>
                <w:bCs/>
              </w:rPr>
              <w:t>权限管理模块</w:t>
            </w:r>
            <w:r>
              <w:t>：包括用户/用户组/科室管理，档案权限配置与分类模板设置；支持访问权限控制、显示字段控制、水印设置、档案锁定、档案申请审批、监控中心、错误报告、档案定位、档案导出及档案浏览统计，实现全方位权限及安全管理。</w:t>
            </w:r>
          </w:p>
        </w:tc>
      </w:tr>
      <w:tr w14:paraId="0EDD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0D1BBEF3">
            <w:r>
              <w:rPr>
                <w:rFonts w:hint="eastAsia"/>
              </w:rPr>
              <w:t>2.</w:t>
            </w:r>
          </w:p>
        </w:tc>
        <w:tc>
          <w:tcPr>
            <w:tcW w:w="7176" w:type="dxa"/>
            <w:vAlign w:val="center"/>
          </w:tcPr>
          <w:p w14:paraId="1CB1DF93">
            <w:pPr>
              <w:spacing w:line="360" w:lineRule="auto"/>
            </w:pPr>
            <w:r>
              <w:rPr>
                <w:b/>
                <w:bCs/>
              </w:rPr>
              <w:t>档案检索模块</w:t>
            </w:r>
            <w:r>
              <w:t>：提供关键词搜索、高级搜索、自定义搜索、经典搜索等多样化检索方式，支持结果列表与卡片两种展示模式；档案图片浏览具备权限控制和工具箱处理功能，并支持收藏夹、申请查看、浏览历史及个性化设置。</w:t>
            </w:r>
          </w:p>
        </w:tc>
      </w:tr>
      <w:tr w14:paraId="00F3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4F886B96">
            <w:r>
              <w:rPr>
                <w:rFonts w:hint="eastAsia"/>
              </w:rPr>
              <w:t>3.</w:t>
            </w:r>
          </w:p>
        </w:tc>
        <w:tc>
          <w:tcPr>
            <w:tcW w:w="7176" w:type="dxa"/>
            <w:vAlign w:val="center"/>
          </w:tcPr>
          <w:p w14:paraId="7B860EC8">
            <w:pPr>
              <w:spacing w:line="360" w:lineRule="auto"/>
            </w:pPr>
            <w:r>
              <w:rPr>
                <w:b/>
                <w:bCs/>
              </w:rPr>
              <w:t>打印与复印模块</w:t>
            </w:r>
            <w:r>
              <w:t>：涵盖打印申请、快速打印、集中打印/复印等功能；支持申请人管理、费用统计、打印参数设置，并可生成打印明细、复印明细及邮寄明细，保障档案输出的合规性与可追溯性。</w:t>
            </w:r>
          </w:p>
        </w:tc>
      </w:tr>
      <w:tr w14:paraId="791A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4CB5E655">
            <w:r>
              <w:rPr>
                <w:rFonts w:hint="eastAsia"/>
              </w:rPr>
              <w:t>4.</w:t>
            </w:r>
          </w:p>
        </w:tc>
        <w:tc>
          <w:tcPr>
            <w:tcW w:w="7176" w:type="dxa"/>
            <w:vAlign w:val="center"/>
          </w:tcPr>
          <w:p w14:paraId="5FD0D690">
            <w:pPr>
              <w:spacing w:line="360" w:lineRule="auto"/>
              <w:rPr>
                <w:b/>
                <w:bCs/>
              </w:rPr>
            </w:pPr>
            <w:r>
              <w:rPr>
                <w:b/>
                <w:bCs/>
              </w:rPr>
              <w:t>系统兼容与集成：</w:t>
            </w:r>
            <w:r>
              <w:t>系统符合国家及卫生部相关标准，采用开放架构，可与医院现有信息化平台（含EMR、HIS等）统一整合，保证数据互联互通和功能扩展。</w:t>
            </w:r>
          </w:p>
        </w:tc>
      </w:tr>
      <w:tr w14:paraId="4B60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37D9B2B0">
            <w:r>
              <w:rPr>
                <w:rFonts w:hint="eastAsia"/>
              </w:rPr>
              <w:t>5.</w:t>
            </w:r>
          </w:p>
        </w:tc>
        <w:tc>
          <w:tcPr>
            <w:tcW w:w="7176" w:type="dxa"/>
            <w:vAlign w:val="center"/>
          </w:tcPr>
          <w:p w14:paraId="5AA5488C">
            <w:pPr>
              <w:spacing w:line="360" w:lineRule="auto"/>
              <w:rPr>
                <w:b/>
                <w:bCs/>
              </w:rPr>
            </w:pPr>
            <w:r>
              <w:rPr>
                <w:b/>
                <w:bCs/>
              </w:rPr>
              <w:t>档案质量与备份：</w:t>
            </w:r>
            <w:r>
              <w:t>数字化档案需高清无歪斜，索引数据与图像一一对应；系统支持磁盘备份、定时定期备份与数据还原，确保档案数据的安全与长期保存。</w:t>
            </w:r>
          </w:p>
        </w:tc>
      </w:tr>
      <w:tr w14:paraId="49ED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74ABC463">
            <w:pPr>
              <w:pStyle w:val="28"/>
              <w:numPr>
                <w:ilvl w:val="0"/>
                <w:numId w:val="3"/>
              </w:numPr>
            </w:pPr>
          </w:p>
        </w:tc>
        <w:tc>
          <w:tcPr>
            <w:tcW w:w="7176" w:type="dxa"/>
            <w:vAlign w:val="center"/>
          </w:tcPr>
          <w:p w14:paraId="37A6E1BC">
            <w:pPr>
              <w:spacing w:line="360" w:lineRule="auto"/>
              <w:rPr>
                <w:i/>
                <w:color w:val="FF0000"/>
              </w:rPr>
            </w:pPr>
            <w:r>
              <w:rPr>
                <w:rFonts w:hint="eastAsia"/>
              </w:rPr>
              <w:t>服务要求</w:t>
            </w:r>
          </w:p>
        </w:tc>
      </w:tr>
      <w:tr w14:paraId="32CD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06CA0D26">
            <w:r>
              <w:rPr>
                <w:rFonts w:hint="eastAsia"/>
              </w:rPr>
              <w:t>1.</w:t>
            </w:r>
          </w:p>
        </w:tc>
        <w:tc>
          <w:tcPr>
            <w:tcW w:w="7176" w:type="dxa"/>
            <w:vAlign w:val="center"/>
          </w:tcPr>
          <w:p w14:paraId="709D9326">
            <w:pPr>
              <w:spacing w:line="360" w:lineRule="auto"/>
            </w:pPr>
            <w:r>
              <w:rPr>
                <w:b/>
                <w:bCs/>
              </w:rPr>
              <w:t>安全与合规</w:t>
            </w:r>
            <w:r>
              <w:t>：档案访问权限分为阅读、打印、导出三级，并支持用户组权限、科室权限、有效期、医学分类、IP限制及特殊档案锁定；外部机构访问需经临时授权并限定时段。</w:t>
            </w:r>
          </w:p>
        </w:tc>
      </w:tr>
      <w:tr w14:paraId="406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3CF1E670">
            <w:r>
              <w:rPr>
                <w:rFonts w:hint="eastAsia"/>
              </w:rPr>
              <w:t>2.</w:t>
            </w:r>
          </w:p>
        </w:tc>
        <w:tc>
          <w:tcPr>
            <w:tcW w:w="7176" w:type="dxa"/>
            <w:vAlign w:val="center"/>
          </w:tcPr>
          <w:p w14:paraId="5024B586">
            <w:pPr>
              <w:spacing w:line="360" w:lineRule="auto"/>
            </w:pPr>
            <w:r>
              <w:rPr>
                <w:b/>
                <w:bCs/>
              </w:rPr>
              <w:t>日志与追溯</w:t>
            </w:r>
            <w:r>
              <w:t>：系统自动记录用户全部操作，生成可追溯的日志报表，用于安全审计和责任追踪。</w:t>
            </w:r>
          </w:p>
        </w:tc>
      </w:tr>
      <w:tr w14:paraId="0F1A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224BEF71">
            <w:r>
              <w:rPr>
                <w:rFonts w:hint="eastAsia"/>
              </w:rPr>
              <w:t>3.</w:t>
            </w:r>
          </w:p>
        </w:tc>
        <w:tc>
          <w:tcPr>
            <w:tcW w:w="7176" w:type="dxa"/>
            <w:vAlign w:val="center"/>
          </w:tcPr>
          <w:p w14:paraId="2908E036">
            <w:pPr>
              <w:spacing w:line="360" w:lineRule="auto"/>
            </w:pPr>
            <w:r>
              <w:rPr>
                <w:b/>
                <w:bCs/>
              </w:rPr>
              <w:t>数据安全与保密要求</w:t>
            </w:r>
            <w:r>
              <w:rPr>
                <w:rFonts w:hint="eastAsia"/>
                <w:b/>
                <w:bCs/>
              </w:rPr>
              <w:t>：</w:t>
            </w:r>
            <w:r>
              <w:t>所有档案数据在传输、存储和备份过程中需加密，严格遵循国家及医院信息安全规范，确保患者隐私和敏感信息不泄露。</w:t>
            </w:r>
          </w:p>
        </w:tc>
      </w:tr>
      <w:tr w14:paraId="2A9F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0B784DB1">
            <w:r>
              <w:rPr>
                <w:rFonts w:hint="eastAsia"/>
              </w:rPr>
              <w:t>4.</w:t>
            </w:r>
          </w:p>
        </w:tc>
        <w:tc>
          <w:tcPr>
            <w:tcW w:w="7176" w:type="dxa"/>
            <w:vAlign w:val="center"/>
          </w:tcPr>
          <w:p w14:paraId="7359F6CD">
            <w:pPr>
              <w:spacing w:line="360" w:lineRule="auto"/>
            </w:pPr>
            <w:r>
              <w:rPr>
                <w:b/>
                <w:bCs/>
              </w:rPr>
              <w:t>故障报修响应：</w:t>
            </w:r>
            <w:r>
              <w:t>在周一至周五9:00~17:00期间，电话报修需在2小时内响应；若无法远程解决，8小时内到达现场进行维护，确保系统稳定运行。</w:t>
            </w:r>
          </w:p>
        </w:tc>
      </w:tr>
      <w:tr w14:paraId="715C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6" w:type="dxa"/>
            <w:vAlign w:val="center"/>
          </w:tcPr>
          <w:p w14:paraId="514CEA5F">
            <w:r>
              <w:rPr>
                <w:rFonts w:hint="eastAsia"/>
              </w:rPr>
              <w:t>5.</w:t>
            </w:r>
          </w:p>
        </w:tc>
        <w:tc>
          <w:tcPr>
            <w:tcW w:w="7176" w:type="dxa"/>
            <w:vAlign w:val="center"/>
          </w:tcPr>
          <w:p w14:paraId="3E5DF6DF">
            <w:pPr>
              <w:spacing w:line="360" w:lineRule="auto"/>
              <w:rPr>
                <w:b/>
                <w:bCs/>
              </w:rPr>
            </w:pPr>
            <w:r>
              <w:rPr>
                <w:b/>
                <w:bCs/>
              </w:rPr>
              <w:t>培训与升级：</w:t>
            </w:r>
            <w:r>
              <w:t>乙方应为医院相关人员提供系统使用与管理培训；合同期内需提供必要的版本升级及功能扩展支持，以保障系统长期稳定运行。</w:t>
            </w:r>
          </w:p>
        </w:tc>
      </w:tr>
    </w:tbl>
    <w:p w14:paraId="6CB6C212"/>
    <w:p w14:paraId="16C283CA">
      <w:pPr>
        <w:pStyle w:val="2"/>
        <w:numPr>
          <w:ilvl w:val="0"/>
          <w:numId w:val="1"/>
        </w:numPr>
        <w:tabs>
          <w:tab w:val="left" w:pos="720"/>
          <w:tab w:val="left" w:pos="1980"/>
        </w:tabs>
        <w:spacing w:line="440" w:lineRule="exact"/>
        <w:rPr>
          <w:rFonts w:hAnsi="宋体" w:cs="宋体"/>
          <w:sz w:val="21"/>
          <w:szCs w:val="21"/>
        </w:rPr>
      </w:pPr>
      <w:r>
        <w:rPr>
          <w:rFonts w:hint="eastAsia" w:hAnsi="宋体" w:cs="宋体"/>
          <w:sz w:val="21"/>
          <w:szCs w:val="21"/>
        </w:rPr>
        <w:t>项目实施与验收</w:t>
      </w:r>
    </w:p>
    <w:p w14:paraId="4D6186FA">
      <w:pPr>
        <w:pStyle w:val="28"/>
        <w:numPr>
          <w:ilvl w:val="0"/>
          <w:numId w:val="4"/>
        </w:numPr>
      </w:pPr>
      <w:bookmarkStart w:id="2" w:name="_Toc449000764"/>
      <w:bookmarkStart w:id="3" w:name="_Toc74682240"/>
      <w:r>
        <w:t>项目实施要求</w:t>
      </w:r>
      <w:bookmarkEnd w:id="2"/>
      <w:bookmarkEnd w:id="3"/>
    </w:p>
    <w:p w14:paraId="3CF7B7C7">
      <w:pPr>
        <w:numPr>
          <w:ilvl w:val="0"/>
          <w:numId w:val="5"/>
        </w:numPr>
        <w:spacing w:line="360" w:lineRule="auto"/>
        <w:rPr>
          <w:color w:val="000000"/>
        </w:rPr>
      </w:pPr>
      <w:r>
        <w:rPr>
          <w:color w:val="000000"/>
        </w:rPr>
        <w:t>投标</w:t>
      </w:r>
      <w:r>
        <w:rPr>
          <w:rFonts w:hint="eastAsia"/>
          <w:color w:val="000000"/>
        </w:rPr>
        <w:t>人</w:t>
      </w:r>
      <w:r>
        <w:rPr>
          <w:color w:val="000000"/>
        </w:rPr>
        <w:t>需要根据项目建设内容和进度需要，</w:t>
      </w:r>
      <w:r>
        <w:rPr>
          <w:rFonts w:hint="eastAsia"/>
          <w:color w:val="auto"/>
          <w:highlight w:val="none"/>
          <w:u w:val="none"/>
        </w:rPr>
        <w:t xml:space="preserve"> 安排</w:t>
      </w:r>
      <w:r>
        <w:rPr>
          <w:color w:val="000000"/>
        </w:rPr>
        <w:t>具有一定资质能力水平的成员组成项目小组对系统进行实施及服务。</w:t>
      </w:r>
    </w:p>
    <w:p w14:paraId="6AE505EE">
      <w:pPr>
        <w:pStyle w:val="28"/>
        <w:numPr>
          <w:ilvl w:val="0"/>
          <w:numId w:val="4"/>
        </w:numPr>
      </w:pPr>
      <w:bookmarkStart w:id="4" w:name="_Toc74682242"/>
      <w:bookmarkStart w:id="5" w:name="_Toc449000765"/>
      <w:bookmarkStart w:id="6" w:name="_Toc5054"/>
      <w:bookmarkStart w:id="7" w:name="_Toc12410"/>
      <w:bookmarkStart w:id="8" w:name="_Toc74682241"/>
      <w:bookmarkStart w:id="9" w:name="_Toc24571258"/>
      <w:bookmarkStart w:id="10" w:name="_Toc38032939"/>
      <w:r>
        <w:t>培训要求</w:t>
      </w:r>
      <w:bookmarkEnd w:id="4"/>
      <w:bookmarkEnd w:id="5"/>
    </w:p>
    <w:p w14:paraId="14DE50F9">
      <w:pPr>
        <w:numPr>
          <w:ilvl w:val="0"/>
          <w:numId w:val="6"/>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6DC59999">
      <w:pPr>
        <w:numPr>
          <w:ilvl w:val="0"/>
          <w:numId w:val="6"/>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74EE0E64">
      <w:pPr>
        <w:numPr>
          <w:ilvl w:val="0"/>
          <w:numId w:val="6"/>
        </w:numPr>
        <w:spacing w:line="360" w:lineRule="auto"/>
        <w:rPr>
          <w:rFonts w:hAnsi="宋体" w:cs="宋体"/>
          <w:szCs w:val="21"/>
        </w:rPr>
      </w:pPr>
      <w:r>
        <w:rPr>
          <w:color w:val="000000"/>
        </w:rPr>
        <w:t>技术培训费用应包含在投标总价中。</w:t>
      </w:r>
    </w:p>
    <w:p w14:paraId="04E3E925">
      <w:pPr>
        <w:pStyle w:val="28"/>
        <w:numPr>
          <w:ilvl w:val="0"/>
          <w:numId w:val="4"/>
        </w:numPr>
      </w:pPr>
      <w:r>
        <w:t>验收要求</w:t>
      </w:r>
      <w:bookmarkEnd w:id="6"/>
      <w:bookmarkEnd w:id="7"/>
      <w:bookmarkEnd w:id="8"/>
      <w:bookmarkEnd w:id="9"/>
      <w:bookmarkEnd w:id="10"/>
    </w:p>
    <w:p w14:paraId="2309C3CD">
      <w:pPr>
        <w:numPr>
          <w:ilvl w:val="0"/>
          <w:numId w:val="7"/>
        </w:numPr>
        <w:spacing w:line="360" w:lineRule="auto"/>
        <w:rPr>
          <w:color w:val="auto"/>
          <w:highlight w:val="none"/>
        </w:rPr>
      </w:pPr>
      <w:r>
        <w:rPr>
          <w:rFonts w:hint="eastAsia"/>
          <w:color w:val="auto"/>
          <w:highlight w:val="none"/>
          <w:u w:val="none"/>
        </w:rPr>
        <w:t>对于合同内档案数字化服务、档案录入、档案打包工作，乙方每满3个月及在最后一期工作完成之日，向甲方申请验收，甲方应当在10日内完成验收。若甲方验收不合格，乙方应在10日的纠正期内完成纠正工作，并由甲方再次验收直至验收合格。</w:t>
      </w:r>
    </w:p>
    <w:p w14:paraId="5596033B">
      <w:pPr>
        <w:numPr>
          <w:ilvl w:val="0"/>
          <w:numId w:val="7"/>
        </w:numPr>
        <w:spacing w:line="360" w:lineRule="auto"/>
      </w:pPr>
      <w:r>
        <w:t>验收</w:t>
      </w:r>
      <w:r>
        <w:rPr>
          <w:rFonts w:hint="eastAsia"/>
        </w:rPr>
        <w:t>时，需提供相关材料，包括验收明细及</w:t>
      </w:r>
      <w:r>
        <w:rPr>
          <w:rFonts w:hint="eastAsia"/>
          <w:lang w:val="en-US" w:eastAsia="zh-CN"/>
        </w:rPr>
        <w:t>业务科室签署的</w:t>
      </w:r>
      <w:r>
        <w:rPr>
          <w:rFonts w:hint="eastAsia"/>
        </w:rPr>
        <w:t>验收单。</w:t>
      </w:r>
    </w:p>
    <w:p w14:paraId="5D20C094">
      <w:pPr>
        <w:pStyle w:val="2"/>
        <w:numPr>
          <w:ilvl w:val="0"/>
          <w:numId w:val="1"/>
        </w:numPr>
        <w:tabs>
          <w:tab w:val="left" w:pos="720"/>
          <w:tab w:val="left" w:pos="1980"/>
        </w:tabs>
        <w:spacing w:line="440" w:lineRule="exact"/>
        <w:rPr>
          <w:rFonts w:hAnsi="宋体" w:cs="宋体"/>
          <w:sz w:val="21"/>
          <w:szCs w:val="21"/>
        </w:rPr>
      </w:pPr>
      <w:r>
        <w:rPr>
          <w:rFonts w:hint="eastAsia" w:hAnsi="宋体" w:cs="宋体"/>
          <w:sz w:val="21"/>
          <w:szCs w:val="21"/>
        </w:rPr>
        <w:t>售后服务</w:t>
      </w:r>
    </w:p>
    <w:p w14:paraId="38725511">
      <w:pPr>
        <w:numPr>
          <w:ilvl w:val="0"/>
          <w:numId w:val="8"/>
        </w:numPr>
        <w:spacing w:line="360" w:lineRule="auto"/>
        <w:rPr>
          <w:rFonts w:ascii="宋体" w:hAnsi="宋体" w:cs="宋体"/>
          <w:bCs/>
          <w:szCs w:val="21"/>
        </w:rPr>
      </w:pPr>
      <w:r>
        <w:rPr>
          <w:rFonts w:hint="eastAsia"/>
        </w:rPr>
        <w:t>项目终验通过后，提供</w:t>
      </w:r>
      <w:r>
        <w:rPr>
          <w:rFonts w:hint="eastAsia"/>
          <w:color w:val="auto"/>
        </w:rPr>
        <w:t>一</w:t>
      </w:r>
      <w:r>
        <w:rPr>
          <w:rFonts w:hint="eastAsia" w:ascii="宋体" w:hAnsi="宋体" w:cs="宋体"/>
          <w:bCs/>
          <w:color w:val="auto"/>
          <w:szCs w:val="21"/>
        </w:rPr>
        <w:t>年</w:t>
      </w:r>
      <w:r>
        <w:rPr>
          <w:rFonts w:hint="eastAsia" w:ascii="宋体" w:hAnsi="宋体" w:cs="宋体"/>
          <w:bCs/>
          <w:szCs w:val="21"/>
        </w:rPr>
        <w:t>质保，</w:t>
      </w:r>
      <w:r>
        <w:rPr>
          <w:rFonts w:hint="eastAsia"/>
        </w:rPr>
        <w:t>质保期内对于用户提出的改善体验、可靠性、安全性的需求，提供免费开发升级服务。</w:t>
      </w:r>
    </w:p>
    <w:p w14:paraId="7B98D372">
      <w:pPr>
        <w:numPr>
          <w:ilvl w:val="0"/>
          <w:numId w:val="8"/>
        </w:numPr>
        <w:spacing w:line="360" w:lineRule="auto"/>
        <w:rPr>
          <w:rFonts w:ascii="宋体" w:hAnsi="宋体" w:cs="宋体"/>
          <w:bCs/>
          <w:szCs w:val="21"/>
        </w:rPr>
      </w:pPr>
      <w:r>
        <w:rPr>
          <w:rFonts w:hint="eastAsia" w:ascii="宋体" w:hAnsi="宋体" w:cs="宋体"/>
          <w:bCs/>
          <w:szCs w:val="21"/>
        </w:rPr>
        <w:t>项目软件系统维保服务期间，提供1人专职负责信息系统运行保障，含所有投标内容软硬件的维护。</w:t>
      </w:r>
    </w:p>
    <w:p w14:paraId="64F229CB">
      <w:pPr>
        <w:numPr>
          <w:ilvl w:val="0"/>
          <w:numId w:val="8"/>
        </w:numPr>
        <w:spacing w:line="360" w:lineRule="auto"/>
      </w:pPr>
      <w:r>
        <w:rPr>
          <w:rFonts w:hint="eastAsia"/>
        </w:rPr>
        <w:t>因系统本身缺陷造成各种故障应由卖方免费技术服务和维修，包括质保期外发生的情况。</w:t>
      </w:r>
    </w:p>
    <w:p w14:paraId="72A6B69E">
      <w:pPr>
        <w:numPr>
          <w:ilvl w:val="0"/>
          <w:numId w:val="8"/>
        </w:numPr>
        <w:spacing w:line="360" w:lineRule="auto"/>
      </w:pPr>
      <w:r>
        <w:rPr>
          <w:rFonts w:hint="eastAsia"/>
        </w:rPr>
        <w:t>无力承担售后服务或响应不及时的情况下，医院可向投标方索取软件源代码，投标方应无偿提供。</w:t>
      </w:r>
    </w:p>
    <w:p w14:paraId="1BE5BCBF">
      <w:pPr>
        <w:numPr>
          <w:ilvl w:val="0"/>
          <w:numId w:val="8"/>
        </w:numPr>
        <w:spacing w:line="360" w:lineRule="auto"/>
      </w:pPr>
      <w:r>
        <w:rPr>
          <w:rFonts w:hint="eastAsia"/>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71B0C2E4">
      <w:pPr>
        <w:numPr>
          <w:ilvl w:val="0"/>
          <w:numId w:val="8"/>
        </w:numPr>
        <w:spacing w:line="360" w:lineRule="auto"/>
      </w:pPr>
      <w:r>
        <w:rPr>
          <w:rFonts w:hint="eastAsia"/>
        </w:rPr>
        <w:t>投标人必须保证解决项目所涉及的技术问题，如因技术原因无法满足采购人需求，由此产生的风险由投标人承担。</w:t>
      </w:r>
    </w:p>
    <w:p w14:paraId="11947982">
      <w:pPr>
        <w:numPr>
          <w:ilvl w:val="0"/>
          <w:numId w:val="8"/>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在项日维保期间内，若承接方在服务过程中发生以下行为，经院方确认后，每次根据标准进行扣罚：</w:t>
      </w:r>
    </w:p>
    <w:p w14:paraId="3D4B5071">
      <w:pPr>
        <w:numPr>
          <w:ilvl w:val="0"/>
          <w:numId w:val="9"/>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遇到乘大或紧急事件要求承接方派驻应急人员现场解决，但承接方无正当理由不履行的，每发生一次从项目合同金额中扣除3000元，视作一次不良行为。</w:t>
      </w:r>
    </w:p>
    <w:p w14:paraId="2957B8B0">
      <w:pPr>
        <w:numPr>
          <w:ilvl w:val="0"/>
          <w:numId w:val="9"/>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未经我院信息中心审核同意，自行运维实施或调整数据库、网络、服务器等操作，导致引发严重信息系统故障或不良事件，每发生一次从本项目合同金额中扣除3000元，视作一次不良行为。</w:t>
      </w:r>
    </w:p>
    <w:p w14:paraId="1A011D2F">
      <w:pPr>
        <w:numPr>
          <w:ilvl w:val="0"/>
          <w:numId w:val="0"/>
        </w:numPr>
        <w:spacing w:line="360" w:lineRule="auto"/>
        <w:ind w:left="420" w:leftChars="0" w:firstLine="420" w:firstLineChars="0"/>
        <w:rPr>
          <w:rFonts w:hint="eastAsia"/>
        </w:rPr>
      </w:pPr>
    </w:p>
    <w:p w14:paraId="462B70C5">
      <w:pPr>
        <w:pStyle w:val="15"/>
      </w:pPr>
      <w:bookmarkStart w:id="11" w:name="_Toc186548465"/>
      <w:r>
        <w:rPr>
          <w:rFonts w:hint="eastAsia"/>
        </w:rPr>
        <w:t>第三章</w:t>
      </w:r>
      <w:r>
        <w:rPr>
          <w:rFonts w:hint="eastAsia"/>
        </w:rPr>
        <w:tab/>
      </w:r>
      <w:r>
        <w:rPr>
          <w:rFonts w:hint="eastAsia"/>
        </w:rPr>
        <w:t>响应文件格式</w:t>
      </w:r>
      <w:bookmarkEnd w:id="11"/>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71"/>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15" w:type="dxa"/>
            <w:vAlign w:val="center"/>
          </w:tcPr>
          <w:p w14:paraId="05E20D49">
            <w:r>
              <w:t>序号</w:t>
            </w:r>
          </w:p>
        </w:tc>
        <w:tc>
          <w:tcPr>
            <w:tcW w:w="1671"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04BEE82A">
            <w:r>
              <w:t>1</w:t>
            </w:r>
          </w:p>
        </w:tc>
        <w:tc>
          <w:tcPr>
            <w:tcW w:w="1671"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102903F">
            <w:r>
              <w:t>2</w:t>
            </w:r>
          </w:p>
        </w:tc>
        <w:tc>
          <w:tcPr>
            <w:tcW w:w="1671"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56A965BA">
            <w:r>
              <w:t>3</w:t>
            </w:r>
          </w:p>
        </w:tc>
        <w:tc>
          <w:tcPr>
            <w:tcW w:w="1671"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4259F713">
            <w:r>
              <w:t>4</w:t>
            </w:r>
          </w:p>
        </w:tc>
        <w:tc>
          <w:tcPr>
            <w:tcW w:w="1671"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15F5DEFB">
            <w:r>
              <w:rPr>
                <w:rFonts w:hint="eastAsia"/>
              </w:rPr>
              <w:t>5</w:t>
            </w:r>
          </w:p>
        </w:tc>
        <w:tc>
          <w:tcPr>
            <w:tcW w:w="1671"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AE68E22">
            <w:r>
              <w:rPr>
                <w:rFonts w:hint="eastAsia"/>
              </w:rPr>
              <w:t>6</w:t>
            </w:r>
          </w:p>
        </w:tc>
        <w:tc>
          <w:tcPr>
            <w:tcW w:w="1671"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643A24DD">
            <w:r>
              <w:rPr>
                <w:rFonts w:hint="eastAsia"/>
              </w:rPr>
              <w:t>7</w:t>
            </w:r>
          </w:p>
        </w:tc>
        <w:tc>
          <w:tcPr>
            <w:tcW w:w="1671"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5" w:type="dxa"/>
          </w:tcPr>
          <w:p w14:paraId="27F025B1">
            <w:r>
              <w:rPr>
                <w:rFonts w:hint="eastAsia"/>
              </w:rPr>
              <w:t>8</w:t>
            </w:r>
          </w:p>
        </w:tc>
        <w:tc>
          <w:tcPr>
            <w:tcW w:w="1671"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445BF29C">
            <w:r>
              <w:t>9</w:t>
            </w:r>
          </w:p>
        </w:tc>
        <w:tc>
          <w:tcPr>
            <w:tcW w:w="1671"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900385E">
            <w:r>
              <w:t>10</w:t>
            </w:r>
          </w:p>
        </w:tc>
        <w:tc>
          <w:tcPr>
            <w:tcW w:w="1671"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39FD93D8">
            <w:r>
              <w:t>11</w:t>
            </w:r>
          </w:p>
        </w:tc>
        <w:tc>
          <w:tcPr>
            <w:tcW w:w="1671"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50F4980">
            <w:r>
              <w:t>12</w:t>
            </w:r>
          </w:p>
        </w:tc>
        <w:tc>
          <w:tcPr>
            <w:tcW w:w="1671"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28032C19">
            <w:r>
              <w:t>13</w:t>
            </w:r>
          </w:p>
        </w:tc>
        <w:tc>
          <w:tcPr>
            <w:tcW w:w="1671"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7D890C65">
            <w:r>
              <w:rPr>
                <w:rFonts w:hint="eastAsia"/>
              </w:rPr>
              <w:t>14</w:t>
            </w:r>
          </w:p>
        </w:tc>
        <w:tc>
          <w:tcPr>
            <w:tcW w:w="1671"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Pr>
          <w:p w14:paraId="07AAF0C6">
            <w:pPr>
              <w:rPr>
                <w:rFonts w:hint="eastAsia" w:eastAsia="宋体"/>
                <w:lang w:val="en-US" w:eastAsia="zh-CN"/>
              </w:rPr>
            </w:pPr>
            <w:r>
              <w:rPr>
                <w:rFonts w:hint="eastAsia"/>
              </w:rPr>
              <w:t>1</w:t>
            </w:r>
            <w:r>
              <w:rPr>
                <w:rFonts w:hint="eastAsia"/>
                <w:lang w:val="en-US" w:eastAsia="zh-CN"/>
              </w:rPr>
              <w:t>5</w:t>
            </w:r>
          </w:p>
        </w:tc>
        <w:tc>
          <w:tcPr>
            <w:tcW w:w="1671"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2F28A83C">
            <w:r>
              <w:rPr>
                <w:rFonts w:hint="eastAsia"/>
              </w:rPr>
              <w:t>16</w:t>
            </w:r>
          </w:p>
        </w:tc>
        <w:tc>
          <w:tcPr>
            <w:tcW w:w="1671" w:type="dxa"/>
            <w:vMerge w:val="continue"/>
          </w:tcPr>
          <w:p w14:paraId="23BC7F8F"/>
        </w:tc>
        <w:tc>
          <w:tcPr>
            <w:tcW w:w="4152" w:type="dxa"/>
            <w:vAlign w:val="center"/>
          </w:tcPr>
          <w:p w14:paraId="35F6968E">
            <w:pPr>
              <w:rPr>
                <w:rFonts w:hint="eastAsia" w:eastAsia="宋体"/>
                <w:lang w:eastAsia="zh-CN"/>
              </w:rPr>
            </w:pPr>
            <w:r>
              <w:rPr>
                <w:rFonts w:hAnsi="宋体"/>
                <w:kern w:val="0"/>
                <w:szCs w:val="21"/>
              </w:rPr>
              <w:t>提供</w:t>
            </w:r>
            <w:r>
              <w:rPr>
                <w:rFonts w:hint="eastAsia" w:hAnsi="宋体"/>
                <w:kern w:val="0"/>
                <w:szCs w:val="21"/>
                <w:lang w:val="en-US" w:eastAsia="zh-CN"/>
              </w:rPr>
              <w:t>案例</w:t>
            </w:r>
            <w:r>
              <w:rPr>
                <w:rFonts w:hAnsi="宋体"/>
                <w:kern w:val="0"/>
                <w:szCs w:val="21"/>
              </w:rPr>
              <w:t>用户名单及合同复印件</w:t>
            </w:r>
            <w:r>
              <w:rPr>
                <w:rFonts w:hint="eastAsia" w:hAnsi="宋体"/>
                <w:kern w:val="0"/>
                <w:szCs w:val="21"/>
                <w:lang w:eastAsia="zh-CN"/>
              </w:rPr>
              <w:t>（</w:t>
            </w:r>
            <w:r>
              <w:rPr>
                <w:rFonts w:hint="eastAsia" w:hAnsi="宋体"/>
                <w:kern w:val="0"/>
                <w:szCs w:val="21"/>
                <w:lang w:val="en-US" w:eastAsia="zh-CN"/>
              </w:rPr>
              <w:t>2022年至今</w:t>
            </w:r>
            <w:r>
              <w:rPr>
                <w:rFonts w:hint="eastAsia" w:hAnsi="宋体"/>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7C5E9CEC">
            <w:r>
              <w:rPr>
                <w:rFonts w:hint="eastAsia"/>
              </w:rPr>
              <w:t>17</w:t>
            </w:r>
          </w:p>
        </w:tc>
        <w:tc>
          <w:tcPr>
            <w:tcW w:w="1671"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Align w:val="top"/>
          </w:tcPr>
          <w:p w14:paraId="4126298F">
            <w:r>
              <w:rPr>
                <w:rFonts w:hint="eastAsia"/>
              </w:rPr>
              <w:t>18</w:t>
            </w:r>
          </w:p>
        </w:tc>
        <w:tc>
          <w:tcPr>
            <w:tcW w:w="1671"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4D7C5503">
      <w:pPr>
        <w:bidi w:val="0"/>
      </w:pPr>
    </w:p>
    <w:p w14:paraId="3B3DDA12">
      <w:pPr>
        <w:rPr>
          <w:b/>
          <w:bCs/>
          <w:sz w:val="32"/>
        </w:rPr>
      </w:pPr>
    </w:p>
    <w:p w14:paraId="33F91FBE">
      <w:pPr>
        <w:rPr>
          <w:rFonts w:hint="eastAsia"/>
          <w:b/>
          <w:bCs/>
          <w:sz w:val="32"/>
        </w:rPr>
      </w:pP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2"/>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5"/>
        <w:spacing w:line="360" w:lineRule="auto"/>
        <w:jc w:val="both"/>
        <w:rPr>
          <w:sz w:val="21"/>
          <w:szCs w:val="21"/>
        </w:rPr>
      </w:pPr>
    </w:p>
    <w:p w14:paraId="3C6B5CEB">
      <w:pPr>
        <w:pStyle w:val="35"/>
        <w:spacing w:line="360" w:lineRule="auto"/>
        <w:jc w:val="both"/>
        <w:rPr>
          <w:sz w:val="21"/>
          <w:szCs w:val="21"/>
        </w:rPr>
      </w:pPr>
    </w:p>
    <w:p w14:paraId="28E2E129">
      <w:pPr>
        <w:pStyle w:val="35"/>
        <w:spacing w:line="360" w:lineRule="auto"/>
        <w:jc w:val="both"/>
        <w:rPr>
          <w:sz w:val="21"/>
          <w:szCs w:val="21"/>
        </w:rPr>
      </w:pP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5"/>
        <w:spacing w:line="360" w:lineRule="auto"/>
        <w:jc w:val="both"/>
        <w:rPr>
          <w:sz w:val="21"/>
          <w:szCs w:val="21"/>
        </w:rPr>
      </w:pPr>
    </w:p>
    <w:p w14:paraId="75BD35E8">
      <w:pPr>
        <w:pStyle w:val="35"/>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46320E15">
      <w:pPr>
        <w:rPr>
          <w:szCs w:val="22"/>
        </w:rPr>
      </w:pPr>
    </w:p>
    <w:p w14:paraId="0CA5DBF6">
      <w:pPr>
        <w:rPr>
          <w:szCs w:val="22"/>
        </w:rPr>
      </w:pPr>
    </w:p>
    <w:p w14:paraId="08E5B4EC">
      <w:pPr>
        <w:pStyle w:val="15"/>
      </w:pPr>
      <w:bookmarkStart w:id="12" w:name="_Toc186548466"/>
      <w:r>
        <w:rPr>
          <w:rFonts w:hint="eastAsia"/>
        </w:rPr>
        <w:t>第四章</w:t>
      </w:r>
      <w:r>
        <w:rPr>
          <w:rFonts w:hint="eastAsia"/>
        </w:rPr>
        <w:tab/>
      </w:r>
      <w:r>
        <w:rPr>
          <w:rFonts w:hint="eastAsia"/>
        </w:rPr>
        <w:t>合同主要条款</w:t>
      </w:r>
      <w:bookmarkEnd w:id="12"/>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7"/>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7"/>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5"/>
        <w:spacing w:line="360" w:lineRule="auto"/>
        <w:jc w:val="both"/>
        <w:rPr>
          <w:rFonts w:hAnsi="宋体"/>
          <w:sz w:val="21"/>
          <w:szCs w:val="21"/>
        </w:rPr>
      </w:pPr>
    </w:p>
    <w:p w14:paraId="117939A4">
      <w:pPr>
        <w:pStyle w:val="35"/>
        <w:spacing w:line="360" w:lineRule="auto"/>
        <w:jc w:val="both"/>
        <w:rPr>
          <w:rFonts w:hAnsi="宋体"/>
          <w:sz w:val="21"/>
          <w:szCs w:val="21"/>
        </w:rPr>
      </w:pPr>
    </w:p>
    <w:p w14:paraId="748391C5">
      <w:pPr>
        <w:pStyle w:val="35"/>
        <w:spacing w:line="360" w:lineRule="auto"/>
        <w:jc w:val="both"/>
        <w:rPr>
          <w:rFonts w:hAnsi="宋体"/>
          <w:sz w:val="21"/>
          <w:szCs w:val="21"/>
        </w:rPr>
      </w:pPr>
    </w:p>
    <w:p w14:paraId="74DEF6C3">
      <w:pPr>
        <w:pStyle w:val="35"/>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0"/>
      <w:jc w:val="center"/>
    </w:pPr>
  </w:p>
  <w:p w14:paraId="2D49BDB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0"/>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2F24A"/>
    <w:multiLevelType w:val="singleLevel"/>
    <w:tmpl w:val="A0B2F24A"/>
    <w:lvl w:ilvl="0" w:tentative="0">
      <w:start w:val="1"/>
      <w:numFmt w:val="decimal"/>
      <w:lvlText w:val="%1."/>
      <w:lvlJc w:val="left"/>
      <w:pPr>
        <w:ind w:left="425" w:hanging="425"/>
      </w:pPr>
      <w:rPr>
        <w:rFonts w:hint="default"/>
      </w:rPr>
    </w:lvl>
  </w:abstractNum>
  <w:abstractNum w:abstractNumId="1">
    <w:nsid w:val="083F5C9B"/>
    <w:multiLevelType w:val="singleLevel"/>
    <w:tmpl w:val="083F5C9B"/>
    <w:lvl w:ilvl="0" w:tentative="0">
      <w:start w:val="1"/>
      <w:numFmt w:val="decimal"/>
      <w:lvlText w:val="%1."/>
      <w:lvlJc w:val="left"/>
      <w:pPr>
        <w:ind w:left="425" w:hanging="425"/>
      </w:pPr>
      <w:rPr>
        <w:rFonts w:hint="default"/>
      </w:rPr>
    </w:lvl>
  </w:abstractNum>
  <w:abstractNum w:abstractNumId="2">
    <w:nsid w:val="0C362FFE"/>
    <w:multiLevelType w:val="singleLevel"/>
    <w:tmpl w:val="0C362FFE"/>
    <w:lvl w:ilvl="0" w:tentative="0">
      <w:start w:val="1"/>
      <w:numFmt w:val="decimal"/>
      <w:lvlText w:val="%1."/>
      <w:lvlJc w:val="left"/>
      <w:pPr>
        <w:ind w:left="425" w:hanging="425"/>
      </w:pPr>
      <w:rPr>
        <w:rFonts w:hint="default"/>
      </w:rPr>
    </w:lvl>
  </w:abstractNum>
  <w:abstractNum w:abstractNumId="3">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D2660D"/>
    <w:multiLevelType w:val="singleLevel"/>
    <w:tmpl w:val="21D2660D"/>
    <w:lvl w:ilvl="0" w:tentative="0">
      <w:start w:val="1"/>
      <w:numFmt w:val="decimal"/>
      <w:lvlText w:val="(%1)"/>
      <w:lvlJc w:val="left"/>
      <w:pPr>
        <w:ind w:left="425" w:hanging="425"/>
      </w:pPr>
      <w:rPr>
        <w:rFonts w:hint="default"/>
      </w:rPr>
    </w:lvl>
  </w:abstractNum>
  <w:abstractNum w:abstractNumId="5">
    <w:nsid w:val="254DB84F"/>
    <w:multiLevelType w:val="singleLevel"/>
    <w:tmpl w:val="254DB84F"/>
    <w:lvl w:ilvl="0" w:tentative="0">
      <w:start w:val="1"/>
      <w:numFmt w:val="decimal"/>
      <w:lvlText w:val="%1."/>
      <w:lvlJc w:val="left"/>
      <w:pPr>
        <w:ind w:left="425" w:hanging="425"/>
      </w:pPr>
      <w:rPr>
        <w:rFonts w:hint="default"/>
      </w:rPr>
    </w:lvl>
  </w:abstractNum>
  <w:abstractNum w:abstractNumId="6">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3"/>
  </w:num>
  <w:num w:numId="4">
    <w:abstractNumId w:val="6"/>
  </w:num>
  <w:num w:numId="5">
    <w:abstractNumId w:val="1"/>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4154B1B"/>
    <w:rsid w:val="042E69E2"/>
    <w:rsid w:val="04582D83"/>
    <w:rsid w:val="053C0C8A"/>
    <w:rsid w:val="05FF0420"/>
    <w:rsid w:val="06376942"/>
    <w:rsid w:val="078A03D3"/>
    <w:rsid w:val="079815C8"/>
    <w:rsid w:val="090D306A"/>
    <w:rsid w:val="092071F7"/>
    <w:rsid w:val="098A2D84"/>
    <w:rsid w:val="09B060FC"/>
    <w:rsid w:val="0ADA132B"/>
    <w:rsid w:val="0BE70350"/>
    <w:rsid w:val="0C724374"/>
    <w:rsid w:val="0CB101B0"/>
    <w:rsid w:val="0CEA547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E1A39AF"/>
    <w:rsid w:val="2E304F81"/>
    <w:rsid w:val="2E374561"/>
    <w:rsid w:val="304070FC"/>
    <w:rsid w:val="30890978"/>
    <w:rsid w:val="32777E7D"/>
    <w:rsid w:val="33453773"/>
    <w:rsid w:val="33DD1D36"/>
    <w:rsid w:val="33F702EF"/>
    <w:rsid w:val="34170D13"/>
    <w:rsid w:val="35C85566"/>
    <w:rsid w:val="369E2CA4"/>
    <w:rsid w:val="37394099"/>
    <w:rsid w:val="382E5B98"/>
    <w:rsid w:val="38547ABE"/>
    <w:rsid w:val="38D1110E"/>
    <w:rsid w:val="3A6B1889"/>
    <w:rsid w:val="3A8066BC"/>
    <w:rsid w:val="3B9F1750"/>
    <w:rsid w:val="3BE64ED1"/>
    <w:rsid w:val="3C3C79E8"/>
    <w:rsid w:val="3CC14813"/>
    <w:rsid w:val="3DD1766F"/>
    <w:rsid w:val="3EB05C6A"/>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CC2624"/>
    <w:rsid w:val="48AB372A"/>
    <w:rsid w:val="48CB3DCC"/>
    <w:rsid w:val="48D569F9"/>
    <w:rsid w:val="498D1081"/>
    <w:rsid w:val="49AA35CE"/>
    <w:rsid w:val="4A5611F5"/>
    <w:rsid w:val="4C8B180D"/>
    <w:rsid w:val="4CA037FA"/>
    <w:rsid w:val="4D73058E"/>
    <w:rsid w:val="4D7F33D7"/>
    <w:rsid w:val="5085694D"/>
    <w:rsid w:val="509D0B67"/>
    <w:rsid w:val="50DE21C3"/>
    <w:rsid w:val="50E33C7D"/>
    <w:rsid w:val="51172D37"/>
    <w:rsid w:val="51644DBE"/>
    <w:rsid w:val="52685679"/>
    <w:rsid w:val="52A42F98"/>
    <w:rsid w:val="542B1BC3"/>
    <w:rsid w:val="54B020C8"/>
    <w:rsid w:val="55E262B1"/>
    <w:rsid w:val="568B3E88"/>
    <w:rsid w:val="579B178C"/>
    <w:rsid w:val="596A6026"/>
    <w:rsid w:val="599364B0"/>
    <w:rsid w:val="5A492DA3"/>
    <w:rsid w:val="5A6645C8"/>
    <w:rsid w:val="5B912A21"/>
    <w:rsid w:val="5D891708"/>
    <w:rsid w:val="5E190CDE"/>
    <w:rsid w:val="5E7B5E08"/>
    <w:rsid w:val="5E7D74BF"/>
    <w:rsid w:val="5EC724E8"/>
    <w:rsid w:val="5F543E6A"/>
    <w:rsid w:val="5FE1582B"/>
    <w:rsid w:val="5FE62E42"/>
    <w:rsid w:val="5FF34165"/>
    <w:rsid w:val="60996056"/>
    <w:rsid w:val="61C176C2"/>
    <w:rsid w:val="61DD1805"/>
    <w:rsid w:val="6280132C"/>
    <w:rsid w:val="631A5FB8"/>
    <w:rsid w:val="63400343"/>
    <w:rsid w:val="65794AEE"/>
    <w:rsid w:val="65817895"/>
    <w:rsid w:val="65FC33BF"/>
    <w:rsid w:val="66096397"/>
    <w:rsid w:val="66AD46B9"/>
    <w:rsid w:val="67980EC5"/>
    <w:rsid w:val="680D2FC5"/>
    <w:rsid w:val="69D95C63"/>
    <w:rsid w:val="69E2467A"/>
    <w:rsid w:val="6AB9187F"/>
    <w:rsid w:val="6B737C7F"/>
    <w:rsid w:val="6C1256EA"/>
    <w:rsid w:val="6C134FBF"/>
    <w:rsid w:val="6C8934D3"/>
    <w:rsid w:val="6DD703B2"/>
    <w:rsid w:val="6EFE3D04"/>
    <w:rsid w:val="6F776FE8"/>
    <w:rsid w:val="709938DD"/>
    <w:rsid w:val="714F6A99"/>
    <w:rsid w:val="7185070D"/>
    <w:rsid w:val="724F1D63"/>
    <w:rsid w:val="73B01345"/>
    <w:rsid w:val="73B726D3"/>
    <w:rsid w:val="74D379E1"/>
    <w:rsid w:val="75410DEE"/>
    <w:rsid w:val="76807428"/>
    <w:rsid w:val="76C25A93"/>
    <w:rsid w:val="76EC08E6"/>
    <w:rsid w:val="77AD62C7"/>
    <w:rsid w:val="795B332D"/>
    <w:rsid w:val="7AD41AC7"/>
    <w:rsid w:val="7B486307"/>
    <w:rsid w:val="7C31689A"/>
    <w:rsid w:val="7C460A98"/>
    <w:rsid w:val="7C8F069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5">
    <w:name w:val="annotation text"/>
    <w:basedOn w:val="1"/>
    <w:link w:val="46"/>
    <w:semiHidden/>
    <w:unhideWhenUsed/>
    <w:qFormat/>
    <w:uiPriority w:val="0"/>
    <w:pPr>
      <w:jc w:val="left"/>
    </w:pPr>
  </w:style>
  <w:style w:type="paragraph" w:styleId="6">
    <w:name w:val="Body Text"/>
    <w:basedOn w:val="1"/>
    <w:link w:val="37"/>
    <w:qFormat/>
    <w:uiPriority w:val="0"/>
    <w:pPr>
      <w:widowControl/>
      <w:jc w:val="left"/>
    </w:pPr>
    <w:rPr>
      <w:rFonts w:eastAsia="PMingLiU"/>
      <w:kern w:val="0"/>
      <w:sz w:val="24"/>
      <w:szCs w:val="20"/>
      <w:lang w:eastAsia="en-US"/>
    </w:rPr>
  </w:style>
  <w:style w:type="paragraph" w:styleId="7">
    <w:name w:val="Body Text Indent"/>
    <w:basedOn w:val="1"/>
    <w:link w:val="36"/>
    <w:qFormat/>
    <w:uiPriority w:val="0"/>
    <w:pPr>
      <w:widowControl/>
      <w:ind w:left="-270" w:firstLine="270"/>
      <w:jc w:val="left"/>
    </w:pPr>
    <w:rPr>
      <w:rFonts w:eastAsia="PMingLiU"/>
      <w:kern w:val="0"/>
      <w:sz w:val="24"/>
      <w:szCs w:val="20"/>
      <w:lang w:val="en-GB" w:eastAsia="en-US"/>
    </w:rPr>
  </w:style>
  <w:style w:type="paragraph" w:styleId="8">
    <w:name w:val="Plain Text"/>
    <w:basedOn w:val="1"/>
    <w:link w:val="34"/>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next w:val="1"/>
    <w:link w:val="52"/>
    <w:qFormat/>
    <w:uiPriority w:val="0"/>
    <w:pPr>
      <w:spacing w:before="240" w:after="60"/>
      <w:jc w:val="center"/>
      <w:outlineLvl w:val="0"/>
    </w:pPr>
    <w:rPr>
      <w:rFonts w:asciiTheme="majorHAnsi" w:hAnsiTheme="majorHAnsi" w:cstheme="majorBidi"/>
      <w:b/>
      <w:bCs/>
      <w:sz w:val="32"/>
      <w:szCs w:val="32"/>
    </w:rPr>
  </w:style>
  <w:style w:type="paragraph" w:styleId="16">
    <w:name w:val="annotation subject"/>
    <w:basedOn w:val="5"/>
    <w:next w:val="5"/>
    <w:link w:val="47"/>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Emphasis"/>
    <w:qFormat/>
    <w:uiPriority w:val="20"/>
    <w:rPr>
      <w:color w:val="DD4B39"/>
    </w:rPr>
  </w:style>
  <w:style w:type="character" w:styleId="22">
    <w:name w:val="Hyperlink"/>
    <w:qFormat/>
    <w:uiPriority w:val="99"/>
    <w:rPr>
      <w:color w:val="0000FF"/>
      <w:u w:val="single"/>
    </w:rPr>
  </w:style>
  <w:style w:type="character" w:styleId="23">
    <w:name w:val="annotation reference"/>
    <w:basedOn w:val="19"/>
    <w:semiHidden/>
    <w:unhideWhenUsed/>
    <w:qFormat/>
    <w:uiPriority w:val="0"/>
    <w:rPr>
      <w:sz w:val="21"/>
      <w:szCs w:val="21"/>
    </w:rPr>
  </w:style>
  <w:style w:type="paragraph" w:customStyle="1" w:styleId="24">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5">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6">
    <w:name w:val="页眉 Char"/>
    <w:link w:val="11"/>
    <w:qFormat/>
    <w:uiPriority w:val="0"/>
    <w:rPr>
      <w:kern w:val="2"/>
      <w:sz w:val="18"/>
      <w:szCs w:val="18"/>
    </w:rPr>
  </w:style>
  <w:style w:type="character" w:customStyle="1" w:styleId="27">
    <w:name w:val="页脚 Char"/>
    <w:link w:val="10"/>
    <w:qFormat/>
    <w:uiPriority w:val="99"/>
    <w:rPr>
      <w:kern w:val="2"/>
      <w:sz w:val="18"/>
      <w:szCs w:val="18"/>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Char"/>
    <w:basedOn w:val="1"/>
    <w:qFormat/>
    <w:uiPriority w:val="0"/>
    <w:pPr>
      <w:spacing w:line="360" w:lineRule="auto"/>
      <w:ind w:firstLine="200" w:firstLineChars="200"/>
    </w:pPr>
    <w:rPr>
      <w:rFonts w:ascii="宋体" w:hAnsi="宋体" w:cs="宋体"/>
      <w:sz w:val="24"/>
    </w:rPr>
  </w:style>
  <w:style w:type="paragraph" w:customStyle="1" w:styleId="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style-span"/>
    <w:basedOn w:val="19"/>
    <w:qFormat/>
    <w:uiPriority w:val="0"/>
  </w:style>
  <w:style w:type="paragraph" w:customStyle="1" w:styleId="32">
    <w:name w:val="列出段落1"/>
    <w:basedOn w:val="1"/>
    <w:qFormat/>
    <w:uiPriority w:val="0"/>
    <w:pPr>
      <w:ind w:firstLine="420" w:firstLineChars="200"/>
    </w:pPr>
  </w:style>
  <w:style w:type="character" w:customStyle="1" w:styleId="33">
    <w:name w:val="bumpedfont20"/>
    <w:basedOn w:val="19"/>
    <w:qFormat/>
    <w:uiPriority w:val="0"/>
  </w:style>
  <w:style w:type="character" w:customStyle="1" w:styleId="34">
    <w:name w:val="纯文本 Char"/>
    <w:link w:val="8"/>
    <w:qFormat/>
    <w:uiPriority w:val="0"/>
    <w:rPr>
      <w:rFonts w:ascii="宋体" w:hAnsi="Courier New"/>
      <w:kern w:val="2"/>
      <w:sz w:val="21"/>
    </w:rPr>
  </w:style>
  <w:style w:type="paragraph" w:styleId="35">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6">
    <w:name w:val="正文文本缩进 Char"/>
    <w:link w:val="7"/>
    <w:qFormat/>
    <w:uiPriority w:val="0"/>
    <w:rPr>
      <w:rFonts w:eastAsia="PMingLiU"/>
      <w:sz w:val="24"/>
      <w:lang w:val="en-GB" w:eastAsia="en-US"/>
    </w:rPr>
  </w:style>
  <w:style w:type="character" w:customStyle="1" w:styleId="37">
    <w:name w:val="正文文本 Char"/>
    <w:link w:val="6"/>
    <w:qFormat/>
    <w:uiPriority w:val="0"/>
    <w:rPr>
      <w:rFonts w:eastAsia="PMingLiU"/>
      <w:sz w:val="24"/>
      <w:lang w:eastAsia="en-US"/>
    </w:rPr>
  </w:style>
  <w:style w:type="character" w:customStyle="1" w:styleId="38">
    <w:name w:val="short_text"/>
    <w:qFormat/>
    <w:uiPriority w:val="0"/>
  </w:style>
  <w:style w:type="character" w:customStyle="1" w:styleId="39">
    <w:name w:val="st1"/>
    <w:qFormat/>
    <w:uiPriority w:val="0"/>
  </w:style>
  <w:style w:type="character" w:customStyle="1" w:styleId="40">
    <w:name w:val="apple-converted-space"/>
    <w:basedOn w:val="19"/>
    <w:qFormat/>
    <w:uiPriority w:val="99"/>
  </w:style>
  <w:style w:type="paragraph" w:customStyle="1" w:styleId="41">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2">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_Style 2"/>
    <w:basedOn w:val="1"/>
    <w:qFormat/>
    <w:uiPriority w:val="34"/>
    <w:pPr>
      <w:ind w:firstLine="420" w:firstLineChars="200"/>
    </w:pPr>
  </w:style>
  <w:style w:type="character" w:customStyle="1" w:styleId="44">
    <w:name w:val="标题 1 Char"/>
    <w:basedOn w:val="19"/>
    <w:link w:val="2"/>
    <w:qFormat/>
    <w:uiPriority w:val="9"/>
    <w:rPr>
      <w:rFonts w:asciiTheme="minorHAnsi" w:hAnsiTheme="minorHAnsi" w:eastAsiaTheme="minorEastAsia" w:cstheme="minorBidi"/>
      <w:b/>
      <w:bCs/>
      <w:kern w:val="44"/>
      <w:sz w:val="44"/>
      <w:szCs w:val="44"/>
    </w:rPr>
  </w:style>
  <w:style w:type="paragraph" w:customStyle="1" w:styleId="45">
    <w:name w:val="列出段落2"/>
    <w:basedOn w:val="1"/>
    <w:qFormat/>
    <w:uiPriority w:val="0"/>
    <w:pPr>
      <w:ind w:firstLine="420" w:firstLineChars="200"/>
    </w:pPr>
    <w:rPr>
      <w:rFonts w:ascii="Calibri" w:hAnsi="Calibri"/>
      <w:szCs w:val="22"/>
    </w:rPr>
  </w:style>
  <w:style w:type="character" w:customStyle="1" w:styleId="46">
    <w:name w:val="批注文字 Char"/>
    <w:basedOn w:val="19"/>
    <w:link w:val="5"/>
    <w:semiHidden/>
    <w:qFormat/>
    <w:uiPriority w:val="0"/>
    <w:rPr>
      <w:kern w:val="2"/>
      <w:sz w:val="21"/>
      <w:szCs w:val="24"/>
    </w:rPr>
  </w:style>
  <w:style w:type="character" w:customStyle="1" w:styleId="47">
    <w:name w:val="批注主题 Char"/>
    <w:basedOn w:val="46"/>
    <w:link w:val="16"/>
    <w:semiHidden/>
    <w:qFormat/>
    <w:uiPriority w:val="0"/>
    <w:rPr>
      <w:b/>
      <w:bCs/>
      <w:kern w:val="2"/>
      <w:sz w:val="21"/>
      <w:szCs w:val="24"/>
    </w:rPr>
  </w:style>
  <w:style w:type="table" w:customStyle="1" w:styleId="48">
    <w:name w:val="网格型2"/>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2">
    <w:name w:val="标题 Char"/>
    <w:basedOn w:val="19"/>
    <w:link w:val="15"/>
    <w:qFormat/>
    <w:uiPriority w:val="0"/>
    <w:rPr>
      <w:rFonts w:asciiTheme="majorHAnsi" w:hAnsiTheme="majorHAnsi" w:cstheme="majorBidi"/>
      <w:b/>
      <w:bCs/>
      <w:kern w:val="2"/>
      <w:sz w:val="32"/>
      <w:szCs w:val="32"/>
    </w:rPr>
  </w:style>
  <w:style w:type="paragraph" w:customStyle="1" w:styleId="53">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4">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5">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17</Pages>
  <Words>7811</Words>
  <Characters>8156</Characters>
  <Lines>56</Lines>
  <Paragraphs>16</Paragraphs>
  <TotalTime>2</TotalTime>
  <ScaleCrop>false</ScaleCrop>
  <LinksUpToDate>false</LinksUpToDate>
  <CharactersWithSpaces>8827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2025-01-07T01:02:00Z</cp:lastPrinted>
  <dcterms:modified xsi:type="dcterms:W3CDTF">2025-10-23T00:29:49Z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