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8" w:firstLineChars="52"/>
        <w:jc w:val="center"/>
        <w:rPr>
          <w:rFonts w:hint="eastAsia" w:ascii="宋体" w:hAnsi="宋体"/>
          <w:color w:val="auto"/>
          <w:sz w:val="80"/>
          <w:szCs w:val="80"/>
        </w:rPr>
      </w:pPr>
    </w:p>
    <w:p>
      <w:pPr>
        <w:pStyle w:val="46"/>
        <w:widowControl w:val="0"/>
        <w:snapToGrid w:val="0"/>
        <w:spacing w:line="360" w:lineRule="auto"/>
        <w:ind w:firstLine="418" w:firstLineChars="52"/>
        <w:jc w:val="center"/>
        <w:rPr>
          <w:rFonts w:hint="eastAsia" w:ascii="宋体" w:hAnsi="宋体"/>
          <w:color w:val="auto"/>
          <w:sz w:val="80"/>
          <w:szCs w:val="80"/>
        </w:rPr>
      </w:pPr>
    </w:p>
    <w:p>
      <w:pPr>
        <w:pStyle w:val="46"/>
        <w:widowControl w:val="0"/>
        <w:snapToGrid w:val="0"/>
        <w:spacing w:line="360" w:lineRule="auto"/>
        <w:ind w:firstLine="418"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 足跟采血器</w:t>
      </w:r>
    </w:p>
    <w:p>
      <w:pPr>
        <w:spacing w:line="360" w:lineRule="auto"/>
        <w:jc w:val="center"/>
        <w:rPr>
          <w:rFonts w:hint="eastAsia" w:ascii="宋体" w:hAnsi="宋体" w:eastAsia="宋体"/>
          <w:b/>
          <w:sz w:val="32"/>
          <w:u w:val="single"/>
          <w:lang w:eastAsia="zh-CN"/>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5103</w:t>
      </w:r>
      <w:r>
        <w:rPr>
          <w:rFonts w:hint="eastAsia"/>
          <w:b/>
          <w:bCs/>
          <w:sz w:val="32"/>
          <w:szCs w:val="32"/>
          <w:lang w:val="en-US" w:eastAsia="zh-CN"/>
        </w:rPr>
        <w:t>1</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二〇二五</w:t>
      </w:r>
      <w:r>
        <w:rPr>
          <w:rFonts w:ascii="宋体" w:hAnsi="宋体"/>
          <w:sz w:val="32"/>
          <w:szCs w:val="32"/>
        </w:rPr>
        <w:t>年</w:t>
      </w:r>
      <w:r>
        <w:rPr>
          <w:rFonts w:hint="eastAsia" w:ascii="宋体" w:hAnsi="宋体"/>
          <w:sz w:val="32"/>
          <w:szCs w:val="32"/>
        </w:rPr>
        <w:t>十</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19"/>
              <w:rFonts w:hint="eastAsia" w:asciiTheme="minorEastAsia" w:hAnsiTheme="minorEastAsia" w:eastAsiaTheme="minorEastAsia"/>
              <w:b/>
              <w:sz w:val="30"/>
              <w:szCs w:val="30"/>
            </w:rPr>
            <w:t>第一章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19"/>
              <w:rFonts w:hint="eastAsia" w:asciiTheme="minorEastAsia" w:hAnsiTheme="minorEastAsia" w:eastAsiaTheme="minorEastAsia"/>
              <w:b/>
              <w:sz w:val="30"/>
              <w:szCs w:val="30"/>
            </w:rPr>
            <w:t>第二章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19"/>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19"/>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- 13 -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footerReference r:id="rId3" w:type="default"/>
          <w:pgSz w:w="11906" w:h="16838"/>
          <w:pgMar w:top="1440" w:right="1800" w:bottom="1440" w:left="1800" w:header="851" w:footer="992" w:gutter="0"/>
          <w:cols w:space="425" w:num="1"/>
          <w:docGrid w:type="lines" w:linePitch="312" w:charSpace="0"/>
        </w:sectPr>
      </w:pPr>
    </w:p>
    <w:p>
      <w:pPr>
        <w:pStyle w:val="12"/>
      </w:pPr>
      <w:bookmarkStart w:id="0" w:name="_Toc186548463"/>
      <w:r>
        <w:rPr>
          <w:rFonts w:hint="eastAsia"/>
        </w:rPr>
        <w:t xml:space="preserve">第一章 </w:t>
      </w:r>
      <w:r>
        <w:t>采购公告</w:t>
      </w:r>
      <w:bookmarkEnd w:id="0"/>
    </w:p>
    <w:p>
      <w:pPr>
        <w:spacing w:line="360" w:lineRule="auto"/>
        <w:ind w:firstLine="482"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项目编号：CGZX-HCSJ-2025103</w:t>
      </w:r>
      <w:r>
        <w:rPr>
          <w:rFonts w:hint="eastAsia"/>
          <w:b/>
          <w:sz w:val="24"/>
          <w:lang w:val="en-US" w:eastAsia="zh-CN"/>
        </w:rPr>
        <w:t>1</w:t>
      </w:r>
      <w:r>
        <w:rPr>
          <w:b/>
          <w:sz w:val="24"/>
        </w:rPr>
        <w:t>）</w:t>
      </w:r>
    </w:p>
    <w:p>
      <w:pPr>
        <w:spacing w:line="360" w:lineRule="auto"/>
        <w:ind w:firstLine="482"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b/>
          <w:color w:val="FF0000"/>
          <w:sz w:val="24"/>
        </w:rPr>
        <w:t>5</w:t>
      </w:r>
      <w:r>
        <w:rPr>
          <w:rFonts w:hint="eastAsia"/>
          <w:b/>
          <w:color w:val="FF0000"/>
          <w:sz w:val="24"/>
        </w:rPr>
        <w:t>年11月</w:t>
      </w:r>
      <w:r>
        <w:rPr>
          <w:rFonts w:hint="eastAsia"/>
          <w:b/>
          <w:color w:val="FF0000"/>
          <w:sz w:val="24"/>
          <w:lang w:val="en-US" w:eastAsia="zh-CN"/>
        </w:rPr>
        <w:t>10</w:t>
      </w:r>
      <w:r>
        <w:rPr>
          <w:rFonts w:hint="eastAsia"/>
          <w:b/>
          <w:color w:val="FF0000"/>
          <w:sz w:val="24"/>
        </w:rPr>
        <w:t>日</w:t>
      </w:r>
      <w:r>
        <w:rPr>
          <w:rFonts w:hint="eastAsia"/>
          <w:b/>
          <w:color w:val="FF0000"/>
          <w:sz w:val="24"/>
          <w:lang w:val="en-US" w:eastAsia="zh-CN"/>
        </w:rPr>
        <w:t>14</w:t>
      </w:r>
      <w:r>
        <w:rPr>
          <w:rFonts w:hint="eastAsia"/>
          <w:b/>
          <w:color w:val="FF0000"/>
          <w:sz w:val="24"/>
        </w:rPr>
        <w:t>：00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rPr>
        <w:t>11月0</w:t>
      </w:r>
      <w:r>
        <w:rPr>
          <w:rFonts w:hint="eastAsia"/>
          <w:b/>
          <w:color w:val="FF0000"/>
          <w:sz w:val="24"/>
          <w:lang w:val="en-US" w:eastAsia="zh-CN"/>
        </w:rPr>
        <w:t>7</w:t>
      </w:r>
      <w:r>
        <w:rPr>
          <w:rFonts w:hint="eastAsia"/>
          <w:b/>
          <w:color w:val="FF0000"/>
          <w:sz w:val="24"/>
        </w:rPr>
        <w:t>日（周</w:t>
      </w:r>
      <w:r>
        <w:rPr>
          <w:rFonts w:hint="eastAsia"/>
          <w:b/>
          <w:color w:val="FF0000"/>
          <w:sz w:val="24"/>
          <w:lang w:eastAsia="zh-CN"/>
        </w:rPr>
        <w:t>五</w:t>
      </w:r>
      <w:r>
        <w:rPr>
          <w:rFonts w:hint="eastAsia"/>
          <w:b/>
          <w:color w:val="FF0000"/>
          <w:sz w:val="24"/>
        </w:rPr>
        <w:t>）16:00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bookmarkStart w:id="9" w:name="_GoBack"/>
      <w:bookmarkEnd w:id="9"/>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bookmarkStart w:id="1" w:name="_Toc186548464"/>
      <w:r>
        <w:rPr>
          <w:rFonts w:hint="eastAsia"/>
        </w:rPr>
        <w:br w:type="page"/>
      </w:r>
    </w:p>
    <w:p>
      <w:pPr>
        <w:pStyle w:val="12"/>
      </w:pPr>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rFonts w:ascii="Calibri" w:hAnsi="Calibri"/>
          <w:sz w:val="24"/>
        </w:rPr>
      </w:pPr>
      <w:r>
        <w:rPr>
          <w:rFonts w:hint="eastAsia" w:ascii="Calibri" w:hAnsi="Calibri"/>
          <w:sz w:val="24"/>
        </w:rPr>
        <w:t>5、项目开展如需配套设备，以租赁形式另行采购。</w:t>
      </w:r>
    </w:p>
    <w:p>
      <w:pPr>
        <w:spacing w:line="360" w:lineRule="auto"/>
        <w:rPr>
          <w:rFonts w:ascii="Calibri" w:hAnsi="Calibri"/>
          <w:sz w:val="24"/>
        </w:rPr>
      </w:pPr>
      <w:r>
        <w:rPr>
          <w:rFonts w:hint="eastAsia" w:ascii="Calibri" w:hAnsi="Calibri"/>
          <w:sz w:val="24"/>
        </w:rPr>
        <w:t>6、</w:t>
      </w:r>
      <w:r>
        <w:rPr>
          <w:rFonts w:hint="eastAsia" w:ascii="宋体" w:hAnsi="宋体"/>
          <w:color w:val="0D0D0D"/>
          <w:sz w:val="24"/>
        </w:rPr>
        <w:t>如果参与采购的产品所对应的目录是两定机构医疗保障信息平台目录内的，则相应参与采购的产品必须拥有产品代码（尚未列入两定机构医疗保障信息平台目录的除外）。若不能满足，则相应参与采购的产品作</w:t>
      </w:r>
      <w:r>
        <w:rPr>
          <w:rFonts w:hint="eastAsia" w:hAnsi="宋体"/>
          <w:sz w:val="24"/>
        </w:rPr>
        <w:t>废标处理</w:t>
      </w:r>
      <w:r>
        <w:rPr>
          <w:rFonts w:hint="eastAsia" w:ascii="宋体" w:hAnsi="宋体"/>
          <w:color w:val="0D0D0D"/>
          <w:sz w:val="24"/>
        </w:rPr>
        <w:t>。</w:t>
      </w:r>
    </w:p>
    <w:p>
      <w:pPr>
        <w:spacing w:line="360" w:lineRule="auto"/>
        <w:rPr>
          <w:sz w:val="24"/>
        </w:rPr>
      </w:pPr>
      <w:r>
        <w:rPr>
          <w:rFonts w:hint="eastAsia"/>
          <w:sz w:val="24"/>
        </w:rPr>
        <w:t>7、“</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pPr>
        <w:spacing w:line="360" w:lineRule="auto"/>
        <w:rPr>
          <w:b/>
          <w:bCs/>
          <w:color w:val="FF0000"/>
          <w:sz w:val="24"/>
        </w:rPr>
      </w:pPr>
      <w:r>
        <w:rPr>
          <w:rFonts w:hint="eastAsia"/>
          <w:b/>
          <w:bCs/>
          <w:color w:val="FF0000"/>
          <w:sz w:val="24"/>
        </w:rPr>
        <w:t>8、提供3件样品以供评审。</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spacing w:line="360" w:lineRule="auto"/>
        <w:rPr>
          <w:b/>
          <w:szCs w:val="21"/>
        </w:rPr>
      </w:pPr>
      <w:bookmarkStart w:id="3" w:name="OLE_LINK3"/>
      <w:r>
        <w:rPr>
          <w:rFonts w:hint="eastAsia"/>
          <w:b/>
          <w:szCs w:val="21"/>
        </w:rPr>
        <w:t xml:space="preserve">项目一: </w:t>
      </w:r>
      <w:bookmarkEnd w:id="3"/>
      <w:r>
        <w:rPr>
          <w:rFonts w:hint="eastAsia"/>
          <w:b/>
          <w:szCs w:val="21"/>
        </w:rPr>
        <w:t>足跟采血器（预算60万元）</w:t>
      </w:r>
    </w:p>
    <w:tbl>
      <w:tblPr>
        <w:tblStyle w:val="15"/>
        <w:tblpPr w:leftFromText="180" w:rightFromText="180" w:vertAnchor="text" w:horzAnchor="page" w:tblpXSpec="center" w:tblpY="139"/>
        <w:tblOverlap w:val="never"/>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8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1" w:firstLineChars="100"/>
              <w:jc w:val="left"/>
              <w:rPr>
                <w:rFonts w:hint="eastAsia" w:asciiTheme="majorEastAsia" w:hAnsiTheme="majorEastAsia" w:eastAsiaTheme="majorEastAsia"/>
                <w:bCs/>
                <w:kern w:val="0"/>
                <w:sz w:val="20"/>
                <w:szCs w:val="21"/>
              </w:rPr>
            </w:pPr>
            <w:r>
              <w:rPr>
                <w:rFonts w:hint="eastAsia" w:asciiTheme="majorEastAsia" w:hAnsiTheme="majorEastAsia" w:eastAsiaTheme="majorEastAsia"/>
                <w:b/>
                <w:kern w:val="0"/>
                <w:sz w:val="20"/>
                <w:szCs w:val="21"/>
              </w:rPr>
              <w:t>一</w:t>
            </w:r>
          </w:p>
        </w:tc>
        <w:tc>
          <w:tcPr>
            <w:tcW w:w="4498" w:type="pct"/>
          </w:tcPr>
          <w:p>
            <w:pPr>
              <w:ind w:right="-340" w:rightChars="-162"/>
              <w:jc w:val="left"/>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1.1</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产品用于足跟穿刺，采集新生儿末梢血样。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1" w:firstLineChars="100"/>
              <w:rPr>
                <w:rFonts w:hint="eastAsia" w:asciiTheme="majorEastAsia" w:hAnsiTheme="majorEastAsia" w:eastAsiaTheme="majorEastAsia"/>
                <w:b/>
                <w:kern w:val="0"/>
                <w:sz w:val="20"/>
                <w:szCs w:val="21"/>
              </w:rPr>
            </w:pPr>
            <w:r>
              <w:rPr>
                <w:rFonts w:hint="eastAsia" w:asciiTheme="majorEastAsia" w:hAnsiTheme="majorEastAsia" w:eastAsiaTheme="majorEastAsia"/>
                <w:b/>
                <w:kern w:val="0"/>
                <w:sz w:val="20"/>
                <w:szCs w:val="21"/>
              </w:rPr>
              <w:t>二</w:t>
            </w:r>
          </w:p>
        </w:tc>
        <w:tc>
          <w:tcPr>
            <w:tcW w:w="4498" w:type="pct"/>
          </w:tcPr>
          <w:p>
            <w:pPr>
              <w:ind w:right="-340" w:rightChars="-162"/>
              <w:rPr>
                <w:rFonts w:hint="eastAsia" w:asciiTheme="majorEastAsia" w:hAnsiTheme="majorEastAsia" w:eastAsiaTheme="majorEastAsia"/>
                <w:b/>
                <w:kern w:val="0"/>
                <w:sz w:val="20"/>
                <w:szCs w:val="21"/>
              </w:rPr>
            </w:pPr>
            <w:r>
              <w:rPr>
                <w:rFonts w:hint="eastAsia" w:ascii="宋体" w:hAnsi="宋体"/>
                <w:b/>
                <w:kern w:val="0"/>
                <w:sz w:val="20"/>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p>
        </w:tc>
        <w:tc>
          <w:tcPr>
            <w:tcW w:w="4498" w:type="pct"/>
          </w:tcPr>
          <w:p>
            <w:pPr>
              <w:ind w:right="-340" w:rightChars="-162"/>
              <w:rPr>
                <w:rFonts w:hint="eastAsia" w:asciiTheme="majorEastAsia" w:hAnsiTheme="majorEastAsia" w:eastAsiaTheme="majorEastAsia"/>
                <w:bCs/>
                <w:kern w:val="0"/>
                <w:sz w:val="20"/>
                <w:szCs w:val="21"/>
              </w:rPr>
            </w:pPr>
            <w:r>
              <w:rPr>
                <w:rFonts w:hint="eastAsia" w:ascii="宋体" w:hAnsi="宋体" w:cs="宋体"/>
                <w:b/>
                <w:bCs/>
                <w:color w:val="000000"/>
                <w:kern w:val="0"/>
                <w:sz w:val="2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2.1</w:t>
            </w:r>
          </w:p>
        </w:tc>
        <w:tc>
          <w:tcPr>
            <w:tcW w:w="4498" w:type="pct"/>
          </w:tcPr>
          <w:p>
            <w:pPr>
              <w:ind w:right="-340" w:rightChars="-162"/>
              <w:rPr>
                <w:kern w:val="0"/>
                <w:sz w:val="20"/>
                <w:szCs w:val="21"/>
              </w:rPr>
            </w:pPr>
            <w:r>
              <w:rPr>
                <w:rFonts w:hint="eastAsia"/>
                <w:kern w:val="0"/>
                <w:sz w:val="20"/>
                <w:szCs w:val="20"/>
              </w:rPr>
              <w:t>产品由外壳、刀片、按钮、弹簧四部分组成。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2.2</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提供产品原材料成分、生产工艺、生产环境等资料。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2.3</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产品表面光洁，无毛刺、无塑注缺陷。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2.4</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采血后刀片自动回缩，不可逆，杜绝针刺伤。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2.5</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弧面采血，顺应贴合足跟。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2.6▲</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产品发射深度1mm，发射宽度2.5mm，提供足够采血量。（提供证明材料）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2.7</w:t>
            </w:r>
          </w:p>
        </w:tc>
        <w:tc>
          <w:tcPr>
            <w:tcW w:w="4498" w:type="pct"/>
          </w:tcPr>
          <w:p>
            <w:pPr>
              <w:ind w:right="-340" w:rightChars="-162"/>
              <w:rPr>
                <w:kern w:val="0"/>
                <w:sz w:val="20"/>
                <w:szCs w:val="20"/>
              </w:rPr>
            </w:pPr>
            <w:r>
              <w:rPr>
                <w:rFonts w:hint="eastAsia"/>
                <w:kern w:val="0"/>
                <w:sz w:val="20"/>
                <w:szCs w:val="20"/>
              </w:rPr>
              <w:t>精确定位穿刺点，提供精细切口。（提供使用操作说明书）</w:t>
            </w:r>
          </w:p>
          <w:p>
            <w:pPr>
              <w:ind w:right="-340" w:rightChars="-162"/>
              <w:rPr>
                <w:rFonts w:hint="eastAsia"/>
                <w:kern w:val="0"/>
                <w:sz w:val="20"/>
                <w:szCs w:val="20"/>
              </w:rPr>
            </w:pPr>
            <w:r>
              <w:rPr>
                <w:rFonts w:hint="eastAsia"/>
                <w:kern w:val="0"/>
                <w:sz w:val="20"/>
                <w:szCs w:val="20"/>
              </w:rPr>
              <w:t>切口定位精准性评分：1、操作过程中刀片不易产生位移得5分；</w:t>
            </w:r>
          </w:p>
          <w:p>
            <w:pPr>
              <w:ind w:right="-340" w:rightChars="-162"/>
              <w:rPr>
                <w:kern w:val="0"/>
                <w:sz w:val="20"/>
                <w:szCs w:val="20"/>
              </w:rPr>
            </w:pPr>
            <w:r>
              <w:rPr>
                <w:rFonts w:hint="eastAsia"/>
                <w:kern w:val="0"/>
                <w:sz w:val="20"/>
                <w:szCs w:val="20"/>
              </w:rPr>
              <w:t>2、操作过程中刀片可能产生位移得2分；（提供样品）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2.8</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穿刺深度恒定，不因采血者技术差异而变化，防止穿刺过深造成骨骼感染。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2.9</w:t>
            </w:r>
          </w:p>
        </w:tc>
        <w:tc>
          <w:tcPr>
            <w:tcW w:w="4498" w:type="pct"/>
          </w:tcPr>
          <w:p>
            <w:pPr>
              <w:rPr>
                <w:kern w:val="0"/>
                <w:sz w:val="20"/>
                <w:szCs w:val="20"/>
              </w:rPr>
            </w:pPr>
            <w:r>
              <w:rPr>
                <w:rFonts w:hint="eastAsia" w:ascii="宋体" w:hAnsi="宋体"/>
                <w:kern w:val="0"/>
                <w:sz w:val="20"/>
                <w:szCs w:val="20"/>
              </w:rPr>
              <w:t>操作便捷性</w:t>
            </w:r>
            <w:r>
              <w:rPr>
                <w:rFonts w:ascii="宋体" w:hAnsi="宋体"/>
                <w:kern w:val="0"/>
                <w:sz w:val="20"/>
                <w:szCs w:val="20"/>
              </w:rPr>
              <w:t>，应</w:t>
            </w:r>
            <w:r>
              <w:rPr>
                <w:rFonts w:hint="eastAsia" w:ascii="宋体" w:hAnsi="宋体"/>
                <w:kern w:val="0"/>
                <w:sz w:val="20"/>
                <w:szCs w:val="20"/>
              </w:rPr>
              <w:t>方便医护人员操作，提高效率。</w:t>
            </w:r>
            <w:r>
              <w:rPr>
                <w:rFonts w:hint="eastAsia"/>
                <w:kern w:val="0"/>
                <w:sz w:val="20"/>
                <w:szCs w:val="20"/>
              </w:rPr>
              <w:t>（提供使用操作说明书）</w:t>
            </w:r>
          </w:p>
          <w:p>
            <w:pPr>
              <w:rPr>
                <w:b/>
                <w:bCs/>
                <w:kern w:val="0"/>
                <w:sz w:val="20"/>
                <w:szCs w:val="20"/>
              </w:rPr>
            </w:pPr>
            <w:bookmarkStart w:id="4" w:name="OLE_LINK2"/>
            <w:r>
              <w:rPr>
                <w:rFonts w:ascii="宋体" w:hAnsi="宋体"/>
                <w:kern w:val="0"/>
                <w:sz w:val="20"/>
                <w:szCs w:val="20"/>
                <w:highlight w:val="none"/>
              </w:rPr>
              <w:t>产品操作</w:t>
            </w:r>
            <w:r>
              <w:rPr>
                <w:rFonts w:hint="eastAsia" w:ascii="宋体" w:hAnsi="宋体"/>
                <w:kern w:val="0"/>
                <w:sz w:val="20"/>
                <w:szCs w:val="20"/>
                <w:highlight w:val="none"/>
              </w:rPr>
              <w:t>便捷性评分：</w:t>
            </w:r>
            <w:bookmarkEnd w:id="4"/>
            <w:r>
              <w:rPr>
                <w:rFonts w:hint="eastAsia" w:ascii="宋体" w:hAnsi="宋体"/>
                <w:kern w:val="0"/>
                <w:sz w:val="20"/>
                <w:szCs w:val="20"/>
                <w:highlight w:val="none"/>
              </w:rPr>
              <w:t>对产品的操作便携性按优（5分）、良（3分）、一般（1分）进行评分。（提供样品）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2.10△</w:t>
            </w:r>
          </w:p>
        </w:tc>
        <w:tc>
          <w:tcPr>
            <w:tcW w:w="4498" w:type="pct"/>
          </w:tcPr>
          <w:p>
            <w:pPr>
              <w:ind w:right="-340" w:rightChars="-162"/>
              <w:rPr>
                <w:kern w:val="0"/>
                <w:sz w:val="20"/>
                <w:szCs w:val="20"/>
              </w:rPr>
            </w:pPr>
            <w:r>
              <w:rPr>
                <w:rFonts w:hint="eastAsia"/>
                <w:kern w:val="0"/>
                <w:sz w:val="20"/>
                <w:szCs w:val="20"/>
              </w:rPr>
              <w:t>操作安全性，医护人员操作过程中不会发生误发射的情况。（提供使用操作说明书）。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2.11</w:t>
            </w:r>
          </w:p>
        </w:tc>
        <w:tc>
          <w:tcPr>
            <w:tcW w:w="4498" w:type="pct"/>
          </w:tcPr>
          <w:p>
            <w:pPr>
              <w:ind w:right="-340" w:rightChars="-162"/>
              <w:rPr>
                <w:kern w:val="0"/>
                <w:sz w:val="20"/>
                <w:szCs w:val="21"/>
              </w:rPr>
            </w:pPr>
            <w:r>
              <w:rPr>
                <w:rFonts w:hint="eastAsia"/>
                <w:kern w:val="0"/>
                <w:sz w:val="20"/>
                <w:szCs w:val="20"/>
              </w:rPr>
              <w:t>产品灭菌，一次性使用。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2.12</w:t>
            </w:r>
          </w:p>
        </w:tc>
        <w:tc>
          <w:tcPr>
            <w:tcW w:w="4498" w:type="pct"/>
          </w:tcPr>
          <w:p>
            <w:pPr>
              <w:ind w:right="-340" w:rightChars="-162"/>
              <w:rPr>
                <w:rFonts w:hint="eastAsia" w:asciiTheme="majorEastAsia" w:hAnsiTheme="majorEastAsia" w:eastAsiaTheme="majorEastAsia"/>
                <w:bCs/>
                <w:kern w:val="0"/>
                <w:sz w:val="20"/>
                <w:szCs w:val="21"/>
              </w:rPr>
            </w:pPr>
            <w:r>
              <w:rPr>
                <w:rFonts w:hint="eastAsia"/>
                <w:kern w:val="0"/>
                <w:sz w:val="20"/>
                <w:szCs w:val="20"/>
              </w:rPr>
              <w:t>每一支采血器单独包装，印有产品批次编号、效期，方便管理。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1" w:type="pct"/>
          </w:tcPr>
          <w:p>
            <w:pPr>
              <w:ind w:right="-340" w:rightChars="-162" w:firstLine="200" w:firstLineChars="100"/>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2.13</w:t>
            </w:r>
          </w:p>
        </w:tc>
        <w:tc>
          <w:tcPr>
            <w:tcW w:w="4498" w:type="pct"/>
          </w:tcPr>
          <w:p>
            <w:pPr>
              <w:ind w:right="-340" w:rightChars="-162"/>
              <w:rPr>
                <w:rFonts w:hint="eastAsia" w:ascii="宋体" w:hAnsi="宋体" w:cs="宋体"/>
                <w:b/>
                <w:bCs/>
                <w:color w:val="000000"/>
                <w:kern w:val="0"/>
                <w:sz w:val="20"/>
                <w:szCs w:val="21"/>
              </w:rPr>
            </w:pPr>
            <w:r>
              <w:rPr>
                <w:rFonts w:hint="eastAsia"/>
                <w:kern w:val="0"/>
                <w:sz w:val="20"/>
                <w:szCs w:val="20"/>
              </w:rPr>
              <w:t>国内三甲医院用户10家以上。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1" w:type="pct"/>
          </w:tcPr>
          <w:p>
            <w:pPr>
              <w:ind w:right="-340" w:rightChars="-162" w:firstLine="200" w:firstLineChars="100"/>
              <w:jc w:val="left"/>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三</w:t>
            </w:r>
          </w:p>
        </w:tc>
        <w:tc>
          <w:tcPr>
            <w:tcW w:w="4498" w:type="pct"/>
          </w:tcPr>
          <w:p>
            <w:pPr>
              <w:ind w:right="-340" w:rightChars="-162"/>
              <w:rPr>
                <w:rFonts w:hint="eastAsia" w:asciiTheme="majorEastAsia" w:hAnsiTheme="majorEastAsia" w:eastAsiaTheme="majorEastAsia"/>
                <w:b/>
                <w:kern w:val="0"/>
                <w:sz w:val="20"/>
                <w:szCs w:val="21"/>
              </w:rPr>
            </w:pPr>
            <w:r>
              <w:rPr>
                <w:rFonts w:hint="eastAsia" w:asciiTheme="majorEastAsia" w:hAnsiTheme="majorEastAsia" w:eastAsiaTheme="majorEastAsia"/>
                <w:b/>
                <w:kern w:val="0"/>
                <w:sz w:val="20"/>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1" w:type="pct"/>
          </w:tcPr>
          <w:p>
            <w:pPr>
              <w:ind w:right="-340" w:rightChars="-162" w:firstLine="200" w:firstLineChars="100"/>
              <w:jc w:val="left"/>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3.1</w:t>
            </w:r>
          </w:p>
        </w:tc>
        <w:tc>
          <w:tcPr>
            <w:tcW w:w="4498" w:type="pct"/>
            <w:vAlign w:val="center"/>
          </w:tcPr>
          <w:p>
            <w:pPr>
              <w:ind w:left="105" w:leftChars="50" w:right="105" w:rightChars="50"/>
              <w:rPr>
                <w:kern w:val="0"/>
                <w:sz w:val="20"/>
                <w:szCs w:val="21"/>
              </w:rPr>
            </w:pPr>
            <w:r>
              <w:rPr>
                <w:rFonts w:hint="eastAsia"/>
                <w:kern w:val="0"/>
                <w:sz w:val="20"/>
                <w:szCs w:val="21"/>
              </w:rPr>
              <w:t>按时配送、应急供货、具有突发公共事件处置方案。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1" w:type="pct"/>
          </w:tcPr>
          <w:p>
            <w:pPr>
              <w:ind w:right="-340" w:rightChars="-162" w:firstLine="200" w:firstLineChars="100"/>
              <w:jc w:val="left"/>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3.2</w:t>
            </w:r>
          </w:p>
        </w:tc>
        <w:tc>
          <w:tcPr>
            <w:tcW w:w="4498" w:type="pct"/>
            <w:vAlign w:val="center"/>
          </w:tcPr>
          <w:p>
            <w:pPr>
              <w:ind w:left="105" w:leftChars="50" w:right="105" w:rightChars="50"/>
              <w:rPr>
                <w:kern w:val="0"/>
                <w:sz w:val="20"/>
                <w:szCs w:val="21"/>
              </w:rPr>
            </w:pPr>
            <w:r>
              <w:rPr>
                <w:kern w:val="0"/>
                <w:sz w:val="20"/>
                <w:szCs w:val="21"/>
              </w:rPr>
              <w:t>保证供应的货品质量完全符合出厂技术标准的要求</w:t>
            </w:r>
            <w:r>
              <w:rPr>
                <w:rFonts w:hint="eastAsia"/>
                <w:kern w:val="0"/>
                <w:sz w:val="20"/>
                <w:szCs w:val="21"/>
              </w:rPr>
              <w:t>，</w:t>
            </w:r>
            <w:r>
              <w:rPr>
                <w:kern w:val="0"/>
                <w:sz w:val="20"/>
                <w:szCs w:val="21"/>
              </w:rPr>
              <w:t>提供完整清晰的随货同行单及发票</w:t>
            </w:r>
            <w:r>
              <w:rPr>
                <w:rFonts w:hint="eastAsia"/>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1" w:type="pct"/>
          </w:tcPr>
          <w:p>
            <w:pPr>
              <w:ind w:right="-340" w:rightChars="-162" w:firstLine="200" w:firstLineChars="100"/>
              <w:jc w:val="left"/>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3.3</w:t>
            </w:r>
          </w:p>
        </w:tc>
        <w:tc>
          <w:tcPr>
            <w:tcW w:w="4498" w:type="pct"/>
            <w:vAlign w:val="center"/>
          </w:tcPr>
          <w:p>
            <w:pPr>
              <w:ind w:left="105" w:leftChars="50" w:right="105" w:rightChars="50"/>
              <w:rPr>
                <w:kern w:val="0"/>
                <w:sz w:val="20"/>
                <w:szCs w:val="21"/>
              </w:rPr>
            </w:pPr>
            <w:r>
              <w:rPr>
                <w:rFonts w:hint="eastAsia"/>
                <w:kern w:val="0"/>
                <w:sz w:val="20"/>
                <w:szCs w:val="21"/>
              </w:rPr>
              <w:t>产品有效期内质量问题，免费退换。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1" w:type="pct"/>
          </w:tcPr>
          <w:p>
            <w:pPr>
              <w:ind w:right="-340" w:rightChars="-162" w:firstLine="200" w:firstLineChars="100"/>
              <w:jc w:val="left"/>
              <w:rPr>
                <w:rFonts w:hint="eastAsia" w:asciiTheme="majorEastAsia" w:hAnsiTheme="majorEastAsia" w:eastAsiaTheme="majorEastAsia"/>
                <w:bCs/>
                <w:kern w:val="0"/>
                <w:sz w:val="20"/>
                <w:szCs w:val="21"/>
              </w:rPr>
            </w:pPr>
            <w:r>
              <w:rPr>
                <w:rFonts w:hint="eastAsia" w:asciiTheme="majorEastAsia" w:hAnsiTheme="majorEastAsia" w:eastAsiaTheme="majorEastAsia"/>
                <w:bCs/>
                <w:kern w:val="0"/>
                <w:sz w:val="20"/>
                <w:szCs w:val="21"/>
              </w:rPr>
              <w:t>3.4</w:t>
            </w:r>
          </w:p>
        </w:tc>
        <w:tc>
          <w:tcPr>
            <w:tcW w:w="4498" w:type="pct"/>
            <w:vAlign w:val="center"/>
          </w:tcPr>
          <w:p>
            <w:pPr>
              <w:ind w:left="105" w:leftChars="50" w:right="105" w:rightChars="50"/>
              <w:rPr>
                <w:kern w:val="0"/>
                <w:sz w:val="20"/>
                <w:szCs w:val="21"/>
              </w:rPr>
            </w:pPr>
            <w:r>
              <w:rPr>
                <w:kern w:val="0"/>
                <w:sz w:val="20"/>
                <w:szCs w:val="21"/>
              </w:rPr>
              <w:t>提供完善的投诉服务通道</w:t>
            </w:r>
            <w:r>
              <w:rPr>
                <w:rFonts w:hint="eastAsia"/>
                <w:kern w:val="0"/>
                <w:sz w:val="20"/>
                <w:szCs w:val="21"/>
              </w:rPr>
              <w:t>，</w:t>
            </w:r>
            <w:r>
              <w:rPr>
                <w:kern w:val="0"/>
                <w:sz w:val="20"/>
                <w:szCs w:val="21"/>
              </w:rPr>
              <w:t>及时进行投诉处理</w:t>
            </w:r>
            <w:r>
              <w:rPr>
                <w:rFonts w:hint="eastAsia"/>
                <w:kern w:val="0"/>
                <w:sz w:val="20"/>
                <w:szCs w:val="21"/>
              </w:rPr>
              <w:t>。</w:t>
            </w:r>
          </w:p>
        </w:tc>
      </w:tr>
    </w:tbl>
    <w:p>
      <w:pPr>
        <w:spacing w:line="360" w:lineRule="auto"/>
        <w:rPr>
          <w:b/>
          <w:szCs w:val="21"/>
        </w:rPr>
      </w:pPr>
    </w:p>
    <w:p>
      <w:pPr>
        <w:spacing w:line="360" w:lineRule="auto"/>
        <w:rPr>
          <w:b/>
          <w:szCs w:val="21"/>
        </w:rPr>
      </w:pPr>
    </w:p>
    <w:p>
      <w:pPr>
        <w:widowControl/>
        <w:jc w:val="left"/>
        <w:rPr>
          <w:rFonts w:asciiTheme="majorHAnsi" w:hAnsiTheme="majorHAnsi" w:cstheme="majorBidi"/>
          <w:b/>
          <w:bCs/>
          <w:sz w:val="32"/>
          <w:szCs w:val="32"/>
        </w:rPr>
      </w:pPr>
      <w:bookmarkStart w:id="5" w:name="_Toc186548465"/>
      <w:r>
        <w:br w:type="page"/>
      </w:r>
    </w:p>
    <w:p>
      <w:pPr>
        <w:pStyle w:val="12"/>
      </w:pPr>
      <w:r>
        <w:rPr>
          <w:rFonts w:hint="eastAsia"/>
        </w:rPr>
        <w:t>第三章</w:t>
      </w:r>
      <w:r>
        <w:rPr>
          <w:rFonts w:hint="eastAsia"/>
        </w:rPr>
        <w:tab/>
      </w:r>
      <w:r>
        <w:rPr>
          <w:rFonts w:hint="eastAsia"/>
        </w:rPr>
        <w:t>响应文件格式</w:t>
      </w:r>
      <w:bookmarkEnd w:id="5"/>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w:t>
            </w:r>
            <w:r>
              <w:rPr>
                <w:rFonts w:hint="eastAsia" w:hAnsi="宋体"/>
                <w:kern w:val="0"/>
                <w:szCs w:val="21"/>
              </w:rPr>
              <w:t>省内三甲</w:t>
            </w:r>
            <w:r>
              <w:rPr>
                <w:rFonts w:hAnsi="宋体"/>
                <w:kern w:val="0"/>
                <w:szCs w:val="21"/>
              </w:rPr>
              <w:t>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耗材试剂</w:t>
      </w:r>
      <w:r>
        <w:rPr>
          <w:rFonts w:hAnsi="Calibri"/>
          <w:sz w:val="44"/>
          <w:szCs w:val="44"/>
        </w:rPr>
        <w:t>）</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bookmarkStart w:id="6" w:name="_Toc186548466"/>
      <w:r>
        <w:rPr>
          <w:rFonts w:hint="eastAsia"/>
        </w:rPr>
        <w:br w:type="page"/>
      </w:r>
      <w:r>
        <w:rPr>
          <w:rFonts w:hint="eastAsia"/>
        </w:rPr>
        <w:t>第四章</w:t>
      </w:r>
      <w:r>
        <w:rPr>
          <w:rFonts w:hint="eastAsia"/>
        </w:rPr>
        <w:tab/>
      </w:r>
      <w:r>
        <w:rPr>
          <w:rFonts w:hint="eastAsia"/>
        </w:rPr>
        <w:t>合同主要条款</w:t>
      </w:r>
      <w:bookmarkEnd w:id="6"/>
    </w:p>
    <w:p>
      <w:pPr>
        <w:widowControl/>
        <w:adjustRightInd w:val="0"/>
        <w:spacing w:line="360" w:lineRule="auto"/>
        <w:ind w:right="210" w:rightChars="100" w:firstLine="2640" w:firstLineChars="1100"/>
        <w:rPr>
          <w:rFonts w:hint="eastAsia" w:ascii="宋体" w:hAnsi="宋体" w:cs="宋体"/>
          <w:bCs/>
          <w:kern w:val="0"/>
          <w:sz w:val="24"/>
        </w:rPr>
      </w:pPr>
      <w:r>
        <w:rPr>
          <w:rFonts w:hint="eastAsia" w:ascii="宋体" w:hAnsi="宋体" w:cs="宋体"/>
          <w:bCs/>
          <w:kern w:val="0"/>
          <w:sz w:val="24"/>
        </w:rPr>
        <w:t>浙江大学医学院附属妇产科医院</w:t>
      </w:r>
    </w:p>
    <w:p>
      <w:pPr>
        <w:spacing w:line="360" w:lineRule="auto"/>
        <w:jc w:val="center"/>
        <w:rPr>
          <w:b/>
          <w:color w:val="C00000"/>
          <w:sz w:val="32"/>
          <w:szCs w:val="32"/>
        </w:rPr>
      </w:pPr>
      <w:r>
        <w:rPr>
          <w:rFonts w:hint="eastAsia"/>
          <w:b/>
          <w:sz w:val="32"/>
          <w:szCs w:val="32"/>
        </w:rPr>
        <w:t>医疗物资采购协议</w:t>
      </w:r>
      <w:r>
        <w:rPr>
          <w:rFonts w:hint="eastAsia"/>
          <w:b/>
          <w:sz w:val="32"/>
          <w:szCs w:val="32"/>
        </w:rPr>
        <w:br w:type="textWrapping"/>
      </w:r>
      <w:r>
        <w:rPr>
          <w:rFonts w:hint="eastAsia"/>
          <w:b/>
          <w:color w:val="C00000"/>
          <w:sz w:val="24"/>
        </w:rPr>
        <w:t>（仅作参考，以最终协商为准）</w:t>
      </w:r>
    </w:p>
    <w:p>
      <w:pPr>
        <w:spacing w:line="360" w:lineRule="auto"/>
        <w:rPr>
          <w:szCs w:val="21"/>
        </w:rPr>
      </w:pPr>
      <w:r>
        <w:rPr>
          <w:rFonts w:hint="eastAsia"/>
          <w:szCs w:val="21"/>
        </w:rPr>
        <w:t>甲方（需方）：浙江大学医学院附属妇产科医院                 合同编号：</w:t>
      </w:r>
    </w:p>
    <w:p>
      <w:pPr>
        <w:spacing w:line="360" w:lineRule="auto"/>
        <w:rPr>
          <w:szCs w:val="21"/>
          <w:u w:val="single"/>
        </w:rPr>
      </w:pPr>
      <w:r>
        <w:rPr>
          <w:rFonts w:hint="eastAsia"/>
          <w:szCs w:val="21"/>
        </w:rPr>
        <w:t xml:space="preserve">乙方（供方）：____________________________                 </w:t>
      </w:r>
    </w:p>
    <w:p>
      <w:pPr>
        <w:spacing w:line="360" w:lineRule="auto"/>
        <w:ind w:firstLine="420" w:firstLineChars="200"/>
        <w:rPr>
          <w:szCs w:val="21"/>
        </w:rPr>
      </w:pPr>
      <w:r>
        <w:rPr>
          <w:rFonts w:hint="eastAsia"/>
          <w:szCs w:val="21"/>
        </w:rPr>
        <w:t>甲、乙双方在平等、自愿、友好、协作的原则下通过相关采购程序，签订如下医用耗材、器械、体外诊断试剂（以下简称“医疗物资”）的采购协议：</w:t>
      </w:r>
    </w:p>
    <w:p>
      <w:pPr>
        <w:numPr>
          <w:ilvl w:val="0"/>
          <w:numId w:val="1"/>
        </w:numPr>
        <w:spacing w:line="400" w:lineRule="exact"/>
        <w:rPr>
          <w:szCs w:val="21"/>
        </w:rPr>
      </w:pPr>
      <w:r>
        <w:rPr>
          <w:rFonts w:hint="eastAsia"/>
          <w:szCs w:val="21"/>
        </w:rPr>
        <w:t>乙方按协议规定要求的品种、规格、价格，保质保量供应给甲方医疗物资（详见附件1）。</w:t>
      </w:r>
    </w:p>
    <w:p>
      <w:pPr>
        <w:numPr>
          <w:ilvl w:val="0"/>
          <w:numId w:val="1"/>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pPr>
        <w:numPr>
          <w:ilvl w:val="0"/>
          <w:numId w:val="1"/>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甲方在订货时给予乙方必要的准备时间，乙方必须按甲方的要求准时配送到甲方指定地点，植入性材料要求随叫随到。乙方承担包装费、运费、保险费，包装物不再退还乙方。</w:t>
      </w:r>
    </w:p>
    <w:p>
      <w:pPr>
        <w:numPr>
          <w:ilvl w:val="0"/>
          <w:numId w:val="1"/>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pPr>
        <w:numPr>
          <w:ilvl w:val="0"/>
          <w:numId w:val="1"/>
        </w:numPr>
        <w:spacing w:line="400" w:lineRule="exact"/>
        <w:rPr>
          <w:szCs w:val="21"/>
        </w:rPr>
      </w:pPr>
      <w:r>
        <w:rPr>
          <w:rFonts w:hint="eastAsia"/>
          <w:szCs w:val="21"/>
        </w:rPr>
        <w:t>协议履行期间，协议物资如出现同一品种产品市场价低于本协议价的，乙方同意主动下调价格。</w:t>
      </w:r>
    </w:p>
    <w:p>
      <w:pPr>
        <w:numPr>
          <w:ilvl w:val="0"/>
          <w:numId w:val="1"/>
        </w:numPr>
        <w:spacing w:line="400" w:lineRule="exact"/>
        <w:rPr>
          <w:szCs w:val="21"/>
        </w:rPr>
      </w:pPr>
      <w:r>
        <w:rPr>
          <w:rFonts w:hint="eastAsia"/>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1"/>
        </w:numPr>
        <w:spacing w:line="400" w:lineRule="exact"/>
        <w:rPr>
          <w:szCs w:val="21"/>
        </w:rPr>
      </w:pPr>
      <w:r>
        <w:rPr>
          <w:rFonts w:hint="eastAsia"/>
          <w:szCs w:val="21"/>
        </w:rPr>
        <w:t>因产品质量问题或乙方无法正常供货而给甲方造成损失时，乙方应承担</w:t>
      </w:r>
      <w:bookmarkStart w:id="7" w:name="_Hlk84574869"/>
      <w:r>
        <w:rPr>
          <w:rFonts w:hint="eastAsia"/>
          <w:szCs w:val="21"/>
        </w:rPr>
        <w:t>由此所产生的全部责任。甲方有权单方解除本《医疗物资采购协议》。</w:t>
      </w:r>
    </w:p>
    <w:bookmarkEnd w:id="7"/>
    <w:p>
      <w:pPr>
        <w:numPr>
          <w:ilvl w:val="0"/>
          <w:numId w:val="1"/>
        </w:numPr>
        <w:spacing w:line="400" w:lineRule="exact"/>
        <w:rPr>
          <w:szCs w:val="21"/>
        </w:rPr>
      </w:pPr>
      <w:r>
        <w:rPr>
          <w:rFonts w:hint="eastAsia" w:ascii="宋体" w:hAnsi="宋体"/>
          <w:szCs w:val="21"/>
        </w:rPr>
        <w:t>乙方负责对甲方使用协议物资相关技术进行培训。</w:t>
      </w:r>
    </w:p>
    <w:p>
      <w:pPr>
        <w:numPr>
          <w:ilvl w:val="0"/>
          <w:numId w:val="1"/>
        </w:numPr>
        <w:spacing w:line="400" w:lineRule="exact"/>
        <w:rPr>
          <w:szCs w:val="21"/>
        </w:rPr>
      </w:pPr>
      <w:r>
        <w:rPr>
          <w:rFonts w:hint="eastAsia"/>
          <w:szCs w:val="21"/>
        </w:rPr>
        <w:t>甲方在物资到货验收合格，收到乙方开具的正式发票后付款。</w:t>
      </w:r>
    </w:p>
    <w:p>
      <w:pPr>
        <w:numPr>
          <w:ilvl w:val="0"/>
          <w:numId w:val="1"/>
        </w:numPr>
        <w:spacing w:line="400" w:lineRule="exact"/>
        <w:rPr>
          <w:szCs w:val="21"/>
        </w:rPr>
      </w:pPr>
      <w:r>
        <w:rPr>
          <w:rFonts w:hint="eastAsia" w:ascii="宋体" w:hAnsi="宋体"/>
          <w:szCs w:val="21"/>
        </w:rPr>
        <w:t>如遇国家政策或医院有关制度变动等原因需中止、终止协议的，甲方有权单方面中止或者终止本协议，并及时通知乙方。</w:t>
      </w:r>
    </w:p>
    <w:p>
      <w:pPr>
        <w:spacing w:line="400" w:lineRule="exact"/>
        <w:ind w:left="538" w:hanging="537" w:hangingChars="256"/>
        <w:rPr>
          <w:szCs w:val="21"/>
        </w:rPr>
      </w:pPr>
      <w:bookmarkStart w:id="8" w:name="_Hlk157149319"/>
      <w:r>
        <w:rPr>
          <w:rFonts w:hint="eastAsia"/>
          <w:szCs w:val="21"/>
        </w:rPr>
        <w:t>十一、本协议履行期间出现纠纷的，任何一方可向甲方所在地人民法院提起诉讼。</w:t>
      </w:r>
    </w:p>
    <w:p>
      <w:pPr>
        <w:spacing w:line="400" w:lineRule="exact"/>
        <w:ind w:left="538" w:hanging="537" w:hangingChars="256"/>
        <w:rPr>
          <w:szCs w:val="21"/>
        </w:rPr>
      </w:pPr>
      <w:r>
        <w:rPr>
          <w:rFonts w:hint="eastAsia"/>
          <w:szCs w:val="21"/>
        </w:rPr>
        <w:t>十二、本协议有效期自合同签订之日起</w:t>
      </w:r>
      <w:r>
        <w:rPr>
          <w:rFonts w:hint="eastAsia"/>
          <w:szCs w:val="21"/>
          <w:u w:val="single"/>
        </w:rPr>
        <w:t xml:space="preserve">  贰   </w:t>
      </w:r>
      <w:r>
        <w:rPr>
          <w:rFonts w:hint="eastAsia"/>
          <w:szCs w:val="21"/>
        </w:rPr>
        <w:t>年，协议期内不得提价。</w:t>
      </w:r>
    </w:p>
    <w:p>
      <w:pPr>
        <w:spacing w:line="400" w:lineRule="exact"/>
        <w:rPr>
          <w:szCs w:val="21"/>
        </w:rPr>
      </w:pPr>
      <w:r>
        <w:rPr>
          <w:rFonts w:hint="eastAsia"/>
          <w:szCs w:val="21"/>
        </w:rPr>
        <w:t>十三、其它未尽事宜，双方协商解决。</w:t>
      </w:r>
    </w:p>
    <w:p>
      <w:pPr>
        <w:spacing w:line="400" w:lineRule="exact"/>
        <w:rPr>
          <w:rFonts w:hint="eastAsia" w:ascii="新宋体" w:hAnsi="新宋体" w:eastAsia="新宋体"/>
          <w:szCs w:val="21"/>
        </w:rPr>
      </w:pPr>
      <w:r>
        <w:rPr>
          <w:rFonts w:hint="eastAsia" w:ascii="新宋体" w:hAnsi="新宋体" w:eastAsia="新宋体"/>
          <w:szCs w:val="21"/>
        </w:rPr>
        <w:t>十四、本协议经双方签字盖章之日生效。</w:t>
      </w:r>
    </w:p>
    <w:bookmarkEnd w:id="8"/>
    <w:p>
      <w:pPr>
        <w:spacing w:line="400" w:lineRule="exact"/>
        <w:ind w:firstLine="630" w:firstLineChars="300"/>
        <w:rPr>
          <w:szCs w:val="21"/>
        </w:rPr>
      </w:pPr>
      <w:r>
        <w:rPr>
          <w:rFonts w:hint="eastAsia" w:ascii="新宋体" w:hAnsi="新宋体" w:eastAsia="新宋体"/>
          <w:szCs w:val="21"/>
        </w:rPr>
        <w:t xml:space="preserve">本协议一式 </w:t>
      </w:r>
      <w:r>
        <w:rPr>
          <w:rFonts w:hint="eastAsia" w:ascii="新宋体" w:hAnsi="新宋体" w:eastAsia="新宋体"/>
          <w:szCs w:val="21"/>
          <w:u w:val="single"/>
        </w:rPr>
        <w:t xml:space="preserve">贰 </w:t>
      </w:r>
      <w:r>
        <w:rPr>
          <w:rFonts w:hint="eastAsia" w:ascii="新宋体" w:hAnsi="新宋体" w:eastAsia="新宋体"/>
          <w:szCs w:val="21"/>
        </w:rPr>
        <w:t xml:space="preserve">份，甲乙双方各执 </w:t>
      </w:r>
      <w:r>
        <w:rPr>
          <w:rFonts w:hint="eastAsia" w:ascii="新宋体" w:hAnsi="新宋体" w:eastAsia="新宋体"/>
          <w:szCs w:val="21"/>
          <w:u w:val="single"/>
        </w:rPr>
        <w:t xml:space="preserve">壹 </w:t>
      </w:r>
      <w:r>
        <w:rPr>
          <w:rFonts w:hint="eastAsia" w:ascii="新宋体" w:hAnsi="新宋体" w:eastAsia="新宋体"/>
          <w:szCs w:val="21"/>
        </w:rPr>
        <w:t>份。</w:t>
      </w:r>
    </w:p>
    <w:p>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乙方：</w:t>
      </w:r>
      <w:r>
        <w:rPr>
          <w:rFonts w:hint="eastAsia"/>
          <w:szCs w:val="21"/>
        </w:rPr>
        <w:t xml:space="preserve">       </w:t>
      </w:r>
    </w:p>
    <w:p>
      <w:pPr>
        <w:spacing w:line="360" w:lineRule="auto"/>
        <w:rPr>
          <w:szCs w:val="21"/>
        </w:rPr>
      </w:pPr>
      <w:r>
        <w:rPr>
          <w:rFonts w:hint="eastAsia"/>
          <w:szCs w:val="21"/>
        </w:rPr>
        <w:t xml:space="preserve">地址：杭州学士路1号                         地址： </w:t>
      </w:r>
    </w:p>
    <w:p>
      <w:pPr>
        <w:spacing w:line="360" w:lineRule="auto"/>
        <w:rPr>
          <w:szCs w:val="21"/>
        </w:rPr>
      </w:pPr>
      <w:r>
        <w:rPr>
          <w:rFonts w:hint="eastAsia"/>
          <w:szCs w:val="21"/>
        </w:rPr>
        <w:t>电话：0571-87061501                          电话及手机：</w:t>
      </w:r>
    </w:p>
    <w:p>
      <w:pPr>
        <w:spacing w:line="360" w:lineRule="auto"/>
        <w:rPr>
          <w:rFonts w:ascii="仿宋_GB2312" w:eastAsia="仿宋_GB2312"/>
          <w:sz w:val="24"/>
        </w:rPr>
      </w:pPr>
      <w:r>
        <w:rPr>
          <w:rFonts w:hint="eastAsia" w:ascii="仿宋_GB2312" w:eastAsia="仿宋_GB2312"/>
          <w:sz w:val="24"/>
        </w:rPr>
        <w:t>法定（授权）代表人                     法定（授权）代表人</w:t>
      </w:r>
    </w:p>
    <w:p>
      <w:pPr>
        <w:spacing w:line="360" w:lineRule="auto"/>
        <w:rPr>
          <w:szCs w:val="21"/>
        </w:rPr>
      </w:pPr>
      <w:r>
        <w:rPr>
          <w:rFonts w:hint="eastAsia"/>
          <w:szCs w:val="21"/>
        </w:rPr>
        <w:t>签字：                                       签字：</w:t>
      </w:r>
    </w:p>
    <w:p>
      <w:pPr>
        <w:spacing w:line="360" w:lineRule="auto"/>
        <w:rPr>
          <w:szCs w:val="21"/>
        </w:rPr>
        <w:sectPr>
          <w:pgSz w:w="11906" w:h="16838"/>
          <w:pgMar w:top="873" w:right="1627" w:bottom="873" w:left="1627" w:header="851" w:footer="992" w:gutter="0"/>
          <w:cols w:space="425" w:num="1"/>
          <w:docGrid w:type="lines" w:linePitch="312" w:charSpace="0"/>
        </w:sectPr>
      </w:pPr>
      <w:r>
        <w:rPr>
          <w:rFonts w:hint="eastAsia"/>
          <w:szCs w:val="21"/>
        </w:rPr>
        <w:t xml:space="preserve">签订日期：                                   签订日期：              </w:t>
      </w:r>
    </w:p>
    <w:p>
      <w:pPr>
        <w:rPr>
          <w:b/>
          <w:bCs/>
          <w:sz w:val="24"/>
        </w:rPr>
      </w:pPr>
      <w:r>
        <w:rPr>
          <w:rFonts w:hint="eastAsia"/>
          <w:b/>
          <w:bCs/>
          <w:sz w:val="24"/>
        </w:rPr>
        <w:t>附件1：</w:t>
      </w:r>
    </w:p>
    <w:tbl>
      <w:tblPr>
        <w:tblStyle w:val="14"/>
        <w:tblpPr w:leftFromText="180" w:rightFromText="180" w:vertAnchor="text" w:horzAnchor="margin" w:tblpXSpec="center" w:tblpY="530"/>
        <w:tblOverlap w:val="never"/>
        <w:tblW w:w="16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410"/>
        <w:gridCol w:w="2693"/>
        <w:gridCol w:w="1276"/>
        <w:gridCol w:w="1451"/>
        <w:gridCol w:w="1451"/>
        <w:gridCol w:w="850"/>
        <w:gridCol w:w="992"/>
        <w:gridCol w:w="1418"/>
        <w:gridCol w:w="1012"/>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ind w:firstLine="89" w:firstLineChars="49"/>
              <w:jc w:val="left"/>
              <w:rPr>
                <w:b/>
                <w:sz w:val="18"/>
                <w:szCs w:val="18"/>
              </w:rPr>
            </w:pPr>
            <w:r>
              <w:rPr>
                <w:rFonts w:hint="eastAsia"/>
                <w:b/>
                <w:sz w:val="18"/>
                <w:szCs w:val="18"/>
              </w:rPr>
              <w:t>产品名称</w:t>
            </w:r>
          </w:p>
        </w:tc>
        <w:tc>
          <w:tcPr>
            <w:tcW w:w="2410" w:type="dxa"/>
            <w:vAlign w:val="center"/>
          </w:tcPr>
          <w:p>
            <w:pPr>
              <w:rPr>
                <w:b/>
                <w:sz w:val="18"/>
                <w:szCs w:val="18"/>
              </w:rPr>
            </w:pPr>
            <w:r>
              <w:rPr>
                <w:rFonts w:hint="eastAsia"/>
                <w:b/>
                <w:sz w:val="18"/>
                <w:szCs w:val="18"/>
              </w:rPr>
              <w:t>生产企业</w:t>
            </w:r>
          </w:p>
        </w:tc>
        <w:tc>
          <w:tcPr>
            <w:tcW w:w="2693" w:type="dxa"/>
            <w:vAlign w:val="center"/>
          </w:tcPr>
          <w:p>
            <w:pPr>
              <w:ind w:firstLine="89" w:firstLineChars="49"/>
              <w:rPr>
                <w:b/>
                <w:sz w:val="18"/>
                <w:szCs w:val="18"/>
              </w:rPr>
            </w:pPr>
            <w:r>
              <w:rPr>
                <w:rFonts w:hint="eastAsia"/>
                <w:b/>
                <w:sz w:val="18"/>
                <w:szCs w:val="18"/>
              </w:rPr>
              <w:t>注册证号</w:t>
            </w:r>
          </w:p>
        </w:tc>
        <w:tc>
          <w:tcPr>
            <w:tcW w:w="1276" w:type="dxa"/>
            <w:vAlign w:val="center"/>
          </w:tcPr>
          <w:p>
            <w:pPr>
              <w:rPr>
                <w:b/>
                <w:sz w:val="18"/>
                <w:szCs w:val="18"/>
              </w:rPr>
            </w:pPr>
            <w:r>
              <w:rPr>
                <w:rFonts w:hint="eastAsia"/>
                <w:b/>
                <w:sz w:val="18"/>
                <w:szCs w:val="18"/>
              </w:rPr>
              <w:t>规格</w:t>
            </w:r>
          </w:p>
        </w:tc>
        <w:tc>
          <w:tcPr>
            <w:tcW w:w="1451" w:type="dxa"/>
            <w:vAlign w:val="center"/>
          </w:tcPr>
          <w:p>
            <w:pPr>
              <w:ind w:firstLine="89" w:firstLineChars="49"/>
              <w:rPr>
                <w:b/>
                <w:sz w:val="18"/>
                <w:szCs w:val="18"/>
              </w:rPr>
            </w:pPr>
            <w:r>
              <w:rPr>
                <w:rFonts w:hint="eastAsia"/>
                <w:b/>
                <w:sz w:val="18"/>
                <w:szCs w:val="18"/>
              </w:rPr>
              <w:t>医保代码</w:t>
            </w:r>
          </w:p>
        </w:tc>
        <w:tc>
          <w:tcPr>
            <w:tcW w:w="1451" w:type="dxa"/>
            <w:vAlign w:val="center"/>
          </w:tcPr>
          <w:p>
            <w:pPr>
              <w:ind w:firstLine="89" w:firstLineChars="49"/>
              <w:rPr>
                <w:b/>
                <w:sz w:val="18"/>
                <w:szCs w:val="18"/>
              </w:rPr>
            </w:pPr>
            <w:r>
              <w:rPr>
                <w:rFonts w:hint="eastAsia"/>
                <w:b/>
                <w:sz w:val="18"/>
                <w:szCs w:val="18"/>
              </w:rPr>
              <w:t>省平台代码</w:t>
            </w:r>
          </w:p>
        </w:tc>
        <w:tc>
          <w:tcPr>
            <w:tcW w:w="850" w:type="dxa"/>
            <w:vAlign w:val="center"/>
          </w:tcPr>
          <w:p>
            <w:pPr>
              <w:rPr>
                <w:b/>
                <w:sz w:val="18"/>
                <w:szCs w:val="18"/>
              </w:rPr>
            </w:pPr>
            <w:r>
              <w:rPr>
                <w:rFonts w:hint="eastAsia"/>
                <w:b/>
                <w:sz w:val="18"/>
                <w:szCs w:val="18"/>
              </w:rPr>
              <w:t>货号</w:t>
            </w:r>
          </w:p>
        </w:tc>
        <w:tc>
          <w:tcPr>
            <w:tcW w:w="992" w:type="dxa"/>
            <w:vAlign w:val="center"/>
          </w:tcPr>
          <w:p>
            <w:pPr>
              <w:rPr>
                <w:b/>
                <w:sz w:val="18"/>
                <w:szCs w:val="18"/>
              </w:rPr>
            </w:pPr>
            <w:r>
              <w:rPr>
                <w:rFonts w:hint="eastAsia"/>
                <w:b/>
                <w:sz w:val="18"/>
                <w:szCs w:val="18"/>
              </w:rPr>
              <w:t>计量单位</w:t>
            </w:r>
          </w:p>
        </w:tc>
        <w:tc>
          <w:tcPr>
            <w:tcW w:w="1418" w:type="dxa"/>
            <w:vAlign w:val="center"/>
          </w:tcPr>
          <w:p>
            <w:pPr>
              <w:rPr>
                <w:b/>
                <w:sz w:val="18"/>
                <w:szCs w:val="18"/>
              </w:rPr>
            </w:pPr>
            <w:r>
              <w:rPr>
                <w:rFonts w:hint="eastAsia"/>
                <w:b/>
                <w:sz w:val="18"/>
                <w:szCs w:val="18"/>
              </w:rPr>
              <w:t>中标价（元）</w:t>
            </w:r>
          </w:p>
        </w:tc>
        <w:tc>
          <w:tcPr>
            <w:tcW w:w="1012" w:type="dxa"/>
            <w:vAlign w:val="center"/>
          </w:tcPr>
          <w:p>
            <w:pPr>
              <w:rPr>
                <w:b/>
                <w:sz w:val="18"/>
                <w:szCs w:val="18"/>
              </w:rPr>
            </w:pPr>
            <w:r>
              <w:rPr>
                <w:rFonts w:hint="eastAsia"/>
                <w:b/>
                <w:sz w:val="18"/>
                <w:szCs w:val="18"/>
              </w:rPr>
              <w:t>UDI码</w:t>
            </w:r>
          </w:p>
        </w:tc>
        <w:tc>
          <w:tcPr>
            <w:tcW w:w="1267" w:type="dxa"/>
            <w:vAlign w:val="center"/>
          </w:tcPr>
          <w:p>
            <w:pPr>
              <w:rPr>
                <w:b/>
                <w:sz w:val="18"/>
                <w:szCs w:val="18"/>
              </w:rPr>
            </w:pPr>
            <w:r>
              <w:rPr>
                <w:rFonts w:hint="eastAsia"/>
                <w:b/>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tc>
        <w:tc>
          <w:tcPr>
            <w:tcW w:w="1451" w:type="dxa"/>
            <w:vAlign w:val="center"/>
          </w:tc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tc>
        <w:tc>
          <w:tcPr>
            <w:tcW w:w="1451" w:type="dxa"/>
            <w:vAlign w:val="center"/>
          </w:tc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pPr>
              <w:ind w:left="210" w:hanging="210" w:hangingChars="100"/>
            </w:pPr>
          </w:p>
        </w:tc>
        <w:tc>
          <w:tcPr>
            <w:tcW w:w="1451" w:type="dxa"/>
            <w:vAlign w:val="center"/>
          </w:tcPr>
          <w:p>
            <w:pPr>
              <w:ind w:left="210" w:hanging="210" w:hangingChars="100"/>
            </w:p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tc>
        <w:tc>
          <w:tcPr>
            <w:tcW w:w="1451" w:type="dxa"/>
            <w:vAlign w:val="center"/>
          </w:tc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tc>
        <w:tc>
          <w:tcPr>
            <w:tcW w:w="1451" w:type="dxa"/>
            <w:vAlign w:val="center"/>
          </w:tc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tc>
        <w:tc>
          <w:tcPr>
            <w:tcW w:w="1451" w:type="dxa"/>
            <w:vAlign w:val="center"/>
          </w:tc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pPr>
              <w:ind w:left="210" w:hanging="210" w:hangingChars="100"/>
            </w:pPr>
          </w:p>
        </w:tc>
        <w:tc>
          <w:tcPr>
            <w:tcW w:w="1451" w:type="dxa"/>
            <w:vAlign w:val="center"/>
          </w:tcPr>
          <w:p>
            <w:pPr>
              <w:ind w:left="210" w:hanging="210" w:hangingChars="100"/>
            </w:p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7" w:type="dxa"/>
            <w:vAlign w:val="center"/>
          </w:tcPr>
          <w:p/>
        </w:tc>
        <w:tc>
          <w:tcPr>
            <w:tcW w:w="2410" w:type="dxa"/>
            <w:vAlign w:val="center"/>
          </w:tcPr>
          <w:p/>
        </w:tc>
        <w:tc>
          <w:tcPr>
            <w:tcW w:w="2693" w:type="dxa"/>
            <w:vAlign w:val="center"/>
          </w:tcPr>
          <w:p/>
        </w:tc>
        <w:tc>
          <w:tcPr>
            <w:tcW w:w="1276" w:type="dxa"/>
            <w:vAlign w:val="center"/>
          </w:tcPr>
          <w:p/>
        </w:tc>
        <w:tc>
          <w:tcPr>
            <w:tcW w:w="1451" w:type="dxa"/>
            <w:vAlign w:val="center"/>
          </w:tcPr>
          <w:p/>
        </w:tc>
        <w:tc>
          <w:tcPr>
            <w:tcW w:w="1451" w:type="dxa"/>
            <w:vAlign w:val="center"/>
          </w:tcPr>
          <w:p/>
        </w:tc>
        <w:tc>
          <w:tcPr>
            <w:tcW w:w="850" w:type="dxa"/>
            <w:vAlign w:val="center"/>
          </w:tcPr>
          <w:p/>
        </w:tc>
        <w:tc>
          <w:tcPr>
            <w:tcW w:w="992" w:type="dxa"/>
            <w:vAlign w:val="center"/>
          </w:tcPr>
          <w:p/>
        </w:tc>
        <w:tc>
          <w:tcPr>
            <w:tcW w:w="1418" w:type="dxa"/>
            <w:vAlign w:val="center"/>
          </w:tcPr>
          <w:p/>
        </w:tc>
        <w:tc>
          <w:tcPr>
            <w:tcW w:w="1012" w:type="dxa"/>
          </w:tcPr>
          <w:p/>
        </w:tc>
        <w:tc>
          <w:tcPr>
            <w:tcW w:w="1267" w:type="dxa"/>
            <w:vAlign w:val="center"/>
          </w:tcPr>
          <w:p/>
        </w:tc>
      </w:tr>
    </w:tbl>
    <w:p>
      <w:pPr>
        <w:spacing w:line="520" w:lineRule="exact"/>
        <w:rPr>
          <w:szCs w:val="21"/>
        </w:rPr>
      </w:pPr>
    </w:p>
    <w:p>
      <w:pPr>
        <w:spacing w:line="520" w:lineRule="exact"/>
        <w:rPr>
          <w:szCs w:val="21"/>
        </w:rPr>
      </w:pPr>
      <w:r>
        <w:rPr>
          <w:rFonts w:hint="eastAsia"/>
          <w:szCs w:val="21"/>
        </w:rPr>
        <w:t xml:space="preserve">备注：如无货号则“/” </w:t>
      </w:r>
    </w:p>
    <w:sectPr>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288003"/>
    </w:sdtPr>
    <w:sdtContent>
      <w:sdt>
        <w:sdtPr>
          <w:id w:val="1728636285"/>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2D91"/>
    <w:rsid w:val="000534FF"/>
    <w:rsid w:val="0005585E"/>
    <w:rsid w:val="00055F0B"/>
    <w:rsid w:val="000565A1"/>
    <w:rsid w:val="00056BFB"/>
    <w:rsid w:val="00056DF4"/>
    <w:rsid w:val="000607E0"/>
    <w:rsid w:val="00060EE1"/>
    <w:rsid w:val="00061CA5"/>
    <w:rsid w:val="00061D71"/>
    <w:rsid w:val="00062499"/>
    <w:rsid w:val="00063A49"/>
    <w:rsid w:val="0006462A"/>
    <w:rsid w:val="000656C3"/>
    <w:rsid w:val="00065C48"/>
    <w:rsid w:val="0006609A"/>
    <w:rsid w:val="0006653E"/>
    <w:rsid w:val="000713E8"/>
    <w:rsid w:val="0007499E"/>
    <w:rsid w:val="00074B01"/>
    <w:rsid w:val="00075657"/>
    <w:rsid w:val="00076012"/>
    <w:rsid w:val="00076D1B"/>
    <w:rsid w:val="00080A7E"/>
    <w:rsid w:val="00080F91"/>
    <w:rsid w:val="00081E36"/>
    <w:rsid w:val="000834F7"/>
    <w:rsid w:val="00085FBE"/>
    <w:rsid w:val="0008613E"/>
    <w:rsid w:val="0008634C"/>
    <w:rsid w:val="000870AF"/>
    <w:rsid w:val="00090BA3"/>
    <w:rsid w:val="000926FA"/>
    <w:rsid w:val="000954B6"/>
    <w:rsid w:val="000A0BC0"/>
    <w:rsid w:val="000A0ED1"/>
    <w:rsid w:val="000A10E3"/>
    <w:rsid w:val="000A1AC7"/>
    <w:rsid w:val="000A1EFD"/>
    <w:rsid w:val="000B0B70"/>
    <w:rsid w:val="000B0F9C"/>
    <w:rsid w:val="000B1C48"/>
    <w:rsid w:val="000B376D"/>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18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16D3"/>
    <w:rsid w:val="002121F4"/>
    <w:rsid w:val="002137B4"/>
    <w:rsid w:val="00215232"/>
    <w:rsid w:val="002159DD"/>
    <w:rsid w:val="00216639"/>
    <w:rsid w:val="0022248C"/>
    <w:rsid w:val="00223DA7"/>
    <w:rsid w:val="00224EC8"/>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5ACD"/>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0C8A"/>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571A"/>
    <w:rsid w:val="00706D2C"/>
    <w:rsid w:val="00706E1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3BB"/>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40C"/>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24E7"/>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77B"/>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46F"/>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2A1C"/>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1CDD"/>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521B"/>
    <w:rsid w:val="00BB2BE2"/>
    <w:rsid w:val="00BB3E91"/>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5AB7"/>
    <w:rsid w:val="00CC6784"/>
    <w:rsid w:val="00CD1123"/>
    <w:rsid w:val="00CD2007"/>
    <w:rsid w:val="00CD2115"/>
    <w:rsid w:val="00CD2390"/>
    <w:rsid w:val="00CD4835"/>
    <w:rsid w:val="00CD57C8"/>
    <w:rsid w:val="00CD5D50"/>
    <w:rsid w:val="00CD63FD"/>
    <w:rsid w:val="00CD7E56"/>
    <w:rsid w:val="00CE021E"/>
    <w:rsid w:val="00CE0FEC"/>
    <w:rsid w:val="00CE198C"/>
    <w:rsid w:val="00CE22E2"/>
    <w:rsid w:val="00CE565F"/>
    <w:rsid w:val="00CE669C"/>
    <w:rsid w:val="00CE6D39"/>
    <w:rsid w:val="00CF15D2"/>
    <w:rsid w:val="00CF24E6"/>
    <w:rsid w:val="00CF5F90"/>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4A2"/>
    <w:rsid w:val="00D43ACC"/>
    <w:rsid w:val="00D43BFF"/>
    <w:rsid w:val="00D43F89"/>
    <w:rsid w:val="00D44B5C"/>
    <w:rsid w:val="00D45315"/>
    <w:rsid w:val="00D4539E"/>
    <w:rsid w:val="00D45F7F"/>
    <w:rsid w:val="00D4665A"/>
    <w:rsid w:val="00D50C84"/>
    <w:rsid w:val="00D510A7"/>
    <w:rsid w:val="00D513DE"/>
    <w:rsid w:val="00D51869"/>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23A4"/>
    <w:rsid w:val="00D93E07"/>
    <w:rsid w:val="00D95850"/>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B6E55"/>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5ACF"/>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E7D3E"/>
    <w:rsid w:val="00FF00D4"/>
    <w:rsid w:val="00FF0149"/>
    <w:rsid w:val="00FF07FA"/>
    <w:rsid w:val="00FF2DC5"/>
    <w:rsid w:val="00FF31DC"/>
    <w:rsid w:val="00FF5A0B"/>
    <w:rsid w:val="00FF78F4"/>
    <w:rsid w:val="00FF7AA4"/>
    <w:rsid w:val="00FF7D54"/>
    <w:rsid w:val="08F03A57"/>
    <w:rsid w:val="098A2D84"/>
    <w:rsid w:val="0ADA132B"/>
    <w:rsid w:val="10EB1FB3"/>
    <w:rsid w:val="17324E66"/>
    <w:rsid w:val="1DC32EB5"/>
    <w:rsid w:val="1E6A40E6"/>
    <w:rsid w:val="25B4635F"/>
    <w:rsid w:val="26CA426D"/>
    <w:rsid w:val="2A3B5B8B"/>
    <w:rsid w:val="2AA05E26"/>
    <w:rsid w:val="2F4F65F6"/>
    <w:rsid w:val="35906A43"/>
    <w:rsid w:val="43E10162"/>
    <w:rsid w:val="4A5611F5"/>
    <w:rsid w:val="4ACD0E7F"/>
    <w:rsid w:val="5085694D"/>
    <w:rsid w:val="53525BE6"/>
    <w:rsid w:val="596A6026"/>
    <w:rsid w:val="599364B0"/>
    <w:rsid w:val="5A6645C8"/>
    <w:rsid w:val="5C97357F"/>
    <w:rsid w:val="5DBF0DF0"/>
    <w:rsid w:val="60275541"/>
    <w:rsid w:val="655517DA"/>
    <w:rsid w:val="66096397"/>
    <w:rsid w:val="709938DD"/>
    <w:rsid w:val="73FD0AD3"/>
    <w:rsid w:val="75E13D4B"/>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14</Pages>
  <Words>2904</Words>
  <Characters>3050</Characters>
  <Lines>435</Lines>
  <Paragraphs>313</Paragraphs>
  <TotalTime>32</TotalTime>
  <ScaleCrop>false</ScaleCrop>
  <LinksUpToDate>false</LinksUpToDate>
  <CharactersWithSpaces>5641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2013-11-05T01:37:00Z</cp:lastPrinted>
  <dcterms:modified xsi:type="dcterms:W3CDTF">2025-10-31T00:49:25Z</dcterms:modified>
  <cp:revision>691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