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0"/>
        <w:widowControl w:val="0"/>
        <w:snapToGrid w:val="0"/>
        <w:spacing w:line="360" w:lineRule="auto"/>
        <w:ind w:firstLine="418" w:firstLineChars="52"/>
        <w:jc w:val="center"/>
        <w:rPr>
          <w:rFonts w:ascii="宋体" w:hAnsi="宋体"/>
          <w:color w:val="auto"/>
          <w:sz w:val="80"/>
          <w:szCs w:val="80"/>
        </w:rPr>
      </w:pPr>
    </w:p>
    <w:p w14:paraId="24B3ABE8">
      <w:pPr>
        <w:pStyle w:val="50"/>
        <w:widowControl w:val="0"/>
        <w:snapToGrid w:val="0"/>
        <w:spacing w:line="360" w:lineRule="auto"/>
        <w:ind w:firstLine="418" w:firstLineChars="52"/>
        <w:jc w:val="center"/>
        <w:rPr>
          <w:rFonts w:ascii="宋体" w:hAnsi="宋体"/>
          <w:color w:val="auto"/>
          <w:sz w:val="80"/>
          <w:szCs w:val="80"/>
        </w:rPr>
      </w:pPr>
    </w:p>
    <w:p w14:paraId="2EF008E7">
      <w:pPr>
        <w:pStyle w:val="50"/>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0"/>
        <w:widowControl w:val="0"/>
        <w:snapToGrid w:val="0"/>
        <w:spacing w:line="360" w:lineRule="auto"/>
        <w:ind w:firstLine="0"/>
        <w:jc w:val="center"/>
        <w:rPr>
          <w:bCs/>
          <w:color w:val="auto"/>
          <w:kern w:val="2"/>
          <w:sz w:val="32"/>
          <w:szCs w:val="32"/>
        </w:rPr>
      </w:pPr>
    </w:p>
    <w:p w14:paraId="0A0112AE">
      <w:pPr>
        <w:pStyle w:val="50"/>
        <w:widowControl w:val="0"/>
        <w:snapToGrid w:val="0"/>
        <w:spacing w:line="360" w:lineRule="auto"/>
        <w:ind w:firstLine="0"/>
        <w:jc w:val="center"/>
        <w:rPr>
          <w:bCs/>
          <w:color w:val="auto"/>
          <w:kern w:val="2"/>
          <w:sz w:val="32"/>
          <w:szCs w:val="32"/>
        </w:rPr>
      </w:pPr>
    </w:p>
    <w:p w14:paraId="3C66ED46">
      <w:pPr>
        <w:pStyle w:val="50"/>
        <w:widowControl w:val="0"/>
        <w:snapToGrid w:val="0"/>
        <w:spacing w:line="360" w:lineRule="auto"/>
        <w:ind w:firstLine="0"/>
        <w:jc w:val="center"/>
        <w:rPr>
          <w:bCs/>
          <w:color w:val="auto"/>
          <w:kern w:val="2"/>
          <w:sz w:val="32"/>
          <w:szCs w:val="32"/>
        </w:rPr>
      </w:pPr>
    </w:p>
    <w:p w14:paraId="6ED69C86">
      <w:pPr>
        <w:pStyle w:val="50"/>
        <w:widowControl w:val="0"/>
        <w:snapToGrid w:val="0"/>
        <w:spacing w:line="360" w:lineRule="auto"/>
        <w:ind w:firstLine="0"/>
        <w:jc w:val="center"/>
        <w:rPr>
          <w:bCs/>
          <w:color w:val="auto"/>
          <w:kern w:val="2"/>
          <w:sz w:val="32"/>
          <w:szCs w:val="32"/>
        </w:rPr>
      </w:pPr>
    </w:p>
    <w:p w14:paraId="56F992AA">
      <w:pPr>
        <w:pStyle w:val="50"/>
        <w:widowControl w:val="0"/>
        <w:snapToGrid w:val="0"/>
        <w:spacing w:line="360" w:lineRule="auto"/>
        <w:ind w:firstLine="0"/>
        <w:jc w:val="center"/>
        <w:rPr>
          <w:bCs/>
          <w:color w:val="auto"/>
          <w:kern w:val="2"/>
          <w:sz w:val="32"/>
          <w:szCs w:val="32"/>
        </w:rPr>
      </w:pPr>
    </w:p>
    <w:p w14:paraId="52805716">
      <w:pPr>
        <w:pStyle w:val="50"/>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项目名称：业财一体化系统集成开发建设</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1125-1</w:t>
      </w:r>
    </w:p>
    <w:p w14:paraId="1412DA38">
      <w:pPr>
        <w:pStyle w:val="50"/>
        <w:widowControl w:val="0"/>
        <w:snapToGrid w:val="0"/>
        <w:spacing w:line="360" w:lineRule="auto"/>
        <w:ind w:firstLine="0"/>
        <w:jc w:val="center"/>
        <w:rPr>
          <w:rFonts w:ascii="宋体" w:hAnsi="宋体"/>
          <w:color w:val="auto"/>
        </w:rPr>
      </w:pPr>
    </w:p>
    <w:p w14:paraId="441F63E6">
      <w:pPr>
        <w:pStyle w:val="50"/>
        <w:spacing w:line="360" w:lineRule="auto"/>
        <w:ind w:firstLine="0"/>
        <w:jc w:val="center"/>
        <w:rPr>
          <w:rFonts w:ascii="宋体" w:hAnsi="宋体"/>
          <w:color w:val="auto"/>
          <w:sz w:val="32"/>
          <w:szCs w:val="32"/>
        </w:rPr>
      </w:pPr>
    </w:p>
    <w:p w14:paraId="6FA27D39">
      <w:pPr>
        <w:pStyle w:val="50"/>
        <w:spacing w:line="360" w:lineRule="auto"/>
        <w:ind w:firstLine="0"/>
        <w:jc w:val="center"/>
        <w:rPr>
          <w:rFonts w:ascii="宋体" w:hAnsi="宋体"/>
          <w:color w:val="auto"/>
          <w:sz w:val="32"/>
          <w:szCs w:val="32"/>
        </w:rPr>
      </w:pPr>
    </w:p>
    <w:p w14:paraId="4116234B">
      <w:pPr>
        <w:pStyle w:val="50"/>
        <w:spacing w:line="360" w:lineRule="auto"/>
        <w:ind w:firstLine="0"/>
        <w:jc w:val="center"/>
        <w:rPr>
          <w:rFonts w:ascii="宋体" w:hAnsi="宋体"/>
          <w:color w:val="auto"/>
          <w:sz w:val="32"/>
          <w:szCs w:val="32"/>
        </w:rPr>
      </w:pPr>
    </w:p>
    <w:p w14:paraId="18D4F23F">
      <w:pPr>
        <w:pStyle w:val="50"/>
        <w:spacing w:line="360" w:lineRule="auto"/>
        <w:ind w:firstLine="0"/>
        <w:jc w:val="center"/>
        <w:rPr>
          <w:rFonts w:ascii="宋体" w:hAnsi="宋体"/>
          <w:color w:val="auto"/>
          <w:sz w:val="32"/>
          <w:szCs w:val="32"/>
        </w:rPr>
      </w:pPr>
    </w:p>
    <w:p w14:paraId="70867142">
      <w:pPr>
        <w:pStyle w:val="50"/>
        <w:spacing w:line="360" w:lineRule="auto"/>
        <w:ind w:firstLine="0"/>
        <w:jc w:val="center"/>
        <w:rPr>
          <w:rFonts w:ascii="宋体" w:hAnsi="宋体"/>
          <w:color w:val="auto"/>
          <w:sz w:val="32"/>
          <w:szCs w:val="32"/>
        </w:rPr>
      </w:pPr>
    </w:p>
    <w:p w14:paraId="2136BCF0">
      <w:pPr>
        <w:pStyle w:val="50"/>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0"/>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1"/>
          </w:pPr>
        </w:p>
        <w:p w14:paraId="671F0060">
          <w:pPr>
            <w:pStyle w:val="12"/>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2"/>
              <w:rFonts w:hint="eastAsia" w:asciiTheme="minorEastAsia" w:hAnsiTheme="minorEastAsia" w:eastAsiaTheme="minorEastAsia"/>
              <w:b/>
              <w:sz w:val="30"/>
              <w:szCs w:val="30"/>
            </w:rPr>
            <w:t>第一章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2"/>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2"/>
              <w:rFonts w:hint="eastAsia" w:asciiTheme="minorEastAsia" w:hAnsiTheme="minorEastAsia" w:eastAsiaTheme="minorEastAsia"/>
              <w:b/>
              <w:sz w:val="30"/>
              <w:szCs w:val="30"/>
            </w:rPr>
            <w:t>第二章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2"/>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2"/>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5"/>
        <w:sectPr>
          <w:footerReference r:id="rId3" w:type="default"/>
          <w:pgSz w:w="11906" w:h="16838"/>
          <w:pgMar w:top="1440" w:right="1800" w:bottom="1440" w:left="1800" w:header="851" w:footer="992" w:gutter="0"/>
          <w:cols w:space="425" w:num="1"/>
          <w:docGrid w:type="lines" w:linePitch="312" w:charSpace="0"/>
        </w:sectPr>
      </w:pPr>
    </w:p>
    <w:p w14:paraId="5F3F6B66">
      <w:pPr>
        <w:pStyle w:val="15"/>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1125-1</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业财一体化系统集成开发建设，预算金额</w:t>
      </w:r>
      <w:r>
        <w:rPr>
          <w:rFonts w:hint="eastAsia"/>
          <w:color w:val="0000FF"/>
          <w:sz w:val="24"/>
          <w:lang w:val="en-US" w:eastAsia="zh-CN"/>
        </w:rPr>
        <w:t>9</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12</w:t>
      </w:r>
      <w:r>
        <w:rPr>
          <w:rFonts w:hint="eastAsia"/>
          <w:b/>
          <w:color w:val="0000FF"/>
          <w:sz w:val="24"/>
        </w:rPr>
        <w:t>日</w:t>
      </w:r>
      <w:r>
        <w:rPr>
          <w:rFonts w:hint="eastAsia"/>
          <w:b/>
          <w:color w:val="0000FF"/>
          <w:sz w:val="24"/>
          <w:lang w:val="en-US" w:eastAsia="zh-CN"/>
        </w:rPr>
        <w:t>下</w:t>
      </w:r>
      <w:r>
        <w:rPr>
          <w:rFonts w:hint="eastAsia"/>
          <w:b/>
          <w:color w:val="0000FF"/>
          <w:sz w:val="24"/>
        </w:rPr>
        <w:t>午</w:t>
      </w:r>
      <w:r>
        <w:rPr>
          <w:rFonts w:hint="eastAsia"/>
          <w:b/>
          <w:color w:val="0000FF"/>
          <w:sz w:val="24"/>
          <w:lang w:val="en-US" w:eastAsia="zh-CN"/>
        </w:rPr>
        <w:t>2</w:t>
      </w:r>
      <w:r>
        <w:rPr>
          <w:rFonts w:hint="eastAsia"/>
          <w:b/>
          <w:color w:val="0000FF"/>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12</w:t>
      </w:r>
      <w:r>
        <w:rPr>
          <w:rFonts w:hint="eastAsia"/>
          <w:b/>
          <w:sz w:val="24"/>
        </w:rPr>
        <w:t>月</w:t>
      </w:r>
      <w:r>
        <w:rPr>
          <w:rFonts w:hint="eastAsia"/>
          <w:b/>
          <w:sz w:val="24"/>
          <w:lang w:val="en-US" w:eastAsia="zh-CN"/>
        </w:rPr>
        <w:t>02</w:t>
      </w:r>
      <w:r>
        <w:rPr>
          <w:rFonts w:hint="eastAsia"/>
          <w:b/>
          <w:sz w:val="24"/>
        </w:rPr>
        <w:t>日17:00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bookmarkStart w:id="14" w:name="_GoBack"/>
      <w:bookmarkEnd w:id="14"/>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2"/>
          <w:rFonts w:hint="eastAsia"/>
          <w:color w:val="auto"/>
          <w:sz w:val="24"/>
          <w:lang w:val="en-US" w:eastAsia="zh-CN"/>
        </w:rPr>
        <w:t>5518003</w:t>
      </w:r>
      <w:r>
        <w:rPr>
          <w:rStyle w:val="22"/>
          <w:color w:val="auto"/>
          <w:sz w:val="24"/>
        </w:rPr>
        <w:t>@zju.edu.cn</w:t>
      </w:r>
      <w:r>
        <w:rPr>
          <w:rStyle w:val="22"/>
          <w:color w:val="auto"/>
          <w:sz w:val="24"/>
        </w:rPr>
        <w:fldChar w:fldCharType="end"/>
      </w:r>
      <w:r>
        <w:rPr>
          <w:rFonts w:hint="eastAsia"/>
          <w:sz w:val="24"/>
        </w:rPr>
        <w:t>。</w:t>
      </w:r>
    </w:p>
    <w:p w14:paraId="6A88EC46">
      <w:pPr>
        <w:pStyle w:val="15"/>
      </w:pPr>
      <w:r>
        <w:rPr>
          <w:rFonts w:hint="eastAsia"/>
        </w:rPr>
        <w:t xml:space="preserve">第二章 </w:t>
      </w:r>
      <w:r>
        <w:t>采购内容</w:t>
      </w:r>
      <w:r>
        <w:rPr>
          <w:rFonts w:hint="eastAsia"/>
        </w:rPr>
        <w:t>及</w:t>
      </w:r>
      <w:r>
        <w:t>需求</w:t>
      </w:r>
      <w:bookmarkEnd w:id="1"/>
    </w:p>
    <w:p w14:paraId="4350C9D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65D7A67E">
      <w:pPr>
        <w:spacing w:line="360" w:lineRule="auto"/>
        <w:ind w:firstLine="420"/>
      </w:pPr>
      <w:r>
        <w:rPr>
          <w:rFonts w:hint="eastAsia"/>
        </w:rPr>
        <w:t>当前医院业财一体化系统使用过程中涉及部分业务与医院在用的其他相关系统存在数据壁垒，导致业财数据与其他系统信息同步不及时，加大了工作人员信息获取难度；因此本次项目需结合当前业务系统使用情况降低相关业务的数据壁垒</w:t>
      </w:r>
      <w:r>
        <w:rPr>
          <w:rFonts w:hint="eastAsia"/>
          <w:lang w:eastAsia="zh-CN"/>
        </w:rPr>
        <w:t>，</w:t>
      </w:r>
      <w:r>
        <w:rPr>
          <w:rFonts w:hint="eastAsia"/>
          <w:color w:val="FF0000"/>
          <w:lang w:val="en-US" w:eastAsia="zh-CN"/>
        </w:rPr>
        <w:t>同时为了保障系统的稳定运行，本项目拟采购相关维保服务</w:t>
      </w:r>
      <w:r>
        <w:rPr>
          <w:rFonts w:hint="eastAsia"/>
        </w:rPr>
        <w:t>。</w:t>
      </w:r>
    </w:p>
    <w:p w14:paraId="56351301">
      <w:pPr>
        <w:pStyle w:val="2"/>
        <w:numPr>
          <w:ilvl w:val="0"/>
          <w:numId w:val="1"/>
        </w:numPr>
        <w:tabs>
          <w:tab w:val="left" w:pos="720"/>
          <w:tab w:val="left" w:pos="1980"/>
        </w:tabs>
        <w:spacing w:line="360" w:lineRule="auto"/>
        <w:rPr>
          <w:rFonts w:hint="eastAsia" w:hAnsi="宋体" w:cs="宋体"/>
          <w:sz w:val="21"/>
          <w:szCs w:val="21"/>
        </w:rPr>
      </w:pPr>
      <w:r>
        <w:rPr>
          <w:rFonts w:hint="eastAsia" w:hAnsi="宋体" w:cs="宋体"/>
          <w:sz w:val="21"/>
          <w:szCs w:val="21"/>
        </w:rPr>
        <w:t>项目内容</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212"/>
        <w:gridCol w:w="5200"/>
      </w:tblGrid>
      <w:tr w14:paraId="3DBE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pct"/>
            <w:vAlign w:val="center"/>
          </w:tcPr>
          <w:p w14:paraId="7FB55969">
            <w:pPr>
              <w:spacing w:line="360" w:lineRule="auto"/>
              <w:jc w:val="center"/>
              <w:rPr>
                <w:rFonts w:hint="eastAsia" w:ascii="宋体" w:hAnsi="宋体" w:cs="宋体"/>
                <w:b/>
                <w:bCs/>
                <w:szCs w:val="21"/>
              </w:rPr>
            </w:pPr>
            <w:r>
              <w:rPr>
                <w:rFonts w:hint="eastAsia" w:ascii="宋体" w:hAnsi="宋体" w:cs="宋体"/>
                <w:b/>
                <w:bCs/>
                <w:szCs w:val="21"/>
              </w:rPr>
              <w:t>序号</w:t>
            </w:r>
          </w:p>
        </w:tc>
        <w:tc>
          <w:tcPr>
            <w:tcW w:w="1298" w:type="pct"/>
            <w:vAlign w:val="center"/>
          </w:tcPr>
          <w:p w14:paraId="7E20D727">
            <w:pPr>
              <w:spacing w:line="360" w:lineRule="auto"/>
              <w:jc w:val="center"/>
              <w:rPr>
                <w:rFonts w:hint="eastAsia" w:ascii="宋体" w:hAnsi="宋体" w:cs="宋体"/>
                <w:b/>
                <w:bCs/>
                <w:szCs w:val="21"/>
              </w:rPr>
            </w:pPr>
            <w:r>
              <w:rPr>
                <w:rFonts w:hint="eastAsia" w:ascii="宋体" w:hAnsi="宋体" w:cs="宋体"/>
                <w:b/>
                <w:bCs/>
                <w:szCs w:val="21"/>
              </w:rPr>
              <w:t>内容</w:t>
            </w:r>
          </w:p>
        </w:tc>
        <w:tc>
          <w:tcPr>
            <w:tcW w:w="3051" w:type="pct"/>
            <w:vAlign w:val="center"/>
          </w:tcPr>
          <w:p w14:paraId="755B0511">
            <w:pPr>
              <w:spacing w:line="360" w:lineRule="auto"/>
              <w:jc w:val="center"/>
              <w:rPr>
                <w:rFonts w:hint="eastAsia" w:ascii="宋体" w:hAnsi="宋体" w:cs="宋体"/>
                <w:b/>
                <w:bCs/>
                <w:szCs w:val="21"/>
              </w:rPr>
            </w:pPr>
            <w:r>
              <w:rPr>
                <w:rFonts w:hint="eastAsia" w:ascii="宋体" w:hAnsi="宋体" w:cs="宋体"/>
                <w:b/>
                <w:bCs/>
                <w:szCs w:val="21"/>
              </w:rPr>
              <w:t>说明</w:t>
            </w:r>
          </w:p>
        </w:tc>
      </w:tr>
      <w:tr w14:paraId="54C1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430D1DEA">
            <w:pPr>
              <w:spacing w:line="360" w:lineRule="auto"/>
              <w:jc w:val="center"/>
              <w:rPr>
                <w:rFonts w:hint="eastAsia" w:ascii="宋体" w:hAnsi="宋体" w:cs="宋体"/>
                <w:szCs w:val="21"/>
              </w:rPr>
            </w:pPr>
            <w:r>
              <w:rPr>
                <w:rFonts w:hint="eastAsia" w:ascii="宋体" w:hAnsi="宋体" w:cs="宋体"/>
                <w:kern w:val="0"/>
                <w:szCs w:val="21"/>
              </w:rPr>
              <w:t>1</w:t>
            </w:r>
          </w:p>
        </w:tc>
        <w:tc>
          <w:tcPr>
            <w:tcW w:w="1298" w:type="pct"/>
            <w:vAlign w:val="center"/>
          </w:tcPr>
          <w:p w14:paraId="3A1BAA77">
            <w:pPr>
              <w:widowControl/>
              <w:spacing w:line="360" w:lineRule="auto"/>
              <w:rPr>
                <w:rFonts w:hint="eastAsia" w:ascii="宋体" w:hAnsi="宋体" w:cs="宋体"/>
                <w:szCs w:val="21"/>
              </w:rPr>
            </w:pPr>
            <w:r>
              <w:rPr>
                <w:rFonts w:hint="eastAsia"/>
                <w:color w:val="000000"/>
              </w:rPr>
              <w:t>与医院信创OA系统集成</w:t>
            </w:r>
          </w:p>
        </w:tc>
        <w:tc>
          <w:tcPr>
            <w:tcW w:w="3051" w:type="pct"/>
            <w:vAlign w:val="center"/>
          </w:tcPr>
          <w:p w14:paraId="7FA386CF">
            <w:pPr>
              <w:spacing w:line="360" w:lineRule="auto"/>
              <w:rPr>
                <w:color w:val="000000"/>
              </w:rPr>
            </w:pPr>
            <w:r>
              <w:rPr>
                <w:rFonts w:hint="eastAsia"/>
                <w:color w:val="000000"/>
              </w:rPr>
              <w:t>与信创OA系统集成，实现单点登录与消息待办推送；</w:t>
            </w:r>
          </w:p>
        </w:tc>
      </w:tr>
      <w:tr w14:paraId="7CA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02C9B5AA">
            <w:pPr>
              <w:spacing w:line="360" w:lineRule="auto"/>
              <w:jc w:val="center"/>
              <w:rPr>
                <w:rFonts w:hint="eastAsia" w:ascii="宋体" w:hAnsi="宋体" w:cs="宋体"/>
                <w:kern w:val="0"/>
                <w:szCs w:val="21"/>
              </w:rPr>
            </w:pPr>
            <w:r>
              <w:rPr>
                <w:rFonts w:hint="eastAsia" w:ascii="宋体" w:hAnsi="宋体" w:cs="宋体"/>
                <w:kern w:val="0"/>
                <w:szCs w:val="21"/>
              </w:rPr>
              <w:t>2</w:t>
            </w:r>
          </w:p>
        </w:tc>
        <w:tc>
          <w:tcPr>
            <w:tcW w:w="1298" w:type="pct"/>
            <w:vAlign w:val="center"/>
          </w:tcPr>
          <w:p w14:paraId="3DBF92F5">
            <w:pPr>
              <w:widowControl/>
              <w:spacing w:line="360" w:lineRule="auto"/>
              <w:rPr>
                <w:rFonts w:hint="eastAsia" w:ascii="宋体" w:hAnsi="宋体" w:cs="宋体"/>
                <w:szCs w:val="21"/>
              </w:rPr>
            </w:pPr>
            <w:r>
              <w:rPr>
                <w:rFonts w:hint="eastAsia"/>
                <w:color w:val="000000"/>
              </w:rPr>
              <w:t>与医院科研系统集成</w:t>
            </w:r>
          </w:p>
        </w:tc>
        <w:tc>
          <w:tcPr>
            <w:tcW w:w="3051" w:type="pct"/>
            <w:vAlign w:val="center"/>
          </w:tcPr>
          <w:p w14:paraId="63BEBFBF">
            <w:pPr>
              <w:spacing w:line="360" w:lineRule="auto"/>
              <w:rPr>
                <w:color w:val="000000"/>
              </w:rPr>
            </w:pPr>
            <w:r>
              <w:rPr>
                <w:rFonts w:hint="eastAsia"/>
                <w:color w:val="000000"/>
              </w:rPr>
              <w:t>与医院科研系统集成，实现业财系统的预算信息与科研系统科研预算费用相关数据同步；</w:t>
            </w:r>
          </w:p>
        </w:tc>
      </w:tr>
      <w:tr w14:paraId="4091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6032F0CD">
            <w:pPr>
              <w:spacing w:line="360" w:lineRule="auto"/>
              <w:jc w:val="center"/>
              <w:rPr>
                <w:rFonts w:hint="eastAsia" w:ascii="宋体" w:hAnsi="宋体" w:cs="宋体"/>
                <w:kern w:val="0"/>
                <w:szCs w:val="21"/>
              </w:rPr>
            </w:pPr>
            <w:r>
              <w:rPr>
                <w:rFonts w:hint="eastAsia" w:ascii="宋体" w:hAnsi="宋体" w:cs="宋体"/>
                <w:kern w:val="0"/>
                <w:szCs w:val="21"/>
              </w:rPr>
              <w:t>3</w:t>
            </w:r>
          </w:p>
        </w:tc>
        <w:tc>
          <w:tcPr>
            <w:tcW w:w="1298" w:type="pct"/>
            <w:vAlign w:val="center"/>
          </w:tcPr>
          <w:p w14:paraId="1D4CE42F">
            <w:pPr>
              <w:widowControl/>
              <w:spacing w:line="360" w:lineRule="auto"/>
              <w:rPr>
                <w:color w:val="000000"/>
              </w:rPr>
            </w:pPr>
            <w:r>
              <w:rPr>
                <w:rFonts w:hint="eastAsia"/>
                <w:color w:val="000000"/>
              </w:rPr>
              <w:t>与医院SPD系统集成</w:t>
            </w:r>
          </w:p>
        </w:tc>
        <w:tc>
          <w:tcPr>
            <w:tcW w:w="3051" w:type="pct"/>
            <w:vAlign w:val="center"/>
          </w:tcPr>
          <w:p w14:paraId="29DA8E48">
            <w:pPr>
              <w:spacing w:line="360" w:lineRule="auto"/>
              <w:rPr>
                <w:color w:val="000000"/>
              </w:rPr>
            </w:pPr>
            <w:r>
              <w:rPr>
                <w:rFonts w:hint="eastAsia"/>
                <w:color w:val="000000"/>
              </w:rPr>
              <w:t>与SPD系统集成，实现业财系统合同相关数据同步至SPD系统；</w:t>
            </w:r>
          </w:p>
        </w:tc>
      </w:tr>
      <w:tr w14:paraId="011B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2CE42648">
            <w:pPr>
              <w:spacing w:line="360" w:lineRule="auto"/>
              <w:jc w:val="center"/>
              <w:rPr>
                <w:rFonts w:hint="eastAsia" w:ascii="宋体" w:hAnsi="宋体" w:cs="宋体"/>
                <w:kern w:val="0"/>
                <w:szCs w:val="21"/>
              </w:rPr>
            </w:pPr>
            <w:r>
              <w:rPr>
                <w:rFonts w:hint="eastAsia" w:ascii="宋体" w:hAnsi="宋体" w:cs="宋体"/>
                <w:kern w:val="0"/>
                <w:szCs w:val="21"/>
              </w:rPr>
              <w:t>4</w:t>
            </w:r>
          </w:p>
        </w:tc>
        <w:tc>
          <w:tcPr>
            <w:tcW w:w="1298" w:type="pct"/>
            <w:vAlign w:val="center"/>
          </w:tcPr>
          <w:p w14:paraId="479D6B54">
            <w:pPr>
              <w:widowControl/>
              <w:spacing w:line="360" w:lineRule="auto"/>
              <w:rPr>
                <w:color w:val="000000"/>
              </w:rPr>
            </w:pPr>
            <w:r>
              <w:rPr>
                <w:rFonts w:hint="eastAsia"/>
                <w:color w:val="000000"/>
              </w:rPr>
              <w:t>与医院审计系统集成</w:t>
            </w:r>
          </w:p>
        </w:tc>
        <w:tc>
          <w:tcPr>
            <w:tcW w:w="3051" w:type="pct"/>
            <w:vAlign w:val="center"/>
          </w:tcPr>
          <w:p w14:paraId="7D2B4C51">
            <w:pPr>
              <w:spacing w:line="360" w:lineRule="auto"/>
              <w:rPr>
                <w:rFonts w:hint="eastAsia" w:eastAsia="宋体"/>
                <w:color w:val="000000"/>
                <w:lang w:eastAsia="zh-CN"/>
              </w:rPr>
            </w:pPr>
            <w:r>
              <w:rPr>
                <w:rFonts w:hint="eastAsia"/>
                <w:color w:val="000000"/>
              </w:rPr>
              <w:t>与审计系统集成，实现业财系统中的合同相关数据同步至审计系统</w:t>
            </w:r>
            <w:r>
              <w:rPr>
                <w:rFonts w:hint="eastAsia"/>
                <w:color w:val="000000"/>
                <w:lang w:eastAsia="zh-CN"/>
              </w:rPr>
              <w:t>；</w:t>
            </w:r>
          </w:p>
        </w:tc>
      </w:tr>
      <w:tr w14:paraId="675E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74C89DE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298" w:type="pct"/>
            <w:vAlign w:val="center"/>
          </w:tcPr>
          <w:p w14:paraId="55336122">
            <w:pPr>
              <w:widowControl/>
              <w:spacing w:line="360" w:lineRule="auto"/>
              <w:rPr>
                <w:rFonts w:hint="default" w:eastAsia="宋体"/>
                <w:color w:val="000000"/>
                <w:lang w:val="en-US" w:eastAsia="zh-CN"/>
              </w:rPr>
            </w:pPr>
            <w:r>
              <w:rPr>
                <w:rFonts w:hint="eastAsia"/>
                <w:color w:val="000000"/>
                <w:lang w:val="en-US" w:eastAsia="zh-CN"/>
              </w:rPr>
              <w:t>业财一体化系统维保服务</w:t>
            </w:r>
          </w:p>
        </w:tc>
        <w:tc>
          <w:tcPr>
            <w:tcW w:w="3051" w:type="pct"/>
            <w:vAlign w:val="center"/>
          </w:tcPr>
          <w:p w14:paraId="23A17219">
            <w:pPr>
              <w:spacing w:line="360" w:lineRule="auto"/>
              <w:rPr>
                <w:rFonts w:hint="default" w:eastAsia="宋体"/>
                <w:color w:val="000000"/>
                <w:lang w:val="en-US" w:eastAsia="zh-CN"/>
              </w:rPr>
            </w:pPr>
            <w:r>
              <w:rPr>
                <w:rFonts w:hint="eastAsia" w:ascii="宋体" w:hAnsi="宋体" w:cs="宋体"/>
                <w:bCs/>
                <w:color w:val="000000" w:themeColor="text1"/>
                <w:szCs w:val="21"/>
                <w14:textFill>
                  <w14:solidFill>
                    <w14:schemeClr w14:val="tx1"/>
                  </w14:solidFill>
                </w14:textFill>
              </w:rPr>
              <w:t>对</w:t>
            </w:r>
            <w:r>
              <w:rPr>
                <w:rFonts w:hint="eastAsia" w:ascii="宋体" w:hAnsi="宋体" w:cs="宋体"/>
                <w:bCs/>
                <w:color w:val="000000" w:themeColor="text1"/>
                <w:szCs w:val="21"/>
                <w:lang w:val="en-US" w:eastAsia="zh-CN"/>
                <w14:textFill>
                  <w14:solidFill>
                    <w14:schemeClr w14:val="tx1"/>
                  </w14:solidFill>
                </w14:textFill>
              </w:rPr>
              <w:t>业财一体化系统</w:t>
            </w:r>
            <w:r>
              <w:rPr>
                <w:rFonts w:hint="eastAsia" w:ascii="宋体" w:hAnsi="宋体" w:cs="宋体"/>
                <w:bCs/>
                <w:color w:val="000000" w:themeColor="text1"/>
                <w:szCs w:val="21"/>
                <w14:textFill>
                  <w14:solidFill>
                    <w14:schemeClr w14:val="tx1"/>
                  </w14:solidFill>
                </w14:textFill>
              </w:rPr>
              <w:t>进行维保，保证该系统的正常运行使用，针对一些独特的、不可预知的、医院自身不能处理的突发事故及因本软件自身功能缺陷不能正常运行，提供技术支持，服务有效期为1年。</w:t>
            </w:r>
          </w:p>
        </w:tc>
      </w:tr>
    </w:tbl>
    <w:p w14:paraId="30B7A156">
      <w:pPr>
        <w:pStyle w:val="2"/>
        <w:numPr>
          <w:ilvl w:val="0"/>
          <w:numId w:val="1"/>
        </w:numPr>
        <w:tabs>
          <w:tab w:val="left" w:pos="720"/>
          <w:tab w:val="left" w:pos="1980"/>
        </w:tabs>
        <w:spacing w:line="360" w:lineRule="auto"/>
        <w:rPr>
          <w:rFonts w:hint="eastAsia" w:hAnsi="宋体" w:cs="宋体"/>
          <w:sz w:val="21"/>
          <w:szCs w:val="21"/>
        </w:rPr>
      </w:pPr>
      <w:r>
        <w:rPr>
          <w:rFonts w:hint="eastAsia" w:hAnsi="宋体" w:cs="宋体"/>
          <w:sz w:val="21"/>
          <w:szCs w:val="21"/>
        </w:rPr>
        <w:t>技术要求</w:t>
      </w:r>
    </w:p>
    <w:p w14:paraId="45E5D59B">
      <w:pPr>
        <w:pStyle w:val="28"/>
        <w:numPr>
          <w:ilvl w:val="0"/>
          <w:numId w:val="2"/>
        </w:numPr>
        <w:spacing w:line="360" w:lineRule="auto"/>
        <w:ind w:firstLineChars="0"/>
        <w:outlineLvl w:val="1"/>
        <w:rPr>
          <w:rFonts w:ascii="宋体" w:hAnsi="宋体" w:cs="宋体"/>
          <w:b/>
          <w:szCs w:val="21"/>
        </w:rPr>
      </w:pPr>
      <w:r>
        <w:rPr>
          <w:rFonts w:hint="eastAsia" w:ascii="宋体" w:hAnsi="宋体" w:cs="宋体"/>
          <w:b/>
          <w:szCs w:val="21"/>
        </w:rPr>
        <w:t>总体要求</w:t>
      </w:r>
    </w:p>
    <w:p w14:paraId="7AD6FC38">
      <w:pPr>
        <w:spacing w:line="360" w:lineRule="auto"/>
        <w:ind w:firstLine="420"/>
        <w:rPr>
          <w:rFonts w:hint="eastAsia"/>
        </w:rPr>
      </w:pPr>
      <w:r>
        <w:rPr>
          <w:rFonts w:hint="eastAsia"/>
        </w:rPr>
        <w:t>本次项目建设旨在为解决医院当前业财系统与医院其他系统互联互通问题，通过集成开发降低业务数据壁垒。系统要具有行业前瞻性、管理创新，符合医院未来长期的发展战略，满足医院发展与管理的要求。</w:t>
      </w:r>
    </w:p>
    <w:p w14:paraId="2496EEE6">
      <w:pPr>
        <w:spacing w:line="360" w:lineRule="auto"/>
        <w:ind w:firstLine="420"/>
        <w:rPr>
          <w:rFonts w:hint="eastAsia"/>
        </w:rPr>
      </w:pPr>
      <w:r>
        <w:rPr>
          <w:rFonts w:hint="eastAsia"/>
        </w:rPr>
        <w:t>1、技术先进性及可行性要求</w:t>
      </w:r>
    </w:p>
    <w:p w14:paraId="4D57BF73">
      <w:pPr>
        <w:spacing w:line="360" w:lineRule="auto"/>
        <w:ind w:firstLine="420"/>
        <w:rPr>
          <w:rFonts w:hint="eastAsia"/>
        </w:rPr>
      </w:pPr>
      <w:r>
        <w:rPr>
          <w:rFonts w:hint="eastAsia"/>
        </w:rPr>
        <w:t>本次开发应用技术应遵循J2EE技术规范，支持Web和XML，支持工作流管理、业务流程重组、异构系统集成、多数据库系统及提供可视化建模工具的统一架构平台。支持主流的成熟产品，以保证系统安全、可靠地运行。支持统一的业务模型和多种终端开发技术。</w:t>
      </w:r>
    </w:p>
    <w:p w14:paraId="3A588D13">
      <w:pPr>
        <w:spacing w:line="360" w:lineRule="auto"/>
        <w:ind w:firstLine="420"/>
        <w:rPr>
          <w:rFonts w:hint="eastAsia"/>
        </w:rPr>
      </w:pPr>
      <w:r>
        <w:rPr>
          <w:rFonts w:hint="eastAsia"/>
        </w:rPr>
        <w:t>2、系统开放性要求</w:t>
      </w:r>
    </w:p>
    <w:p w14:paraId="7228D3C3">
      <w:pPr>
        <w:spacing w:line="360" w:lineRule="auto"/>
        <w:ind w:firstLine="420"/>
        <w:rPr>
          <w:rFonts w:hint="eastAsia"/>
        </w:rPr>
      </w:pPr>
      <w:r>
        <w:rPr>
          <w:rFonts w:hint="eastAsia"/>
        </w:rPr>
        <w:t>系统要采用标准、成熟、稳定的平台、技术和结构，可以进行软件功能模块扩展、系统集成、二次开发等应用。有定义规范的数据接口，数据交换方式能支持中间件、数据库及接口等三个层次的实时或定时交互，以实现系统易于与其它系统互连互通以及交互操作。</w:t>
      </w:r>
    </w:p>
    <w:p w14:paraId="2350D315">
      <w:pPr>
        <w:spacing w:line="360" w:lineRule="auto"/>
        <w:ind w:firstLine="420"/>
        <w:rPr>
          <w:rFonts w:hint="eastAsia"/>
        </w:rPr>
      </w:pPr>
      <w:r>
        <w:rPr>
          <w:rFonts w:hint="eastAsia"/>
        </w:rPr>
        <w:t>3、系统运行的稳定、可靠性要求</w:t>
      </w:r>
    </w:p>
    <w:p w14:paraId="6EBE8E30">
      <w:pPr>
        <w:spacing w:line="360" w:lineRule="auto"/>
        <w:ind w:firstLine="420"/>
        <w:rPr>
          <w:rFonts w:hint="eastAsia"/>
        </w:rPr>
      </w:pPr>
      <w:r>
        <w:rPr>
          <w:rFonts w:hint="eastAsia"/>
        </w:rPr>
        <w:t>此次系统建设作为医院数字化业财管理的关键内容之一，系统的稳定性和可靠性将关系到整个医院业财经营管理日常工作，因此系统必须支持在高并发大数据量情况下的运行效率和稳定性。</w:t>
      </w:r>
    </w:p>
    <w:p w14:paraId="1F61C52B">
      <w:pPr>
        <w:spacing w:line="360" w:lineRule="auto"/>
        <w:ind w:firstLine="420"/>
        <w:rPr>
          <w:rFonts w:hint="eastAsia"/>
        </w:rPr>
      </w:pPr>
      <w:r>
        <w:rPr>
          <w:rFonts w:hint="eastAsia"/>
        </w:rPr>
        <w:t>4、系统易用性与灵活性要求</w:t>
      </w:r>
    </w:p>
    <w:p w14:paraId="04D5D4AC">
      <w:pPr>
        <w:spacing w:line="360" w:lineRule="auto"/>
        <w:ind w:firstLine="420"/>
        <w:rPr>
          <w:rFonts w:hint="eastAsia"/>
        </w:rPr>
      </w:pPr>
      <w:r>
        <w:rPr>
          <w:rFonts w:hint="eastAsia"/>
        </w:rPr>
        <w:t>系统具有良好的用户界面，易学易用。系统提供操作手册、在线帮助，功能键的安排较符合使用人员习惯，数据能够以清单、表格、图形等形式显示。所有查询界面均支持自定义查询条件功能，并能按用户保存查询方案。</w:t>
      </w:r>
    </w:p>
    <w:p w14:paraId="1A4C79FE">
      <w:pPr>
        <w:spacing w:line="360" w:lineRule="auto"/>
        <w:ind w:firstLine="420"/>
        <w:rPr>
          <w:rFonts w:hint="eastAsia"/>
        </w:rPr>
      </w:pPr>
      <w:r>
        <w:rPr>
          <w:rFonts w:hint="eastAsia"/>
        </w:rPr>
        <w:t>5、可维护性、可升级性要求</w:t>
      </w:r>
    </w:p>
    <w:p w14:paraId="4EA506FC">
      <w:pPr>
        <w:spacing w:line="360" w:lineRule="auto"/>
        <w:ind w:firstLine="420"/>
        <w:rPr>
          <w:rFonts w:hint="eastAsia"/>
        </w:rPr>
      </w:pPr>
      <w:r>
        <w:rPr>
          <w:rFonts w:hint="eastAsia"/>
        </w:rPr>
        <w:t>系统采用结构化、层次化设计结构，使系统易于维护和升级，系统采用模块化设计，并保证各版本之间具有良好的兼容性，不会因为系统中某些模块的改变而影响整个系统的正常运行。</w:t>
      </w:r>
    </w:p>
    <w:p w14:paraId="5BA36DA5">
      <w:pPr>
        <w:pStyle w:val="28"/>
        <w:numPr>
          <w:ilvl w:val="0"/>
          <w:numId w:val="2"/>
        </w:numPr>
        <w:spacing w:line="360" w:lineRule="auto"/>
        <w:ind w:firstLineChars="0"/>
        <w:outlineLvl w:val="1"/>
        <w:rPr>
          <w:rFonts w:hint="eastAsia" w:ascii="宋体" w:hAnsi="宋体" w:cs="宋体"/>
          <w:b/>
          <w:szCs w:val="21"/>
        </w:rPr>
      </w:pPr>
      <w:r>
        <w:rPr>
          <w:rFonts w:hint="eastAsia" w:ascii="宋体" w:hAnsi="宋体" w:cs="宋体"/>
          <w:b/>
          <w:szCs w:val="21"/>
        </w:rPr>
        <w:t>功能要求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4F92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CFEF272">
            <w:pPr>
              <w:spacing w:line="360" w:lineRule="auto"/>
              <w:jc w:val="center"/>
              <w:rPr>
                <w:rFonts w:hint="eastAsia" w:ascii="宋体" w:hAnsi="宋体" w:cs="宋体"/>
                <w:b/>
                <w:bCs/>
                <w:szCs w:val="21"/>
              </w:rPr>
            </w:pPr>
            <w:r>
              <w:rPr>
                <w:rFonts w:hint="eastAsia" w:ascii="宋体" w:hAnsi="宋体" w:cs="宋体"/>
                <w:b/>
                <w:bCs/>
                <w:szCs w:val="21"/>
              </w:rPr>
              <w:t>序号</w:t>
            </w:r>
          </w:p>
        </w:tc>
        <w:tc>
          <w:tcPr>
            <w:tcW w:w="4055" w:type="pct"/>
            <w:vAlign w:val="center"/>
          </w:tcPr>
          <w:p w14:paraId="5EC12636">
            <w:pPr>
              <w:spacing w:line="360" w:lineRule="auto"/>
              <w:jc w:val="center"/>
              <w:rPr>
                <w:rFonts w:hint="eastAsia" w:ascii="宋体" w:hAnsi="宋体" w:cs="宋体"/>
                <w:b/>
                <w:bCs/>
                <w:szCs w:val="21"/>
              </w:rPr>
            </w:pPr>
            <w:r>
              <w:rPr>
                <w:rFonts w:hint="eastAsia" w:ascii="宋体" w:hAnsi="宋体" w:cs="宋体"/>
                <w:b/>
                <w:bCs/>
                <w:szCs w:val="21"/>
              </w:rPr>
              <w:t>功能与技术说明</w:t>
            </w:r>
          </w:p>
        </w:tc>
      </w:tr>
      <w:tr w14:paraId="15E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11DCB0D">
            <w:pPr>
              <w:pStyle w:val="28"/>
              <w:numPr>
                <w:ilvl w:val="0"/>
                <w:numId w:val="3"/>
              </w:numPr>
              <w:spacing w:line="360" w:lineRule="auto"/>
              <w:ind w:firstLineChars="0"/>
              <w:jc w:val="center"/>
              <w:rPr>
                <w:rFonts w:hint="eastAsia" w:ascii="宋体" w:hAnsi="宋体" w:cs="宋体"/>
                <w:b/>
                <w:bCs/>
                <w:szCs w:val="21"/>
              </w:rPr>
            </w:pPr>
          </w:p>
        </w:tc>
        <w:tc>
          <w:tcPr>
            <w:tcW w:w="4055" w:type="pct"/>
            <w:vAlign w:val="center"/>
          </w:tcPr>
          <w:p w14:paraId="19C4C512">
            <w:pPr>
              <w:spacing w:line="360" w:lineRule="auto"/>
              <w:jc w:val="center"/>
              <w:rPr>
                <w:rFonts w:hint="eastAsia" w:ascii="宋体" w:hAnsi="宋体" w:cs="宋体"/>
                <w:bCs/>
                <w:i/>
                <w:color w:val="FF0000"/>
                <w:szCs w:val="21"/>
              </w:rPr>
            </w:pPr>
            <w:r>
              <w:rPr>
                <w:rFonts w:hint="eastAsia"/>
                <w:color w:val="000000"/>
                <w:szCs w:val="21"/>
              </w:rPr>
              <w:t>医院信创OA系统集成</w:t>
            </w:r>
          </w:p>
        </w:tc>
      </w:tr>
      <w:tr w14:paraId="0999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064B563">
            <w:pPr>
              <w:pStyle w:val="28"/>
              <w:numPr>
                <w:ilvl w:val="0"/>
                <w:numId w:val="4"/>
              </w:numPr>
              <w:spacing w:line="360" w:lineRule="auto"/>
              <w:ind w:firstLineChars="0"/>
              <w:jc w:val="center"/>
              <w:rPr>
                <w:rFonts w:hint="eastAsia" w:ascii="宋体" w:hAnsi="宋体" w:cs="宋体"/>
                <w:b/>
                <w:bCs/>
                <w:szCs w:val="21"/>
              </w:rPr>
            </w:pPr>
          </w:p>
        </w:tc>
        <w:tc>
          <w:tcPr>
            <w:tcW w:w="4055" w:type="pct"/>
            <w:vAlign w:val="center"/>
          </w:tcPr>
          <w:p w14:paraId="4F02F3C9">
            <w:pPr>
              <w:spacing w:line="360" w:lineRule="auto"/>
              <w:rPr>
                <w:color w:val="000000"/>
                <w:szCs w:val="21"/>
              </w:rPr>
            </w:pPr>
            <w:r>
              <w:rPr>
                <w:rFonts w:hint="eastAsia"/>
                <w:color w:val="000000"/>
                <w:szCs w:val="21"/>
              </w:rPr>
              <w:t>单点登录：用户可在信创OA系统中无需重新输入账户密码的情况下可点击进入业财系统（除首次登录需输入账号密码认证，后续无需输入账号密码即可在信创OA系统中进入访问业财系统）</w:t>
            </w:r>
          </w:p>
        </w:tc>
      </w:tr>
      <w:tr w14:paraId="3CBA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90E163C">
            <w:pPr>
              <w:pStyle w:val="28"/>
              <w:numPr>
                <w:ilvl w:val="0"/>
                <w:numId w:val="4"/>
              </w:numPr>
              <w:spacing w:line="360" w:lineRule="auto"/>
              <w:ind w:firstLineChars="0"/>
              <w:jc w:val="center"/>
              <w:rPr>
                <w:rFonts w:hint="eastAsia" w:ascii="宋体" w:hAnsi="宋体" w:cs="宋体"/>
                <w:b/>
                <w:bCs/>
                <w:szCs w:val="21"/>
              </w:rPr>
            </w:pPr>
          </w:p>
        </w:tc>
        <w:tc>
          <w:tcPr>
            <w:tcW w:w="4055" w:type="pct"/>
            <w:vAlign w:val="center"/>
          </w:tcPr>
          <w:p w14:paraId="4E1DEE22">
            <w:pPr>
              <w:spacing w:line="360" w:lineRule="auto"/>
              <w:rPr>
                <w:rFonts w:hint="eastAsia" w:ascii="宋体" w:hAnsi="宋体" w:cs="宋体"/>
                <w:bCs/>
                <w:i/>
                <w:color w:val="FF0000"/>
                <w:szCs w:val="21"/>
              </w:rPr>
            </w:pPr>
            <w:r>
              <w:rPr>
                <w:rFonts w:hint="eastAsia"/>
                <w:color w:val="000000"/>
                <w:szCs w:val="21"/>
              </w:rPr>
              <w:t>消息待办推送：业财系统中产生的工作业务流程与消息可推送至信创OA系统，用户可在信创OA系统的待办中心接收消息并点击该待办处理业财工作</w:t>
            </w:r>
          </w:p>
        </w:tc>
      </w:tr>
      <w:tr w14:paraId="0940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7C9B2D1">
            <w:pPr>
              <w:pStyle w:val="28"/>
              <w:numPr>
                <w:ilvl w:val="0"/>
                <w:numId w:val="3"/>
              </w:numPr>
              <w:spacing w:line="360" w:lineRule="auto"/>
              <w:ind w:firstLineChars="0"/>
              <w:jc w:val="center"/>
              <w:rPr>
                <w:rFonts w:hint="eastAsia" w:ascii="宋体" w:hAnsi="宋体" w:cs="宋体"/>
                <w:b/>
                <w:bCs/>
                <w:szCs w:val="21"/>
              </w:rPr>
            </w:pPr>
          </w:p>
        </w:tc>
        <w:tc>
          <w:tcPr>
            <w:tcW w:w="4055" w:type="pct"/>
            <w:vAlign w:val="center"/>
          </w:tcPr>
          <w:p w14:paraId="4EFBDAF0">
            <w:pPr>
              <w:spacing w:line="360" w:lineRule="auto"/>
              <w:jc w:val="center"/>
              <w:rPr>
                <w:rFonts w:hint="eastAsia" w:ascii="宋体" w:hAnsi="宋体" w:cs="宋体"/>
                <w:bCs/>
                <w:i/>
                <w:color w:val="FF0000"/>
                <w:szCs w:val="21"/>
              </w:rPr>
            </w:pPr>
            <w:r>
              <w:rPr>
                <w:rFonts w:hint="eastAsia"/>
                <w:color w:val="000000"/>
                <w:szCs w:val="21"/>
              </w:rPr>
              <w:t>医院科研系统集成</w:t>
            </w:r>
          </w:p>
        </w:tc>
      </w:tr>
      <w:tr w14:paraId="7D9A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FA3E0B0">
            <w:pPr>
              <w:pStyle w:val="28"/>
              <w:numPr>
                <w:ilvl w:val="0"/>
                <w:numId w:val="5"/>
              </w:numPr>
              <w:spacing w:line="360" w:lineRule="auto"/>
              <w:ind w:firstLineChars="0"/>
              <w:jc w:val="center"/>
              <w:rPr>
                <w:rFonts w:hint="eastAsia" w:ascii="宋体" w:hAnsi="宋体" w:cs="宋体"/>
                <w:b/>
                <w:bCs/>
                <w:szCs w:val="21"/>
              </w:rPr>
            </w:pPr>
          </w:p>
        </w:tc>
        <w:tc>
          <w:tcPr>
            <w:tcW w:w="4055" w:type="pct"/>
            <w:vAlign w:val="center"/>
          </w:tcPr>
          <w:p w14:paraId="1CAECF1E">
            <w:pPr>
              <w:spacing w:line="360" w:lineRule="auto"/>
              <w:rPr>
                <w:color w:val="000000"/>
                <w:szCs w:val="21"/>
              </w:rPr>
            </w:pPr>
            <w:r>
              <w:rPr>
                <w:rFonts w:hint="eastAsia"/>
                <w:color w:val="000000"/>
                <w:szCs w:val="21"/>
              </w:rPr>
              <w:t>实现业财系统的预算信息与科研系统科研预算费用相关数据同步；包括费用报销关联、预算额度释放、报销单字段信息获取</w:t>
            </w:r>
          </w:p>
        </w:tc>
      </w:tr>
      <w:tr w14:paraId="2C72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FA7BDB0">
            <w:pPr>
              <w:pStyle w:val="28"/>
              <w:numPr>
                <w:ilvl w:val="0"/>
                <w:numId w:val="5"/>
              </w:numPr>
              <w:spacing w:line="360" w:lineRule="auto"/>
              <w:ind w:firstLineChars="0"/>
              <w:jc w:val="center"/>
              <w:rPr>
                <w:rFonts w:hint="eastAsia" w:ascii="宋体" w:hAnsi="宋体" w:cs="宋体"/>
                <w:b/>
                <w:bCs/>
                <w:szCs w:val="21"/>
              </w:rPr>
            </w:pPr>
          </w:p>
        </w:tc>
        <w:tc>
          <w:tcPr>
            <w:tcW w:w="4055" w:type="pct"/>
            <w:vAlign w:val="center"/>
          </w:tcPr>
          <w:p w14:paraId="2C110F82">
            <w:pPr>
              <w:spacing w:line="360" w:lineRule="auto"/>
              <w:jc w:val="left"/>
              <w:rPr>
                <w:rFonts w:hint="eastAsia" w:ascii="宋体" w:hAnsi="宋体" w:cs="宋体"/>
                <w:bCs/>
                <w:i/>
                <w:color w:val="FF0000"/>
                <w:szCs w:val="21"/>
              </w:rPr>
            </w:pPr>
            <w:r>
              <w:rPr>
                <w:rFonts w:hint="eastAsia" w:ascii="宋体" w:hAnsi="宋体" w:cs="宋体"/>
                <w:szCs w:val="21"/>
              </w:rPr>
              <w:t>移动端申请单信息的字段需添加外部申请人、外部申请部门、外部申请单号，过滤条件需增加对应字段</w:t>
            </w:r>
          </w:p>
        </w:tc>
      </w:tr>
      <w:tr w14:paraId="3B61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D6D61DC">
            <w:pPr>
              <w:spacing w:line="360" w:lineRule="auto"/>
              <w:jc w:val="center"/>
              <w:rPr>
                <w:rFonts w:hint="eastAsia" w:ascii="宋体" w:hAnsi="宋体" w:cs="宋体"/>
                <w:b/>
                <w:bCs/>
                <w:szCs w:val="21"/>
              </w:rPr>
            </w:pPr>
            <w:r>
              <w:rPr>
                <w:rFonts w:hint="eastAsia" w:ascii="宋体" w:hAnsi="宋体" w:cs="宋体"/>
                <w:b/>
                <w:bCs/>
                <w:szCs w:val="21"/>
              </w:rPr>
              <w:t>三、</w:t>
            </w:r>
          </w:p>
        </w:tc>
        <w:tc>
          <w:tcPr>
            <w:tcW w:w="4055" w:type="pct"/>
            <w:vAlign w:val="center"/>
          </w:tcPr>
          <w:p w14:paraId="328CF630">
            <w:pPr>
              <w:spacing w:line="360" w:lineRule="auto"/>
              <w:jc w:val="center"/>
              <w:rPr>
                <w:rFonts w:hint="eastAsia" w:ascii="宋体" w:hAnsi="宋体" w:cs="宋体"/>
                <w:bCs/>
                <w:i/>
                <w:color w:val="FF0000"/>
                <w:szCs w:val="21"/>
              </w:rPr>
            </w:pPr>
            <w:r>
              <w:rPr>
                <w:rFonts w:hint="eastAsia"/>
                <w:color w:val="000000"/>
                <w:szCs w:val="21"/>
              </w:rPr>
              <w:t>医院SPD系统集成</w:t>
            </w:r>
          </w:p>
        </w:tc>
      </w:tr>
      <w:tr w14:paraId="76EE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5816CEC">
            <w:pPr>
              <w:spacing w:line="360" w:lineRule="auto"/>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2827BC36">
            <w:pPr>
              <w:spacing w:line="360" w:lineRule="auto"/>
              <w:rPr>
                <w:color w:val="000000"/>
                <w:szCs w:val="21"/>
              </w:rPr>
            </w:pPr>
            <w:r>
              <w:rPr>
                <w:rFonts w:hint="eastAsia"/>
                <w:color w:val="000000"/>
                <w:szCs w:val="21"/>
              </w:rPr>
              <w:t>实现业财系统合同相关数据同步至SPD系统</w:t>
            </w:r>
            <w:r>
              <w:rPr>
                <w:rFonts w:hint="eastAsia"/>
                <w:color w:val="000000"/>
                <w:szCs w:val="21"/>
                <w:lang w:eastAsia="zh-CN"/>
              </w:rPr>
              <w:t>：</w:t>
            </w:r>
          </w:p>
          <w:p w14:paraId="6B225214">
            <w:pPr>
              <w:spacing w:line="360" w:lineRule="auto"/>
              <w:jc w:val="center"/>
              <w:rPr>
                <w:rFonts w:hint="eastAsia" w:ascii="宋体" w:hAnsi="宋体" w:cs="宋体"/>
                <w:bCs/>
                <w:i/>
                <w:color w:val="FF0000"/>
                <w:szCs w:val="21"/>
              </w:rPr>
            </w:pPr>
            <w:r>
              <w:rPr>
                <w:rFonts w:hint="eastAsia"/>
                <w:color w:val="000000"/>
                <w:szCs w:val="21"/>
              </w:rPr>
              <w:t>需要将业财系统中的合同开始日期、结束日期、合同编号、合同文件、产品信息明细相关字段信息在表单流程结束的时同步上传到SPD系统中</w:t>
            </w:r>
          </w:p>
        </w:tc>
      </w:tr>
      <w:tr w14:paraId="499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F097C3A">
            <w:pPr>
              <w:spacing w:line="360" w:lineRule="auto"/>
              <w:jc w:val="center"/>
              <w:rPr>
                <w:rFonts w:hint="eastAsia" w:ascii="宋体" w:hAnsi="宋体" w:cs="宋体"/>
                <w:b/>
                <w:bCs/>
                <w:szCs w:val="21"/>
              </w:rPr>
            </w:pPr>
            <w:r>
              <w:rPr>
                <w:rFonts w:hint="eastAsia" w:ascii="宋体" w:hAnsi="宋体" w:cs="宋体"/>
                <w:b/>
                <w:bCs/>
                <w:szCs w:val="21"/>
              </w:rPr>
              <w:t>四、</w:t>
            </w:r>
          </w:p>
        </w:tc>
        <w:tc>
          <w:tcPr>
            <w:tcW w:w="4055" w:type="pct"/>
            <w:vAlign w:val="center"/>
          </w:tcPr>
          <w:p w14:paraId="09EFA500">
            <w:pPr>
              <w:spacing w:line="360" w:lineRule="auto"/>
              <w:jc w:val="center"/>
              <w:rPr>
                <w:color w:val="000000"/>
                <w:szCs w:val="21"/>
              </w:rPr>
            </w:pPr>
            <w:r>
              <w:rPr>
                <w:rFonts w:hint="eastAsia"/>
                <w:color w:val="000000"/>
                <w:szCs w:val="21"/>
              </w:rPr>
              <w:t>医院审计系统集成</w:t>
            </w:r>
          </w:p>
        </w:tc>
      </w:tr>
      <w:tr w14:paraId="465C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754F7DB">
            <w:pPr>
              <w:spacing w:line="360" w:lineRule="auto"/>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6283CB06">
            <w:pPr>
              <w:spacing w:line="360" w:lineRule="auto"/>
              <w:rPr>
                <w:color w:val="000000"/>
                <w:szCs w:val="21"/>
              </w:rPr>
            </w:pPr>
            <w:r>
              <w:rPr>
                <w:rFonts w:hint="eastAsia"/>
                <w:color w:val="000000"/>
                <w:szCs w:val="21"/>
              </w:rPr>
              <w:t>实现业财系统中的合同相关数据同步至审计系统</w:t>
            </w:r>
            <w:r>
              <w:rPr>
                <w:rFonts w:hint="eastAsia"/>
                <w:color w:val="000000"/>
                <w:szCs w:val="21"/>
                <w:lang w:eastAsia="zh-CN"/>
              </w:rPr>
              <w:t>：</w:t>
            </w:r>
          </w:p>
          <w:p w14:paraId="21B56128">
            <w:pPr>
              <w:spacing w:line="360" w:lineRule="auto"/>
              <w:jc w:val="left"/>
              <w:rPr>
                <w:color w:val="000000"/>
                <w:szCs w:val="21"/>
              </w:rPr>
            </w:pPr>
            <w:r>
              <w:rPr>
                <w:rFonts w:hint="eastAsia"/>
                <w:color w:val="000000"/>
                <w:szCs w:val="21"/>
              </w:rPr>
              <w:t>在业财系统中的试剂耗材-支出合同订立单、支出合同订立单、收入（其他）合同订立单中表单流程结束后，把对应的字段同步数据传送给医院数字化审计系统</w:t>
            </w:r>
          </w:p>
        </w:tc>
      </w:tr>
      <w:tr w14:paraId="0DB8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7CF8424">
            <w:pPr>
              <w:spacing w:line="36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五、</w:t>
            </w:r>
          </w:p>
        </w:tc>
        <w:tc>
          <w:tcPr>
            <w:tcW w:w="4055" w:type="pct"/>
            <w:vAlign w:val="center"/>
          </w:tcPr>
          <w:p w14:paraId="5206DCF8">
            <w:pPr>
              <w:spacing w:line="360" w:lineRule="auto"/>
              <w:jc w:val="center"/>
              <w:rPr>
                <w:rFonts w:hint="eastAsia"/>
                <w:color w:val="000000"/>
                <w:szCs w:val="21"/>
              </w:rPr>
            </w:pPr>
            <w:r>
              <w:rPr>
                <w:rFonts w:hint="eastAsia"/>
                <w:color w:val="000000"/>
                <w:szCs w:val="21"/>
                <w:lang w:val="en-US" w:eastAsia="zh-CN"/>
              </w:rPr>
              <w:t>业财一体化系统维保服务</w:t>
            </w:r>
          </w:p>
        </w:tc>
      </w:tr>
      <w:tr w14:paraId="52DA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5EB4834">
            <w:pPr>
              <w:spacing w:line="360" w:lineRule="auto"/>
              <w:jc w:val="center"/>
              <w:rPr>
                <w:rFonts w:hint="default" w:ascii="宋体" w:hAnsi="宋体" w:cs="宋体"/>
                <w:b/>
                <w:bCs/>
                <w:szCs w:val="21"/>
                <w:lang w:val="en-US" w:eastAsia="zh-CN"/>
              </w:rPr>
            </w:pPr>
            <w:r>
              <w:rPr>
                <w:rFonts w:hint="eastAsia" w:ascii="宋体" w:hAnsi="宋体" w:cs="宋体"/>
                <w:b/>
                <w:bCs/>
                <w:szCs w:val="21"/>
                <w:lang w:val="en-US" w:eastAsia="zh-CN"/>
              </w:rPr>
              <w:t>1</w:t>
            </w:r>
          </w:p>
        </w:tc>
        <w:tc>
          <w:tcPr>
            <w:tcW w:w="4055" w:type="pct"/>
            <w:vAlign w:val="center"/>
          </w:tcPr>
          <w:p w14:paraId="17616ECB">
            <w:pPr>
              <w:spacing w:line="360" w:lineRule="auto"/>
              <w:jc w:val="left"/>
              <w:rPr>
                <w:rFonts w:hint="eastAsia"/>
                <w:color w:val="000000"/>
                <w:szCs w:val="21"/>
                <w:lang w:val="en-US" w:eastAsia="zh-CN"/>
              </w:rPr>
            </w:pPr>
            <w:r>
              <w:rPr>
                <w:rFonts w:hint="eastAsia" w:ascii="宋体" w:hAnsi="宋体" w:cs="宋体"/>
                <w:bCs/>
                <w:color w:val="000000" w:themeColor="text1"/>
                <w:szCs w:val="21"/>
                <w14:textFill>
                  <w14:solidFill>
                    <w14:schemeClr w14:val="tx1"/>
                  </w14:solidFill>
                </w14:textFill>
              </w:rPr>
              <w:t>对</w:t>
            </w:r>
            <w:r>
              <w:rPr>
                <w:rFonts w:hint="eastAsia" w:ascii="宋体" w:hAnsi="宋体" w:cs="宋体"/>
                <w:bCs/>
                <w:color w:val="000000" w:themeColor="text1"/>
                <w:szCs w:val="21"/>
                <w:lang w:val="en-US" w:eastAsia="zh-CN"/>
                <w14:textFill>
                  <w14:solidFill>
                    <w14:schemeClr w14:val="tx1"/>
                  </w14:solidFill>
                </w14:textFill>
              </w:rPr>
              <w:t>业财一体化系统</w:t>
            </w:r>
            <w:r>
              <w:rPr>
                <w:rFonts w:hint="eastAsia" w:ascii="宋体" w:hAnsi="宋体" w:cs="宋体"/>
                <w:bCs/>
                <w:color w:val="000000" w:themeColor="text1"/>
                <w:szCs w:val="21"/>
                <w14:textFill>
                  <w14:solidFill>
                    <w14:schemeClr w14:val="tx1"/>
                  </w14:solidFill>
                </w14:textFill>
              </w:rPr>
              <w:t>进行维保，保证该系统的正常运行使用，针对一些独特的、不可预知的、医院自身不能处理的突发事故及因本软件自身功能缺陷不能正常运行，提供技术支持，服务有效期为1年</w:t>
            </w:r>
          </w:p>
        </w:tc>
      </w:tr>
      <w:tr w14:paraId="06B7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0CEBE6A6">
            <w:pPr>
              <w:pStyle w:val="28"/>
              <w:spacing w:line="440" w:lineRule="exact"/>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2</w:t>
            </w:r>
          </w:p>
        </w:tc>
        <w:tc>
          <w:tcPr>
            <w:tcW w:w="4055" w:type="pct"/>
            <w:shd w:val="clear" w:color="auto" w:fill="auto"/>
            <w:vAlign w:val="center"/>
          </w:tcPr>
          <w:p w14:paraId="0F596727">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提供7*24小时技术服务热线电话支持和应急响应，系统出现故障，通过热线电话得到及时的帮助与支持</w:t>
            </w:r>
          </w:p>
        </w:tc>
      </w:tr>
      <w:tr w14:paraId="0033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20D660A3">
            <w:pPr>
              <w:spacing w:line="440" w:lineRule="exact"/>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3</w:t>
            </w:r>
          </w:p>
        </w:tc>
        <w:tc>
          <w:tcPr>
            <w:tcW w:w="4055" w:type="pct"/>
            <w:shd w:val="clear" w:color="auto" w:fill="auto"/>
            <w:vAlign w:val="center"/>
          </w:tcPr>
          <w:p w14:paraId="24E7FB28">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在系统的服务期内，确保系统的正常使用。通过热线电话无法解决的问题，在规定时间内派遣工程师到达现场，提供现场服务直至解决问题</w:t>
            </w:r>
          </w:p>
        </w:tc>
      </w:tr>
      <w:tr w14:paraId="65A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5F743117">
            <w:pPr>
              <w:spacing w:line="440" w:lineRule="exact"/>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4</w:t>
            </w:r>
          </w:p>
        </w:tc>
        <w:tc>
          <w:tcPr>
            <w:tcW w:w="4055" w:type="pct"/>
            <w:shd w:val="clear" w:color="auto" w:fill="auto"/>
            <w:vAlign w:val="center"/>
          </w:tcPr>
          <w:p w14:paraId="1C2FAC07">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提供定期电话回访服务，询问或了解系统使用过程中的问题和需求，并由相应的客服工程师予以解答</w:t>
            </w:r>
          </w:p>
        </w:tc>
      </w:tr>
      <w:tr w14:paraId="76FC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562D3510">
            <w:pPr>
              <w:spacing w:line="440" w:lineRule="exact"/>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5</w:t>
            </w:r>
          </w:p>
        </w:tc>
        <w:tc>
          <w:tcPr>
            <w:tcW w:w="4055" w:type="pct"/>
            <w:shd w:val="clear" w:color="auto" w:fill="auto"/>
            <w:vAlign w:val="center"/>
          </w:tcPr>
          <w:p w14:paraId="66B653F8">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提供回访服务，定期（每季度1次）对医院的系统数据库及软件系统进行性能测试、调优，输出季度巡检报告，及时发现并解决潜在的问题</w:t>
            </w:r>
          </w:p>
        </w:tc>
      </w:tr>
      <w:tr w14:paraId="4B63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39139510">
            <w:pPr>
              <w:spacing w:line="440" w:lineRule="exact"/>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6</w:t>
            </w:r>
          </w:p>
        </w:tc>
        <w:tc>
          <w:tcPr>
            <w:tcW w:w="4055" w:type="pct"/>
            <w:shd w:val="clear" w:color="auto" w:fill="auto"/>
            <w:vAlign w:val="center"/>
          </w:tcPr>
          <w:p w14:paraId="4C5149A5">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提供与院内其他系统对接接口调整服务</w:t>
            </w:r>
          </w:p>
        </w:tc>
      </w:tr>
      <w:tr w14:paraId="24A8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10895350">
            <w:pPr>
              <w:spacing w:line="440" w:lineRule="exact"/>
              <w:jc w:val="center"/>
              <w:rPr>
                <w:rFonts w:hint="eastAsia" w:ascii="宋体" w:hAnsi="宋体" w:eastAsia="宋体" w:cs="宋体"/>
                <w:b/>
                <w:bCs/>
                <w:color w:val="000000"/>
                <w:kern w:val="2"/>
                <w:sz w:val="21"/>
                <w:szCs w:val="21"/>
                <w:lang w:val="en-US" w:eastAsia="zh-CN" w:bidi="ar-SA"/>
              </w:rPr>
            </w:pPr>
            <w:r>
              <w:rPr>
                <w:rFonts w:hint="eastAsia" w:ascii="宋体" w:hAnsi="宋体" w:cs="宋体"/>
                <w:b/>
                <w:bCs/>
                <w:color w:val="000000"/>
                <w:sz w:val="21"/>
                <w:szCs w:val="21"/>
              </w:rPr>
              <w:t>7</w:t>
            </w:r>
          </w:p>
        </w:tc>
        <w:tc>
          <w:tcPr>
            <w:tcW w:w="4055" w:type="pct"/>
            <w:shd w:val="clear" w:color="auto" w:fill="auto"/>
            <w:vAlign w:val="center"/>
          </w:tcPr>
          <w:p w14:paraId="2C6C113F">
            <w:pPr>
              <w:widowControl/>
              <w:spacing w:line="440" w:lineRule="exact"/>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rPr>
              <w:t>提供售后服务人员的清单和联系方式</w:t>
            </w:r>
          </w:p>
        </w:tc>
      </w:tr>
    </w:tbl>
    <w:p w14:paraId="06057D6E">
      <w:pPr>
        <w:pStyle w:val="2"/>
        <w:numPr>
          <w:ilvl w:val="0"/>
          <w:numId w:val="1"/>
        </w:numPr>
        <w:tabs>
          <w:tab w:val="left" w:pos="720"/>
          <w:tab w:val="left" w:pos="1980"/>
        </w:tabs>
        <w:spacing w:line="360" w:lineRule="auto"/>
        <w:rPr>
          <w:rFonts w:hint="eastAsia" w:hAnsi="宋体" w:cs="宋体"/>
          <w:sz w:val="21"/>
          <w:szCs w:val="21"/>
        </w:rPr>
      </w:pPr>
      <w:r>
        <w:rPr>
          <w:rFonts w:hint="eastAsia" w:hAnsi="宋体" w:cs="宋体"/>
          <w:sz w:val="21"/>
          <w:szCs w:val="21"/>
        </w:rPr>
        <w:t>项目实施与验收</w:t>
      </w:r>
    </w:p>
    <w:p w14:paraId="746D6174">
      <w:pPr>
        <w:pStyle w:val="28"/>
        <w:numPr>
          <w:ilvl w:val="0"/>
          <w:numId w:val="6"/>
        </w:numPr>
        <w:spacing w:line="360" w:lineRule="auto"/>
        <w:ind w:firstLineChars="0"/>
        <w:outlineLvl w:val="1"/>
        <w:rPr>
          <w:rFonts w:hint="eastAsia" w:ascii="宋体" w:hAnsi="宋体" w:cs="宋体"/>
          <w:b/>
          <w:szCs w:val="21"/>
        </w:rPr>
      </w:pPr>
      <w:bookmarkStart w:id="2" w:name="_Toc449000764"/>
      <w:bookmarkStart w:id="3" w:name="_Toc74682240"/>
      <w:r>
        <w:rPr>
          <w:rFonts w:ascii="宋体" w:hAnsi="宋体" w:cs="宋体"/>
          <w:b/>
          <w:szCs w:val="21"/>
        </w:rPr>
        <w:t>项目实施要求</w:t>
      </w:r>
      <w:bookmarkEnd w:id="2"/>
      <w:bookmarkEnd w:id="3"/>
    </w:p>
    <w:p w14:paraId="528AACEA">
      <w:pPr>
        <w:numPr>
          <w:ilvl w:val="0"/>
          <w:numId w:val="7"/>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需要根据项目建设内容和进度需要，派驻具有一定资质能力水平的成员组成项目小组对系统进行实施及服务。</w:t>
      </w:r>
    </w:p>
    <w:p w14:paraId="68688B1E">
      <w:pPr>
        <w:numPr>
          <w:ilvl w:val="0"/>
          <w:numId w:val="7"/>
        </w:numPr>
        <w:spacing w:line="360" w:lineRule="auto"/>
        <w:rPr>
          <w:color w:val="000000"/>
        </w:rPr>
      </w:pPr>
      <w:r>
        <w:rPr>
          <w:rFonts w:hint="eastAsia"/>
          <w:color w:val="000000"/>
        </w:rPr>
        <w:t>项目</w:t>
      </w:r>
      <w:r>
        <w:rPr>
          <w:color w:val="000000"/>
        </w:rPr>
        <w:t>投标人应确保能在合同签订后</w:t>
      </w:r>
      <w:r>
        <w:rPr>
          <w:rFonts w:hint="eastAsia"/>
          <w:color w:val="000000"/>
          <w:highlight w:val="yellow"/>
          <w:u w:val="single"/>
        </w:rPr>
        <w:t>3</w:t>
      </w:r>
      <w:r>
        <w:rPr>
          <w:color w:val="000000"/>
          <w:highlight w:val="yellow"/>
          <w:u w:val="single"/>
        </w:rPr>
        <w:t>个月</w:t>
      </w:r>
      <w:r>
        <w:rPr>
          <w:color w:val="000000"/>
        </w:rPr>
        <w:t>内系统上线</w:t>
      </w:r>
      <w:r>
        <w:rPr>
          <w:rFonts w:hint="eastAsia"/>
          <w:color w:val="000000"/>
        </w:rPr>
        <w:t>应用。实施</w:t>
      </w:r>
      <w:r>
        <w:rPr>
          <w:color w:val="000000"/>
        </w:rPr>
        <w:t>期间可</w:t>
      </w:r>
      <w:r>
        <w:rPr>
          <w:rFonts w:hint="eastAsia"/>
          <w:color w:val="000000"/>
        </w:rPr>
        <w:t>根据</w:t>
      </w:r>
      <w:r>
        <w:rPr>
          <w:color w:val="000000"/>
        </w:rPr>
        <w:t>用户的需要及政策的变化而对系统进行相应的</w:t>
      </w:r>
      <w:r>
        <w:rPr>
          <w:rFonts w:hint="eastAsia"/>
          <w:color w:val="000000"/>
        </w:rPr>
        <w:t>实施方案调整和软件</w:t>
      </w:r>
      <w:r>
        <w:rPr>
          <w:color w:val="000000"/>
        </w:rPr>
        <w:t>客户化修改。</w:t>
      </w:r>
    </w:p>
    <w:p w14:paraId="1A630113">
      <w:pPr>
        <w:pStyle w:val="28"/>
        <w:numPr>
          <w:ilvl w:val="0"/>
          <w:numId w:val="6"/>
        </w:numPr>
        <w:spacing w:line="360" w:lineRule="auto"/>
        <w:ind w:firstLineChars="0"/>
        <w:outlineLvl w:val="1"/>
        <w:rPr>
          <w:rFonts w:hint="eastAsia" w:ascii="宋体" w:hAnsi="宋体" w:cs="宋体"/>
          <w:b/>
          <w:szCs w:val="21"/>
        </w:rPr>
      </w:pPr>
      <w:bookmarkStart w:id="4" w:name="_Toc449000765"/>
      <w:bookmarkStart w:id="5" w:name="_Toc74682242"/>
      <w:bookmarkStart w:id="6" w:name="_Toc24571258"/>
      <w:bookmarkStart w:id="7" w:name="_Toc74682241"/>
      <w:bookmarkStart w:id="8" w:name="_Toc5054"/>
      <w:bookmarkStart w:id="9" w:name="_Toc12410"/>
      <w:bookmarkStart w:id="10" w:name="_Toc38032939"/>
      <w:r>
        <w:rPr>
          <w:rFonts w:ascii="宋体" w:hAnsi="宋体" w:cs="宋体"/>
          <w:b/>
          <w:szCs w:val="21"/>
        </w:rPr>
        <w:t>培训要求</w:t>
      </w:r>
      <w:bookmarkEnd w:id="4"/>
      <w:bookmarkEnd w:id="5"/>
    </w:p>
    <w:p w14:paraId="7E7027F0">
      <w:pPr>
        <w:numPr>
          <w:ilvl w:val="0"/>
          <w:numId w:val="8"/>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78801475">
      <w:pPr>
        <w:numPr>
          <w:ilvl w:val="0"/>
          <w:numId w:val="8"/>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03D24F3E">
      <w:pPr>
        <w:numPr>
          <w:ilvl w:val="0"/>
          <w:numId w:val="8"/>
        </w:numPr>
        <w:spacing w:line="360" w:lineRule="auto"/>
        <w:rPr>
          <w:rFonts w:hint="eastAsia" w:hAnsi="宋体" w:cs="宋体"/>
          <w:szCs w:val="21"/>
        </w:rPr>
      </w:pPr>
      <w:r>
        <w:rPr>
          <w:color w:val="000000"/>
        </w:rPr>
        <w:t>技术培训费用应包含在投标总价中。</w:t>
      </w:r>
    </w:p>
    <w:p w14:paraId="45E99F34">
      <w:pPr>
        <w:pStyle w:val="28"/>
        <w:numPr>
          <w:ilvl w:val="0"/>
          <w:numId w:val="6"/>
        </w:numPr>
        <w:spacing w:line="360" w:lineRule="auto"/>
        <w:ind w:firstLineChars="0"/>
        <w:outlineLvl w:val="1"/>
        <w:rPr>
          <w:rFonts w:hint="eastAsia" w:ascii="宋体" w:hAnsi="宋体" w:cs="宋体"/>
          <w:b/>
          <w:szCs w:val="21"/>
        </w:rPr>
      </w:pPr>
      <w:r>
        <w:rPr>
          <w:rFonts w:ascii="宋体" w:hAnsi="宋体" w:cs="宋体"/>
          <w:b/>
          <w:szCs w:val="21"/>
        </w:rPr>
        <w:t>验收要求</w:t>
      </w:r>
      <w:bookmarkEnd w:id="6"/>
      <w:bookmarkEnd w:id="7"/>
      <w:bookmarkEnd w:id="8"/>
      <w:bookmarkEnd w:id="9"/>
      <w:bookmarkEnd w:id="10"/>
    </w:p>
    <w:p w14:paraId="6A815563">
      <w:pPr>
        <w:numPr>
          <w:ilvl w:val="0"/>
          <w:numId w:val="9"/>
        </w:numPr>
        <w:spacing w:line="360" w:lineRule="auto"/>
      </w:pPr>
      <w:r>
        <w:rPr>
          <w:rFonts w:hint="eastAsia"/>
          <w:color w:val="000000"/>
        </w:rPr>
        <w:t>项目完成系统软件</w:t>
      </w:r>
      <w:r>
        <w:rPr>
          <w:rFonts w:hint="eastAsia"/>
          <w:color w:val="000000"/>
          <w:lang w:val="en-US" w:eastAsia="zh-CN"/>
        </w:rPr>
        <w:t>系统集成性</w:t>
      </w:r>
      <w:r>
        <w:rPr>
          <w:rFonts w:hint="eastAsia"/>
          <w:color w:val="000000"/>
        </w:rPr>
        <w:t>建设，</w:t>
      </w:r>
      <w:r>
        <w:rPr>
          <w:color w:val="000000"/>
        </w:rPr>
        <w:t>中标人</w:t>
      </w:r>
      <w:r>
        <w:rPr>
          <w:rFonts w:hint="eastAsia"/>
          <w:color w:val="000000"/>
        </w:rPr>
        <w:t>可</w:t>
      </w:r>
      <w:r>
        <w:rPr>
          <w:color w:val="000000"/>
        </w:rPr>
        <w:t>提出</w:t>
      </w:r>
      <w:r>
        <w:rPr>
          <w:rFonts w:hint="eastAsia"/>
          <w:color w:val="000000"/>
        </w:rPr>
        <w:t>初步验收</w:t>
      </w:r>
      <w:r>
        <w:rPr>
          <w:color w:val="000000"/>
        </w:rPr>
        <w:t>申请</w:t>
      </w:r>
      <w:r>
        <w:rPr>
          <w:rFonts w:hint="eastAsia"/>
          <w:color w:val="000000"/>
        </w:rPr>
        <w:t>，初验通过后进入系统试运</w:t>
      </w:r>
      <w:r>
        <w:rPr>
          <w:rFonts w:hint="eastAsia"/>
        </w:rPr>
        <w:t>行。</w:t>
      </w:r>
    </w:p>
    <w:p w14:paraId="23509E4A">
      <w:pPr>
        <w:numPr>
          <w:ilvl w:val="0"/>
          <w:numId w:val="9"/>
        </w:numPr>
        <w:spacing w:line="360" w:lineRule="auto"/>
      </w:pPr>
      <w:r>
        <w:rPr>
          <w:rFonts w:hint="eastAsia"/>
        </w:rPr>
        <w:t>系统试运行满一个月、整体稳定，投标人可提出最终验收申请，由</w:t>
      </w:r>
      <w:r>
        <w:t>招标人组织验收。</w:t>
      </w:r>
    </w:p>
    <w:p w14:paraId="2D2077F3">
      <w:pPr>
        <w:numPr>
          <w:ilvl w:val="0"/>
          <w:numId w:val="9"/>
        </w:numPr>
        <w:spacing w:line="360" w:lineRule="auto"/>
      </w:pPr>
      <w:r>
        <w:t>验收</w:t>
      </w:r>
      <w:r>
        <w:rPr>
          <w:rFonts w:hint="eastAsia"/>
        </w:rPr>
        <w:t>时，需提供相关材料，包括需求分析、安装维护、系统接口、操作说明、数据库说明、培训记录、测试报告等相关文档，验收费用由投标人承担</w:t>
      </w:r>
      <w:r>
        <w:t>。</w:t>
      </w:r>
    </w:p>
    <w:p w14:paraId="6CEBA1EF">
      <w:pPr>
        <w:pStyle w:val="2"/>
        <w:numPr>
          <w:ilvl w:val="0"/>
          <w:numId w:val="1"/>
        </w:numPr>
        <w:tabs>
          <w:tab w:val="left" w:pos="720"/>
          <w:tab w:val="left" w:pos="1980"/>
        </w:tabs>
        <w:spacing w:line="360" w:lineRule="auto"/>
        <w:rPr>
          <w:rFonts w:hint="eastAsia" w:hAnsi="宋体" w:cs="宋体"/>
          <w:sz w:val="21"/>
          <w:szCs w:val="21"/>
        </w:rPr>
      </w:pPr>
      <w:r>
        <w:rPr>
          <w:rFonts w:hint="eastAsia" w:hAnsi="宋体" w:cs="宋体"/>
          <w:sz w:val="21"/>
          <w:szCs w:val="21"/>
        </w:rPr>
        <w:t>售后服务</w:t>
      </w:r>
    </w:p>
    <w:p w14:paraId="0A06EDFC">
      <w:pPr>
        <w:numPr>
          <w:ilvl w:val="0"/>
          <w:numId w:val="10"/>
        </w:numPr>
        <w:spacing w:line="360" w:lineRule="auto"/>
        <w:rPr>
          <w:rFonts w:hint="eastAsia" w:ascii="宋体" w:hAnsi="宋体" w:cs="宋体"/>
          <w:bCs/>
          <w:color w:val="0000FF"/>
          <w:szCs w:val="21"/>
        </w:rPr>
      </w:pPr>
      <w:r>
        <w:rPr>
          <w:rFonts w:hint="eastAsia"/>
          <w:color w:val="0000FF"/>
        </w:rPr>
        <w:t>合同签订后，提供一年</w:t>
      </w:r>
      <w:r>
        <w:rPr>
          <w:rFonts w:hint="eastAsia"/>
          <w:color w:val="0000FF"/>
          <w:lang w:val="en-US" w:eastAsia="zh-CN"/>
        </w:rPr>
        <w:t>维保服务，</w:t>
      </w:r>
      <w:r>
        <w:rPr>
          <w:rFonts w:hint="eastAsia"/>
          <w:color w:val="0000FF"/>
        </w:rPr>
        <w:t>项目</w:t>
      </w:r>
      <w:r>
        <w:rPr>
          <w:rFonts w:hint="eastAsia"/>
          <w:color w:val="0000FF"/>
          <w:lang w:val="en-US" w:eastAsia="zh-CN"/>
        </w:rPr>
        <w:t>系统集成性建设</w:t>
      </w:r>
      <w:r>
        <w:rPr>
          <w:rFonts w:hint="eastAsia"/>
          <w:color w:val="0000FF"/>
        </w:rPr>
        <w:t>终验通过后，提供</w:t>
      </w:r>
      <w:r>
        <w:rPr>
          <w:rFonts w:hint="eastAsia"/>
          <w:color w:val="0000FF"/>
          <w:highlight w:val="yellow"/>
        </w:rPr>
        <w:t>一</w:t>
      </w:r>
      <w:r>
        <w:rPr>
          <w:rFonts w:hint="eastAsia" w:ascii="宋体" w:hAnsi="宋体" w:cs="宋体"/>
          <w:bCs/>
          <w:color w:val="0000FF"/>
          <w:szCs w:val="21"/>
          <w:highlight w:val="yellow"/>
        </w:rPr>
        <w:t>年</w:t>
      </w:r>
      <w:r>
        <w:rPr>
          <w:rFonts w:hint="eastAsia" w:ascii="宋体" w:hAnsi="宋体" w:cs="宋体"/>
          <w:bCs/>
          <w:color w:val="0000FF"/>
          <w:szCs w:val="21"/>
        </w:rPr>
        <w:t>质保服务，</w:t>
      </w:r>
      <w:r>
        <w:rPr>
          <w:rFonts w:hint="eastAsia"/>
          <w:color w:val="0000FF"/>
        </w:rPr>
        <w:t>质保期内对于用户提出的改善体验、可靠性、安全性的需求，提供免费开发升级服务。</w:t>
      </w:r>
    </w:p>
    <w:p w14:paraId="6732D6D2">
      <w:pPr>
        <w:numPr>
          <w:ilvl w:val="0"/>
          <w:numId w:val="10"/>
        </w:numPr>
        <w:spacing w:line="360" w:lineRule="auto"/>
        <w:rPr>
          <w:rFonts w:hint="eastAsia" w:ascii="宋体" w:hAnsi="宋体" w:cs="宋体"/>
          <w:bCs/>
          <w:color w:val="0000FF"/>
          <w:szCs w:val="21"/>
        </w:rPr>
      </w:pPr>
      <w:r>
        <w:rPr>
          <w:rFonts w:hint="eastAsia" w:ascii="宋体" w:hAnsi="宋体" w:cs="宋体"/>
          <w:bCs/>
          <w:color w:val="0000FF"/>
          <w:szCs w:val="21"/>
        </w:rPr>
        <w:t>项目软件系统实施与维保服务期间，安排专人负责信息系统运行保障，含所有投标内容软硬件的维护。</w:t>
      </w:r>
    </w:p>
    <w:p w14:paraId="194E3F89">
      <w:pPr>
        <w:numPr>
          <w:ilvl w:val="0"/>
          <w:numId w:val="10"/>
        </w:numPr>
        <w:spacing w:line="360" w:lineRule="auto"/>
        <w:rPr>
          <w:color w:val="0000FF"/>
        </w:rPr>
      </w:pPr>
      <w:r>
        <w:rPr>
          <w:rFonts w:hint="eastAsia"/>
          <w:color w:val="0000FF"/>
        </w:rPr>
        <w:t>因系统本身缺陷造成各种故障应由卖方免费技术服务和维修，包括质保期外发生的情况。</w:t>
      </w:r>
    </w:p>
    <w:p w14:paraId="03430E2D">
      <w:pPr>
        <w:numPr>
          <w:ilvl w:val="0"/>
          <w:numId w:val="10"/>
        </w:numPr>
        <w:spacing w:line="360" w:lineRule="auto"/>
        <w:rPr>
          <w:color w:val="0000FF"/>
        </w:rPr>
      </w:pPr>
      <w:r>
        <w:rPr>
          <w:rFonts w:hint="eastAsia"/>
          <w:color w:val="0000FF"/>
        </w:rPr>
        <w:t>无力承担售后服务或响应不及时的情况下，医院可向承接方索取软件源代码，承接方应无偿提供。</w:t>
      </w:r>
    </w:p>
    <w:p w14:paraId="66F443EE">
      <w:pPr>
        <w:numPr>
          <w:ilvl w:val="0"/>
          <w:numId w:val="10"/>
        </w:numPr>
        <w:spacing w:line="360" w:lineRule="auto"/>
        <w:rPr>
          <w:color w:val="0000FF"/>
        </w:rPr>
      </w:pPr>
      <w:r>
        <w:rPr>
          <w:rFonts w:hint="eastAsia"/>
          <w:color w:val="0000FF"/>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15774028">
      <w:pPr>
        <w:numPr>
          <w:ilvl w:val="0"/>
          <w:numId w:val="10"/>
        </w:numPr>
        <w:spacing w:line="360" w:lineRule="auto"/>
        <w:rPr>
          <w:color w:val="0000FF"/>
        </w:rPr>
      </w:pPr>
      <w:r>
        <w:rPr>
          <w:rFonts w:hint="eastAsia"/>
          <w:color w:val="0000FF"/>
        </w:rPr>
        <w:t>承接方必须保证解决项目所涉及的技术问题，如因技术原因无法满足院方需求，由此产生的风险由承接方承担。</w:t>
      </w:r>
    </w:p>
    <w:p w14:paraId="23929EED">
      <w:pPr>
        <w:numPr>
          <w:ilvl w:val="0"/>
          <w:numId w:val="10"/>
        </w:numPr>
        <w:spacing w:line="360" w:lineRule="auto"/>
        <w:rPr>
          <w:color w:val="0000FF"/>
        </w:rPr>
      </w:pPr>
      <w:r>
        <w:rPr>
          <w:rFonts w:hint="eastAsia"/>
          <w:color w:val="0000FF"/>
        </w:rPr>
        <w:t>在项日实施与维保期间内，若承接方在服务过程中发生以下行为，经院方确认后，每次根据标准进行扣罚：</w:t>
      </w:r>
    </w:p>
    <w:p w14:paraId="7956D635">
      <w:pPr>
        <w:numPr>
          <w:ilvl w:val="0"/>
          <w:numId w:val="11"/>
        </w:numPr>
        <w:spacing w:line="360" w:lineRule="auto"/>
        <w:rPr>
          <w:color w:val="0000FF"/>
        </w:rPr>
      </w:pPr>
      <w:r>
        <w:rPr>
          <w:rFonts w:hint="eastAsia"/>
          <w:color w:val="0000FF"/>
        </w:rPr>
        <w:t>遇到乘大或紧急事件要求承接方派驻应急人员现场解决，但承接方无正当理由不履行的，每发生一次从项目合同金额中扣除3000元，视作一次不良行为。</w:t>
      </w:r>
    </w:p>
    <w:p w14:paraId="3DC784EA">
      <w:pPr>
        <w:numPr>
          <w:ilvl w:val="0"/>
          <w:numId w:val="11"/>
        </w:numPr>
        <w:spacing w:line="360" w:lineRule="auto"/>
        <w:rPr>
          <w:color w:val="0000FF"/>
        </w:rPr>
      </w:pPr>
      <w:r>
        <w:rPr>
          <w:rFonts w:hint="eastAsia"/>
          <w:color w:val="0000FF"/>
        </w:rPr>
        <w:t>未经我院信息中心审核同意，自行运维实施或调整数据库、网络、服务器等操作，导致引发严重信息系统故障或不良事件，每发生一次从本项目合同金额中扣除3000元，视作一次不良行为。</w:t>
      </w:r>
    </w:p>
    <w:p w14:paraId="0A67AE35">
      <w:pPr>
        <w:numPr>
          <w:ilvl w:val="0"/>
          <w:numId w:val="11"/>
        </w:numPr>
        <w:spacing w:line="360" w:lineRule="auto"/>
        <w:rPr>
          <w:color w:val="0000FF"/>
        </w:rPr>
      </w:pPr>
      <w:r>
        <w:rPr>
          <w:rFonts w:hint="eastAsia"/>
          <w:color w:val="0000FF"/>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32938560">
      <w:pPr>
        <w:numPr>
          <w:ilvl w:val="0"/>
          <w:numId w:val="11"/>
        </w:numPr>
        <w:spacing w:line="360" w:lineRule="auto"/>
      </w:pPr>
      <w:r>
        <w:rPr>
          <w:rFonts w:hint="eastAsia"/>
          <w:color w:val="0000FF"/>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3E051BE2">
      <w:pPr>
        <w:numPr>
          <w:ilvl w:val="0"/>
          <w:numId w:val="0"/>
        </w:numPr>
        <w:spacing w:line="360" w:lineRule="auto"/>
        <w:ind w:left="420" w:leftChars="0" w:firstLine="420" w:firstLineChars="0"/>
        <w:rPr>
          <w:rFonts w:hint="eastAsia"/>
        </w:rPr>
      </w:pPr>
    </w:p>
    <w:p w14:paraId="46FB5FDD">
      <w:pPr>
        <w:rPr>
          <w:rFonts w:hint="eastAsia"/>
        </w:rPr>
      </w:pPr>
      <w:bookmarkStart w:id="11" w:name="_Toc186548465"/>
      <w:r>
        <w:rPr>
          <w:rFonts w:hint="eastAsia"/>
        </w:rPr>
        <w:br w:type="page"/>
      </w:r>
    </w:p>
    <w:p w14:paraId="462B70C5">
      <w:pPr>
        <w:pStyle w:val="15"/>
      </w:pPr>
      <w:r>
        <w:rPr>
          <w:rFonts w:hint="eastAsia"/>
        </w:rPr>
        <w:t>第三章</w:t>
      </w:r>
      <w:r>
        <w:rPr>
          <w:rFonts w:hint="eastAsia"/>
        </w:rPr>
        <w:tab/>
      </w:r>
      <w:r>
        <w:rPr>
          <w:rFonts w:hint="eastAsia"/>
        </w:rPr>
        <w:t>响应文件格式</w:t>
      </w:r>
      <w:bookmarkEnd w:id="11"/>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1"/>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5" w:type="dxa"/>
            <w:vAlign w:val="center"/>
          </w:tcPr>
          <w:p w14:paraId="05E20D49">
            <w:r>
              <w:t>序号</w:t>
            </w:r>
          </w:p>
        </w:tc>
        <w:tc>
          <w:tcPr>
            <w:tcW w:w="1671"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04BEE82A">
            <w:r>
              <w:t>1</w:t>
            </w:r>
          </w:p>
        </w:tc>
        <w:tc>
          <w:tcPr>
            <w:tcW w:w="1671"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102903F">
            <w:r>
              <w:t>2</w:t>
            </w:r>
          </w:p>
        </w:tc>
        <w:tc>
          <w:tcPr>
            <w:tcW w:w="1671"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56A965BA">
            <w:r>
              <w:t>3</w:t>
            </w:r>
          </w:p>
        </w:tc>
        <w:tc>
          <w:tcPr>
            <w:tcW w:w="1671"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4259F713">
            <w:r>
              <w:t>4</w:t>
            </w:r>
          </w:p>
        </w:tc>
        <w:tc>
          <w:tcPr>
            <w:tcW w:w="1671"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15F5DEFB">
            <w:r>
              <w:rPr>
                <w:rFonts w:hint="eastAsia"/>
              </w:rPr>
              <w:t>5</w:t>
            </w:r>
          </w:p>
        </w:tc>
        <w:tc>
          <w:tcPr>
            <w:tcW w:w="1671"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AE68E22">
            <w:r>
              <w:rPr>
                <w:rFonts w:hint="eastAsia"/>
              </w:rPr>
              <w:t>6</w:t>
            </w:r>
          </w:p>
        </w:tc>
        <w:tc>
          <w:tcPr>
            <w:tcW w:w="1671"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643A24DD">
            <w:r>
              <w:rPr>
                <w:rFonts w:hint="eastAsia"/>
              </w:rPr>
              <w:t>7</w:t>
            </w:r>
          </w:p>
        </w:tc>
        <w:tc>
          <w:tcPr>
            <w:tcW w:w="1671"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5" w:type="dxa"/>
          </w:tcPr>
          <w:p w14:paraId="27F025B1">
            <w:r>
              <w:rPr>
                <w:rFonts w:hint="eastAsia"/>
              </w:rPr>
              <w:t>8</w:t>
            </w:r>
          </w:p>
        </w:tc>
        <w:tc>
          <w:tcPr>
            <w:tcW w:w="1671"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445BF29C">
            <w:r>
              <w:t>9</w:t>
            </w:r>
          </w:p>
        </w:tc>
        <w:tc>
          <w:tcPr>
            <w:tcW w:w="1671"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900385E">
            <w:r>
              <w:t>10</w:t>
            </w:r>
          </w:p>
        </w:tc>
        <w:tc>
          <w:tcPr>
            <w:tcW w:w="1671"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9FD93D8">
            <w:r>
              <w:t>11</w:t>
            </w:r>
          </w:p>
        </w:tc>
        <w:tc>
          <w:tcPr>
            <w:tcW w:w="1671"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50F4980">
            <w:r>
              <w:t>12</w:t>
            </w:r>
          </w:p>
        </w:tc>
        <w:tc>
          <w:tcPr>
            <w:tcW w:w="1671"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28032C19">
            <w:r>
              <w:t>13</w:t>
            </w:r>
          </w:p>
        </w:tc>
        <w:tc>
          <w:tcPr>
            <w:tcW w:w="1671"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D890C65">
            <w:r>
              <w:rPr>
                <w:rFonts w:hint="eastAsia"/>
              </w:rPr>
              <w:t>14</w:t>
            </w:r>
          </w:p>
        </w:tc>
        <w:tc>
          <w:tcPr>
            <w:tcW w:w="1671"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07AAF0C6">
            <w:pPr>
              <w:rPr>
                <w:rFonts w:hint="eastAsia" w:eastAsia="宋体"/>
                <w:lang w:val="en-US" w:eastAsia="zh-CN"/>
              </w:rPr>
            </w:pPr>
            <w:r>
              <w:rPr>
                <w:rFonts w:hint="eastAsia"/>
              </w:rPr>
              <w:t>1</w:t>
            </w:r>
            <w:r>
              <w:rPr>
                <w:rFonts w:hint="eastAsia"/>
                <w:lang w:val="en-US" w:eastAsia="zh-CN"/>
              </w:rPr>
              <w:t>5</w:t>
            </w:r>
          </w:p>
        </w:tc>
        <w:tc>
          <w:tcPr>
            <w:tcW w:w="1671"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2F28A83C">
            <w:r>
              <w:rPr>
                <w:rFonts w:hint="eastAsia"/>
              </w:rPr>
              <w:t>16</w:t>
            </w:r>
          </w:p>
        </w:tc>
        <w:tc>
          <w:tcPr>
            <w:tcW w:w="1671" w:type="dxa"/>
            <w:vMerge w:val="continue"/>
          </w:tcPr>
          <w:p w14:paraId="23BC7F8F"/>
        </w:tc>
        <w:tc>
          <w:tcPr>
            <w:tcW w:w="4152" w:type="dxa"/>
            <w:vAlign w:val="center"/>
          </w:tcPr>
          <w:p w14:paraId="35F6968E">
            <w:pPr>
              <w:rPr>
                <w:rFonts w:hint="eastAsia" w:eastAsia="宋体"/>
                <w:lang w:eastAsia="zh-CN"/>
              </w:rPr>
            </w:pPr>
            <w:r>
              <w:rPr>
                <w:rFonts w:hAnsi="宋体"/>
                <w:color w:val="FF0000"/>
                <w:kern w:val="0"/>
                <w:szCs w:val="21"/>
              </w:rPr>
              <w:t>提供</w:t>
            </w:r>
            <w:r>
              <w:rPr>
                <w:rFonts w:hint="eastAsia" w:hAnsi="宋体"/>
                <w:color w:val="FF0000"/>
                <w:kern w:val="0"/>
                <w:szCs w:val="21"/>
                <w:lang w:val="en-US" w:eastAsia="zh-CN"/>
              </w:rPr>
              <w:t>案例</w:t>
            </w:r>
            <w:r>
              <w:rPr>
                <w:rFonts w:hAnsi="宋体"/>
                <w:color w:val="FF0000"/>
                <w:kern w:val="0"/>
                <w:szCs w:val="21"/>
              </w:rPr>
              <w:t>用户名单及合同复印件</w:t>
            </w:r>
            <w:r>
              <w:rPr>
                <w:rFonts w:hint="eastAsia" w:hAnsi="宋体"/>
                <w:color w:val="FF0000"/>
                <w:kern w:val="0"/>
                <w:szCs w:val="21"/>
                <w:lang w:eastAsia="zh-CN"/>
              </w:rPr>
              <w:t>（</w:t>
            </w:r>
            <w:r>
              <w:rPr>
                <w:rFonts w:hint="eastAsia" w:hAnsi="宋体"/>
                <w:color w:val="FF0000"/>
                <w:kern w:val="0"/>
                <w:szCs w:val="21"/>
                <w:lang w:val="en-US" w:eastAsia="zh-CN"/>
              </w:rPr>
              <w:t>2022年至今</w:t>
            </w:r>
            <w:r>
              <w:rPr>
                <w:rFonts w:hint="eastAsia" w:hAnsi="宋体"/>
                <w:color w:val="FF0000"/>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7C5E9CEC">
            <w:r>
              <w:rPr>
                <w:rFonts w:hint="eastAsia"/>
              </w:rPr>
              <w:t>17</w:t>
            </w:r>
          </w:p>
        </w:tc>
        <w:tc>
          <w:tcPr>
            <w:tcW w:w="1671"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4126298F">
            <w:r>
              <w:rPr>
                <w:rFonts w:hint="eastAsia"/>
              </w:rPr>
              <w:t>18</w:t>
            </w:r>
          </w:p>
        </w:tc>
        <w:tc>
          <w:tcPr>
            <w:tcW w:w="1671"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33F91FBE">
      <w:pPr>
        <w:rPr>
          <w:rFonts w:hint="eastAsia"/>
          <w:b/>
          <w:bCs/>
          <w:sz w:val="32"/>
        </w:rPr>
      </w:pPr>
    </w:p>
    <w:p w14:paraId="32E1F93B">
      <w:pPr>
        <w:rPr>
          <w:rFonts w:hAnsi="仿宋" w:eastAsia="仿宋"/>
          <w:sz w:val="30"/>
          <w:szCs w:val="30"/>
        </w:rPr>
      </w:pPr>
      <w:r>
        <w:rPr>
          <w:rFonts w:hAnsi="仿宋" w:eastAsia="仿宋"/>
          <w:sz w:val="30"/>
          <w:szCs w:val="30"/>
        </w:rPr>
        <w:br w:type="page"/>
      </w: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2"/>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224B6BC6">
      <w:pPr>
        <w:rPr>
          <w:rFonts w:hAnsi="仿宋" w:eastAsia="仿宋"/>
          <w:sz w:val="30"/>
          <w:szCs w:val="30"/>
        </w:rPr>
      </w:pPr>
      <w:r>
        <w:rPr>
          <w:rFonts w:hAnsi="仿宋" w:eastAsia="仿宋"/>
          <w:sz w:val="30"/>
          <w:szCs w:val="30"/>
        </w:rPr>
        <w:br w:type="page"/>
      </w: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345F1FB2">
      <w:pPr>
        <w:rPr>
          <w:rFonts w:hAnsi="仿宋" w:eastAsia="仿宋"/>
          <w:sz w:val="30"/>
          <w:szCs w:val="30"/>
        </w:rPr>
      </w:pPr>
      <w:r>
        <w:rPr>
          <w:rFonts w:hAnsi="仿宋" w:eastAsia="仿宋"/>
          <w:sz w:val="30"/>
          <w:szCs w:val="30"/>
        </w:rPr>
        <w:br w:type="page"/>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5"/>
        <w:spacing w:line="360" w:lineRule="auto"/>
        <w:jc w:val="both"/>
        <w:rPr>
          <w:sz w:val="21"/>
          <w:szCs w:val="21"/>
        </w:rPr>
      </w:pPr>
    </w:p>
    <w:p w14:paraId="3C6B5CEB">
      <w:pPr>
        <w:pStyle w:val="35"/>
        <w:spacing w:line="360" w:lineRule="auto"/>
        <w:jc w:val="both"/>
        <w:rPr>
          <w:sz w:val="21"/>
          <w:szCs w:val="21"/>
        </w:rPr>
      </w:pPr>
    </w:p>
    <w:p w14:paraId="28E2E129">
      <w:pPr>
        <w:pStyle w:val="35"/>
        <w:spacing w:line="360" w:lineRule="auto"/>
        <w:jc w:val="both"/>
        <w:rPr>
          <w:sz w:val="21"/>
          <w:szCs w:val="21"/>
        </w:rPr>
      </w:pPr>
    </w:p>
    <w:p w14:paraId="7DBF12C2">
      <w:pPr>
        <w:rPr>
          <w:rFonts w:hAnsi="仿宋" w:eastAsia="仿宋"/>
          <w:sz w:val="30"/>
          <w:szCs w:val="30"/>
        </w:rPr>
      </w:pPr>
      <w:r>
        <w:rPr>
          <w:rFonts w:hAnsi="仿宋" w:eastAsia="仿宋"/>
          <w:sz w:val="30"/>
          <w:szCs w:val="30"/>
        </w:rPr>
        <w:br w:type="page"/>
      </w: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5"/>
        <w:spacing w:line="360" w:lineRule="auto"/>
        <w:jc w:val="both"/>
        <w:rPr>
          <w:sz w:val="21"/>
          <w:szCs w:val="21"/>
        </w:rPr>
      </w:pPr>
    </w:p>
    <w:p w14:paraId="75BD35E8">
      <w:pPr>
        <w:pStyle w:val="35"/>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rPr>
          <w:rFonts w:hAnsi="仿宋" w:eastAsia="仿宋"/>
          <w:sz w:val="30"/>
          <w:szCs w:val="30"/>
        </w:rPr>
      </w:pPr>
      <w:r>
        <w:rPr>
          <w:rFonts w:hAnsi="仿宋" w:eastAsia="仿宋"/>
          <w:sz w:val="30"/>
          <w:szCs w:val="30"/>
        </w:rPr>
        <w:br w:type="page"/>
      </w:r>
    </w:p>
    <w:p w14:paraId="60701991">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6E9B23CC">
      <w:pPr>
        <w:rPr>
          <w:rFonts w:hint="eastAsia"/>
        </w:rPr>
      </w:pPr>
      <w:r>
        <w:rPr>
          <w:szCs w:val="22"/>
        </w:rPr>
        <w:br w:type="page"/>
      </w:r>
      <w:bookmarkStart w:id="12" w:name="_Toc186548466"/>
    </w:p>
    <w:p w14:paraId="08E5B4EC">
      <w:pPr>
        <w:pStyle w:val="15"/>
      </w:pPr>
      <w:r>
        <w:rPr>
          <w:rFonts w:hint="eastAsia"/>
        </w:rPr>
        <w:t>第四章</w:t>
      </w:r>
      <w:r>
        <w:rPr>
          <w:rFonts w:hint="eastAsia"/>
        </w:rPr>
        <w:tab/>
      </w:r>
      <w:r>
        <w:rPr>
          <w:rFonts w:hint="eastAsia"/>
        </w:rPr>
        <w:t>合同主要条款</w:t>
      </w:r>
      <w:bookmarkEnd w:id="12"/>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7"/>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7"/>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5"/>
        <w:spacing w:line="360" w:lineRule="auto"/>
        <w:jc w:val="both"/>
        <w:rPr>
          <w:rFonts w:hAnsi="宋体"/>
          <w:sz w:val="21"/>
          <w:szCs w:val="21"/>
        </w:rPr>
      </w:pPr>
    </w:p>
    <w:p w14:paraId="117939A4">
      <w:pPr>
        <w:pStyle w:val="35"/>
        <w:spacing w:line="360" w:lineRule="auto"/>
        <w:jc w:val="both"/>
        <w:rPr>
          <w:rFonts w:hAnsi="宋体"/>
          <w:sz w:val="21"/>
          <w:szCs w:val="21"/>
        </w:rPr>
      </w:pPr>
    </w:p>
    <w:p w14:paraId="748391C5">
      <w:pPr>
        <w:pStyle w:val="35"/>
        <w:spacing w:line="360" w:lineRule="auto"/>
        <w:jc w:val="both"/>
        <w:rPr>
          <w:rFonts w:hAnsi="宋体"/>
          <w:sz w:val="21"/>
          <w:szCs w:val="21"/>
        </w:rPr>
      </w:pPr>
    </w:p>
    <w:p w14:paraId="74DEF6C3">
      <w:pPr>
        <w:pStyle w:val="35"/>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0"/>
      <w:jc w:val="center"/>
    </w:pPr>
  </w:p>
  <w:p w14:paraId="2D49BDB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0"/>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2F24A"/>
    <w:multiLevelType w:val="singleLevel"/>
    <w:tmpl w:val="A0B2F24A"/>
    <w:lvl w:ilvl="0" w:tentative="0">
      <w:start w:val="1"/>
      <w:numFmt w:val="decimal"/>
      <w:lvlText w:val="%1."/>
      <w:lvlJc w:val="left"/>
      <w:pPr>
        <w:ind w:left="425" w:hanging="425"/>
      </w:pPr>
      <w:rPr>
        <w:rFonts w:hint="default"/>
      </w:rPr>
    </w:lvl>
  </w:abstractNum>
  <w:abstractNum w:abstractNumId="1">
    <w:nsid w:val="083F5C9B"/>
    <w:multiLevelType w:val="singleLevel"/>
    <w:tmpl w:val="083F5C9B"/>
    <w:lvl w:ilvl="0" w:tentative="0">
      <w:start w:val="1"/>
      <w:numFmt w:val="decimal"/>
      <w:lvlText w:val="%1."/>
      <w:lvlJc w:val="left"/>
      <w:pPr>
        <w:ind w:left="425" w:hanging="425"/>
      </w:pPr>
      <w:rPr>
        <w:rFonts w:hint="default"/>
      </w:rPr>
    </w:lvl>
  </w:abstractNum>
  <w:abstractNum w:abstractNumId="2">
    <w:nsid w:val="0C362FFE"/>
    <w:multiLevelType w:val="singleLevel"/>
    <w:tmpl w:val="0C362FFE"/>
    <w:lvl w:ilvl="0" w:tentative="0">
      <w:start w:val="1"/>
      <w:numFmt w:val="decimal"/>
      <w:lvlText w:val="%1."/>
      <w:lvlJc w:val="left"/>
      <w:pPr>
        <w:ind w:left="425" w:hanging="425"/>
      </w:pPr>
      <w:rPr>
        <w:rFonts w:hint="default"/>
      </w:rPr>
    </w:lvl>
  </w:abstractNum>
  <w:abstractNum w:abstractNumId="3">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AE2F6F"/>
    <w:multiLevelType w:val="multilevel"/>
    <w:tmpl w:val="17AE2F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D2660D"/>
    <w:multiLevelType w:val="singleLevel"/>
    <w:tmpl w:val="21D2660D"/>
    <w:lvl w:ilvl="0" w:tentative="0">
      <w:start w:val="1"/>
      <w:numFmt w:val="decimal"/>
      <w:lvlText w:val="(%1)"/>
      <w:lvlJc w:val="left"/>
      <w:pPr>
        <w:ind w:left="425" w:hanging="425"/>
      </w:pPr>
      <w:rPr>
        <w:rFonts w:hint="default"/>
      </w:rPr>
    </w:lvl>
  </w:abstractNum>
  <w:abstractNum w:abstractNumId="6">
    <w:nsid w:val="254DB84F"/>
    <w:multiLevelType w:val="singleLevel"/>
    <w:tmpl w:val="254DB84F"/>
    <w:lvl w:ilvl="0" w:tentative="0">
      <w:start w:val="1"/>
      <w:numFmt w:val="decimal"/>
      <w:lvlText w:val="%1."/>
      <w:lvlJc w:val="left"/>
      <w:pPr>
        <w:ind w:left="425" w:hanging="425"/>
      </w:pPr>
      <w:rPr>
        <w:rFonts w:hint="default"/>
      </w:rPr>
    </w:lvl>
  </w:abstractNum>
  <w:abstractNum w:abstractNumId="7">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CB42E1"/>
    <w:multiLevelType w:val="multilevel"/>
    <w:tmpl w:val="3ACB42E1"/>
    <w:lvl w:ilvl="0" w:tentative="0">
      <w:start w:val="1"/>
      <w:numFmt w:val="decimal"/>
      <w:lvlText w:val="%1"/>
      <w:lvlJc w:val="left"/>
      <w:pPr>
        <w:ind w:left="420" w:hanging="420"/>
      </w:pPr>
      <w:rPr>
        <w:rFonts w:hint="eastAsia" w:cs="Times New Roman"/>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0"/>
  </w:num>
  <w:num w:numId="3">
    <w:abstractNumId w:val="3"/>
  </w:num>
  <w:num w:numId="4">
    <w:abstractNumId w:val="4"/>
  </w:num>
  <w:num w:numId="5">
    <w:abstractNumId w:val="8"/>
  </w:num>
  <w:num w:numId="6">
    <w:abstractNumId w:val="7"/>
  </w:num>
  <w:num w:numId="7">
    <w:abstractNumId w:val="1"/>
  </w:num>
  <w:num w:numId="8">
    <w:abstractNumId w:val="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4154B1B"/>
    <w:rsid w:val="042E69E2"/>
    <w:rsid w:val="04582D83"/>
    <w:rsid w:val="053C0C8A"/>
    <w:rsid w:val="05FF0420"/>
    <w:rsid w:val="06376942"/>
    <w:rsid w:val="078A03D3"/>
    <w:rsid w:val="079815C8"/>
    <w:rsid w:val="090D306A"/>
    <w:rsid w:val="092071F7"/>
    <w:rsid w:val="098A2D84"/>
    <w:rsid w:val="09B060FC"/>
    <w:rsid w:val="0ADA132B"/>
    <w:rsid w:val="0B994E16"/>
    <w:rsid w:val="0BE70350"/>
    <w:rsid w:val="0C724374"/>
    <w:rsid w:val="0CB101B0"/>
    <w:rsid w:val="0CEA547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8444CAB"/>
    <w:rsid w:val="18DE45A6"/>
    <w:rsid w:val="19435583"/>
    <w:rsid w:val="19771B7E"/>
    <w:rsid w:val="1AE06FED"/>
    <w:rsid w:val="1BD866B3"/>
    <w:rsid w:val="1CA0088A"/>
    <w:rsid w:val="1CA478C2"/>
    <w:rsid w:val="1DBF0627"/>
    <w:rsid w:val="1DC32EB5"/>
    <w:rsid w:val="1DCD2970"/>
    <w:rsid w:val="1EB61656"/>
    <w:rsid w:val="1FE04BDC"/>
    <w:rsid w:val="204A184E"/>
    <w:rsid w:val="205904EB"/>
    <w:rsid w:val="205D447F"/>
    <w:rsid w:val="20971013"/>
    <w:rsid w:val="21A61FC4"/>
    <w:rsid w:val="220A4192"/>
    <w:rsid w:val="22AC349C"/>
    <w:rsid w:val="22B91715"/>
    <w:rsid w:val="24997A50"/>
    <w:rsid w:val="24A3442A"/>
    <w:rsid w:val="24D6105D"/>
    <w:rsid w:val="24E567F1"/>
    <w:rsid w:val="263A33A2"/>
    <w:rsid w:val="264F486A"/>
    <w:rsid w:val="27BA3F65"/>
    <w:rsid w:val="281573ED"/>
    <w:rsid w:val="288D1B1B"/>
    <w:rsid w:val="29505072"/>
    <w:rsid w:val="29B42C36"/>
    <w:rsid w:val="2A816FBC"/>
    <w:rsid w:val="2AA05E26"/>
    <w:rsid w:val="2B350611"/>
    <w:rsid w:val="2B836D64"/>
    <w:rsid w:val="2BC96E6C"/>
    <w:rsid w:val="2D340315"/>
    <w:rsid w:val="2E1A39AF"/>
    <w:rsid w:val="2E304F81"/>
    <w:rsid w:val="2E374561"/>
    <w:rsid w:val="304070FC"/>
    <w:rsid w:val="30890978"/>
    <w:rsid w:val="31C527C3"/>
    <w:rsid w:val="32777E7D"/>
    <w:rsid w:val="33453773"/>
    <w:rsid w:val="33DD1D36"/>
    <w:rsid w:val="33F702EF"/>
    <w:rsid w:val="34170D13"/>
    <w:rsid w:val="35C85566"/>
    <w:rsid w:val="369E2CA4"/>
    <w:rsid w:val="37394099"/>
    <w:rsid w:val="382E5B98"/>
    <w:rsid w:val="38547ABE"/>
    <w:rsid w:val="38D1110E"/>
    <w:rsid w:val="38D806EF"/>
    <w:rsid w:val="3A306308"/>
    <w:rsid w:val="3A6B1889"/>
    <w:rsid w:val="3A8066BC"/>
    <w:rsid w:val="3B9F1750"/>
    <w:rsid w:val="3BE64ED1"/>
    <w:rsid w:val="3C3C79E8"/>
    <w:rsid w:val="3CC14813"/>
    <w:rsid w:val="3DD1766F"/>
    <w:rsid w:val="3EB05C6A"/>
    <w:rsid w:val="3F00274D"/>
    <w:rsid w:val="3F5039A5"/>
    <w:rsid w:val="3F5E7474"/>
    <w:rsid w:val="3FD17C46"/>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9C6D8B"/>
    <w:rsid w:val="47CC2624"/>
    <w:rsid w:val="48AB372A"/>
    <w:rsid w:val="48CB3DCC"/>
    <w:rsid w:val="48D569F9"/>
    <w:rsid w:val="498D1081"/>
    <w:rsid w:val="49AA35CE"/>
    <w:rsid w:val="4A5611F5"/>
    <w:rsid w:val="4C8B180D"/>
    <w:rsid w:val="4CA037FA"/>
    <w:rsid w:val="4D113D78"/>
    <w:rsid w:val="4D73058E"/>
    <w:rsid w:val="4D7F33D7"/>
    <w:rsid w:val="504D156B"/>
    <w:rsid w:val="5085694D"/>
    <w:rsid w:val="509D0B67"/>
    <w:rsid w:val="50DE21C3"/>
    <w:rsid w:val="50E33C7D"/>
    <w:rsid w:val="51172D37"/>
    <w:rsid w:val="51644DBE"/>
    <w:rsid w:val="51D830B6"/>
    <w:rsid w:val="52685679"/>
    <w:rsid w:val="52A42F98"/>
    <w:rsid w:val="52B475CD"/>
    <w:rsid w:val="542B1BC3"/>
    <w:rsid w:val="54B020C8"/>
    <w:rsid w:val="55C25CCE"/>
    <w:rsid w:val="55E262B1"/>
    <w:rsid w:val="568B3E88"/>
    <w:rsid w:val="579B178C"/>
    <w:rsid w:val="596A6026"/>
    <w:rsid w:val="599364B0"/>
    <w:rsid w:val="5A492DA3"/>
    <w:rsid w:val="5A6645C8"/>
    <w:rsid w:val="5B912A21"/>
    <w:rsid w:val="5D891708"/>
    <w:rsid w:val="5E190CDE"/>
    <w:rsid w:val="5E7B5E08"/>
    <w:rsid w:val="5E7D74BF"/>
    <w:rsid w:val="5EC724E8"/>
    <w:rsid w:val="5F543E6A"/>
    <w:rsid w:val="5FE1582B"/>
    <w:rsid w:val="5FE62E42"/>
    <w:rsid w:val="5FF34165"/>
    <w:rsid w:val="60996056"/>
    <w:rsid w:val="61C176C2"/>
    <w:rsid w:val="61DD1805"/>
    <w:rsid w:val="6280132C"/>
    <w:rsid w:val="631A5FB8"/>
    <w:rsid w:val="63400343"/>
    <w:rsid w:val="65794AEE"/>
    <w:rsid w:val="65817895"/>
    <w:rsid w:val="65FC33BF"/>
    <w:rsid w:val="66096397"/>
    <w:rsid w:val="66AD46B9"/>
    <w:rsid w:val="67980EC5"/>
    <w:rsid w:val="680D2FC5"/>
    <w:rsid w:val="684A7AF5"/>
    <w:rsid w:val="69D95C63"/>
    <w:rsid w:val="69E2467A"/>
    <w:rsid w:val="6AB9187F"/>
    <w:rsid w:val="6B737C7F"/>
    <w:rsid w:val="6C1256EA"/>
    <w:rsid w:val="6C134FBF"/>
    <w:rsid w:val="6C714D90"/>
    <w:rsid w:val="6C8934D3"/>
    <w:rsid w:val="6DD703B2"/>
    <w:rsid w:val="6EFE3D04"/>
    <w:rsid w:val="6F776FE8"/>
    <w:rsid w:val="709938DD"/>
    <w:rsid w:val="714F6A99"/>
    <w:rsid w:val="7185070D"/>
    <w:rsid w:val="724F1D63"/>
    <w:rsid w:val="73B01345"/>
    <w:rsid w:val="73B726D3"/>
    <w:rsid w:val="74D379E1"/>
    <w:rsid w:val="753005FB"/>
    <w:rsid w:val="75410DEE"/>
    <w:rsid w:val="76807428"/>
    <w:rsid w:val="76C25A93"/>
    <w:rsid w:val="76EC08E6"/>
    <w:rsid w:val="77AD62C7"/>
    <w:rsid w:val="795B332D"/>
    <w:rsid w:val="7AAD4830"/>
    <w:rsid w:val="7AD41AC7"/>
    <w:rsid w:val="7B486307"/>
    <w:rsid w:val="7C31689A"/>
    <w:rsid w:val="7C460A98"/>
    <w:rsid w:val="7C8F069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5">
    <w:name w:val="annotation text"/>
    <w:basedOn w:val="1"/>
    <w:link w:val="46"/>
    <w:semiHidden/>
    <w:unhideWhenUsed/>
    <w:qFormat/>
    <w:uiPriority w:val="0"/>
    <w:pPr>
      <w:jc w:val="left"/>
    </w:pPr>
  </w:style>
  <w:style w:type="paragraph" w:styleId="6">
    <w:name w:val="Body Text"/>
    <w:basedOn w:val="1"/>
    <w:link w:val="37"/>
    <w:qFormat/>
    <w:uiPriority w:val="0"/>
    <w:pPr>
      <w:widowControl/>
      <w:jc w:val="left"/>
    </w:pPr>
    <w:rPr>
      <w:rFonts w:eastAsia="PMingLiU"/>
      <w:kern w:val="0"/>
      <w:sz w:val="24"/>
      <w:szCs w:val="20"/>
      <w:lang w:eastAsia="en-US"/>
    </w:rPr>
  </w:style>
  <w:style w:type="paragraph" w:styleId="7">
    <w:name w:val="Body Text Indent"/>
    <w:basedOn w:val="1"/>
    <w:link w:val="36"/>
    <w:qFormat/>
    <w:uiPriority w:val="0"/>
    <w:pPr>
      <w:widowControl/>
      <w:ind w:left="-270" w:firstLine="270"/>
      <w:jc w:val="left"/>
    </w:pPr>
    <w:rPr>
      <w:rFonts w:eastAsia="PMingLiU"/>
      <w:kern w:val="0"/>
      <w:sz w:val="24"/>
      <w:szCs w:val="20"/>
      <w:lang w:val="en-GB" w:eastAsia="en-US"/>
    </w:rPr>
  </w:style>
  <w:style w:type="paragraph" w:styleId="8">
    <w:name w:val="Plain Text"/>
    <w:basedOn w:val="1"/>
    <w:link w:val="34"/>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next w:val="1"/>
    <w:link w:val="52"/>
    <w:qFormat/>
    <w:uiPriority w:val="0"/>
    <w:pPr>
      <w:spacing w:before="240" w:after="60"/>
      <w:jc w:val="center"/>
      <w:outlineLvl w:val="0"/>
    </w:pPr>
    <w:rPr>
      <w:rFonts w:asciiTheme="majorHAnsi" w:hAnsiTheme="majorHAnsi" w:cstheme="majorBidi"/>
      <w:b/>
      <w:bCs/>
      <w:sz w:val="32"/>
      <w:szCs w:val="32"/>
    </w:rPr>
  </w:style>
  <w:style w:type="paragraph" w:styleId="16">
    <w:name w:val="annotation subject"/>
    <w:basedOn w:val="5"/>
    <w:next w:val="5"/>
    <w:link w:val="47"/>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Emphasis"/>
    <w:qFormat/>
    <w:uiPriority w:val="20"/>
    <w:rPr>
      <w:color w:val="DD4B39"/>
    </w:rPr>
  </w:style>
  <w:style w:type="character" w:styleId="22">
    <w:name w:val="Hyperlink"/>
    <w:qFormat/>
    <w:uiPriority w:val="99"/>
    <w:rPr>
      <w:color w:val="0000FF"/>
      <w:u w:val="single"/>
    </w:rPr>
  </w:style>
  <w:style w:type="character" w:styleId="23">
    <w:name w:val="annotation reference"/>
    <w:basedOn w:val="19"/>
    <w:semiHidden/>
    <w:unhideWhenUsed/>
    <w:qFormat/>
    <w:uiPriority w:val="0"/>
    <w:rPr>
      <w:sz w:val="21"/>
      <w:szCs w:val="21"/>
    </w:rPr>
  </w:style>
  <w:style w:type="paragraph" w:customStyle="1" w:styleId="24">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5">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6">
    <w:name w:val="页眉 Char"/>
    <w:link w:val="11"/>
    <w:qFormat/>
    <w:uiPriority w:val="0"/>
    <w:rPr>
      <w:kern w:val="2"/>
      <w:sz w:val="18"/>
      <w:szCs w:val="18"/>
    </w:rPr>
  </w:style>
  <w:style w:type="character" w:customStyle="1" w:styleId="27">
    <w:name w:val="页脚 Char"/>
    <w:link w:val="10"/>
    <w:qFormat/>
    <w:uiPriority w:val="99"/>
    <w:rPr>
      <w:kern w:val="2"/>
      <w:sz w:val="18"/>
      <w:szCs w:val="18"/>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Char"/>
    <w:basedOn w:val="1"/>
    <w:qFormat/>
    <w:uiPriority w:val="0"/>
    <w:pPr>
      <w:spacing w:line="360" w:lineRule="auto"/>
      <w:ind w:firstLine="200" w:firstLineChars="200"/>
    </w:pPr>
    <w:rPr>
      <w:rFonts w:ascii="宋体" w:hAnsi="宋体" w:cs="宋体"/>
      <w:sz w:val="24"/>
    </w:rPr>
  </w:style>
  <w:style w:type="paragraph" w:customStyle="1" w:styleId="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style-span"/>
    <w:basedOn w:val="19"/>
    <w:qFormat/>
    <w:uiPriority w:val="0"/>
  </w:style>
  <w:style w:type="paragraph" w:customStyle="1" w:styleId="32">
    <w:name w:val="列出段落1"/>
    <w:basedOn w:val="1"/>
    <w:qFormat/>
    <w:uiPriority w:val="0"/>
    <w:pPr>
      <w:ind w:firstLine="420" w:firstLineChars="200"/>
    </w:pPr>
  </w:style>
  <w:style w:type="character" w:customStyle="1" w:styleId="33">
    <w:name w:val="bumpedfont20"/>
    <w:basedOn w:val="19"/>
    <w:qFormat/>
    <w:uiPriority w:val="0"/>
  </w:style>
  <w:style w:type="character" w:customStyle="1" w:styleId="34">
    <w:name w:val="纯文本 Char"/>
    <w:link w:val="8"/>
    <w:qFormat/>
    <w:uiPriority w:val="0"/>
    <w:rPr>
      <w:rFonts w:ascii="宋体" w:hAnsi="Courier New"/>
      <w:kern w:val="2"/>
      <w:sz w:val="21"/>
    </w:rPr>
  </w:style>
  <w:style w:type="paragraph" w:styleId="35">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6">
    <w:name w:val="正文文本缩进 Char"/>
    <w:link w:val="7"/>
    <w:qFormat/>
    <w:uiPriority w:val="0"/>
    <w:rPr>
      <w:rFonts w:eastAsia="PMingLiU"/>
      <w:sz w:val="24"/>
      <w:lang w:val="en-GB" w:eastAsia="en-US"/>
    </w:rPr>
  </w:style>
  <w:style w:type="character" w:customStyle="1" w:styleId="37">
    <w:name w:val="正文文本 Char"/>
    <w:link w:val="6"/>
    <w:qFormat/>
    <w:uiPriority w:val="0"/>
    <w:rPr>
      <w:rFonts w:eastAsia="PMingLiU"/>
      <w:sz w:val="24"/>
      <w:lang w:eastAsia="en-US"/>
    </w:rPr>
  </w:style>
  <w:style w:type="character" w:customStyle="1" w:styleId="38">
    <w:name w:val="short_text"/>
    <w:qFormat/>
    <w:uiPriority w:val="0"/>
  </w:style>
  <w:style w:type="character" w:customStyle="1" w:styleId="39">
    <w:name w:val="st1"/>
    <w:qFormat/>
    <w:uiPriority w:val="0"/>
  </w:style>
  <w:style w:type="character" w:customStyle="1" w:styleId="40">
    <w:name w:val="apple-converted-space"/>
    <w:basedOn w:val="19"/>
    <w:qFormat/>
    <w:uiPriority w:val="99"/>
  </w:style>
  <w:style w:type="paragraph" w:customStyle="1" w:styleId="41">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2">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_Style 2"/>
    <w:basedOn w:val="1"/>
    <w:qFormat/>
    <w:uiPriority w:val="34"/>
    <w:pPr>
      <w:ind w:firstLine="420" w:firstLineChars="200"/>
    </w:pPr>
  </w:style>
  <w:style w:type="character" w:customStyle="1" w:styleId="44">
    <w:name w:val="标题 1 Char"/>
    <w:basedOn w:val="19"/>
    <w:link w:val="2"/>
    <w:qFormat/>
    <w:uiPriority w:val="9"/>
    <w:rPr>
      <w:rFonts w:asciiTheme="minorHAnsi" w:hAnsiTheme="minorHAnsi" w:eastAsiaTheme="minorEastAsia" w:cstheme="minorBidi"/>
      <w:b/>
      <w:bCs/>
      <w:kern w:val="44"/>
      <w:sz w:val="44"/>
      <w:szCs w:val="44"/>
    </w:rPr>
  </w:style>
  <w:style w:type="paragraph" w:customStyle="1" w:styleId="45">
    <w:name w:val="列出段落2"/>
    <w:basedOn w:val="1"/>
    <w:qFormat/>
    <w:uiPriority w:val="0"/>
    <w:pPr>
      <w:ind w:firstLine="420" w:firstLineChars="200"/>
    </w:pPr>
    <w:rPr>
      <w:rFonts w:ascii="Calibri" w:hAnsi="Calibri"/>
      <w:szCs w:val="22"/>
    </w:rPr>
  </w:style>
  <w:style w:type="character" w:customStyle="1" w:styleId="46">
    <w:name w:val="批注文字 Char"/>
    <w:basedOn w:val="19"/>
    <w:link w:val="5"/>
    <w:semiHidden/>
    <w:qFormat/>
    <w:uiPriority w:val="0"/>
    <w:rPr>
      <w:kern w:val="2"/>
      <w:sz w:val="21"/>
      <w:szCs w:val="24"/>
    </w:rPr>
  </w:style>
  <w:style w:type="character" w:customStyle="1" w:styleId="47">
    <w:name w:val="批注主题 Char"/>
    <w:basedOn w:val="46"/>
    <w:link w:val="16"/>
    <w:semiHidden/>
    <w:qFormat/>
    <w:uiPriority w:val="0"/>
    <w:rPr>
      <w:b/>
      <w:bCs/>
      <w:kern w:val="2"/>
      <w:sz w:val="21"/>
      <w:szCs w:val="24"/>
    </w:rPr>
  </w:style>
  <w:style w:type="table" w:customStyle="1" w:styleId="48">
    <w:name w:val="网格型2"/>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2">
    <w:name w:val="标题 Char"/>
    <w:basedOn w:val="19"/>
    <w:link w:val="15"/>
    <w:qFormat/>
    <w:uiPriority w:val="0"/>
    <w:rPr>
      <w:rFonts w:asciiTheme="majorHAnsi" w:hAnsiTheme="majorHAnsi" w:cstheme="majorBidi"/>
      <w:b/>
      <w:bCs/>
      <w:kern w:val="2"/>
      <w:sz w:val="32"/>
      <w:szCs w:val="32"/>
    </w:rPr>
  </w:style>
  <w:style w:type="paragraph" w:customStyle="1" w:styleId="53">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4">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5">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5470</Words>
  <Characters>5711</Characters>
  <Lines>56</Lines>
  <Paragraphs>16</Paragraphs>
  <TotalTime>1</TotalTime>
  <ScaleCrop>false</ScaleCrop>
  <LinksUpToDate>false</LinksUpToDate>
  <CharactersWithSpaces>6298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2025-11-26T06:54:47Z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180E91D3EE534F7FA70D00B6E331FF80_13</vt:lpwstr>
  </property>
  <property fmtid="{D5CDD505-2E9C-101B-9397-08002B2CF9AE}" pid="4" name="KSOTemplateDocerSaveRecord">
    <vt:lpwstr>eyJoZGlkIjoiODlkNTFjZWZjNjlhMGEzMjAxNTIyNzhmODM3Y2YyNjYiLCJ1c2VySWQiOiI0MTQ2MjQ3NjQifQ==</vt:lpwstr>
  </property>
</Properties>
</file>