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604AC7">
      <w:pPr>
        <w:pStyle w:val="51"/>
        <w:widowControl w:val="0"/>
        <w:snapToGrid w:val="0"/>
        <w:spacing w:line="360" w:lineRule="auto"/>
        <w:ind w:firstLine="418" w:firstLineChars="52"/>
        <w:jc w:val="center"/>
        <w:rPr>
          <w:rFonts w:ascii="宋体" w:hAnsi="宋体"/>
          <w:color w:val="auto"/>
          <w:sz w:val="80"/>
          <w:szCs w:val="80"/>
        </w:rPr>
      </w:pPr>
    </w:p>
    <w:p w14:paraId="24B3ABE8">
      <w:pPr>
        <w:pStyle w:val="51"/>
        <w:widowControl w:val="0"/>
        <w:snapToGrid w:val="0"/>
        <w:spacing w:line="360" w:lineRule="auto"/>
        <w:ind w:firstLine="418" w:firstLineChars="52"/>
        <w:jc w:val="center"/>
        <w:rPr>
          <w:rFonts w:ascii="宋体" w:hAnsi="宋体"/>
          <w:color w:val="auto"/>
          <w:sz w:val="80"/>
          <w:szCs w:val="80"/>
        </w:rPr>
      </w:pPr>
    </w:p>
    <w:p w14:paraId="2EF008E7">
      <w:pPr>
        <w:pStyle w:val="51"/>
        <w:widowControl w:val="0"/>
        <w:snapToGrid w:val="0"/>
        <w:spacing w:line="360" w:lineRule="auto"/>
        <w:ind w:firstLine="418" w:firstLineChars="52"/>
        <w:jc w:val="center"/>
        <w:rPr>
          <w:rFonts w:ascii="宋体" w:hAnsi="宋体"/>
          <w:color w:val="auto"/>
          <w:sz w:val="80"/>
          <w:szCs w:val="80"/>
        </w:rPr>
      </w:pPr>
      <w:r>
        <w:rPr>
          <w:rFonts w:hint="eastAsia" w:ascii="宋体" w:hAnsi="宋体"/>
          <w:color w:val="auto"/>
          <w:sz w:val="80"/>
          <w:szCs w:val="80"/>
        </w:rPr>
        <w:t>院内采购文件</w:t>
      </w:r>
    </w:p>
    <w:p w14:paraId="1DB667C7">
      <w:pPr>
        <w:pStyle w:val="51"/>
        <w:widowControl w:val="0"/>
        <w:snapToGrid w:val="0"/>
        <w:spacing w:line="360" w:lineRule="auto"/>
        <w:ind w:firstLine="0"/>
        <w:jc w:val="center"/>
        <w:rPr>
          <w:bCs/>
          <w:color w:val="auto"/>
          <w:kern w:val="2"/>
          <w:sz w:val="32"/>
          <w:szCs w:val="32"/>
        </w:rPr>
      </w:pPr>
    </w:p>
    <w:p w14:paraId="0A0112AE">
      <w:pPr>
        <w:pStyle w:val="51"/>
        <w:widowControl w:val="0"/>
        <w:snapToGrid w:val="0"/>
        <w:spacing w:line="360" w:lineRule="auto"/>
        <w:ind w:firstLine="0"/>
        <w:jc w:val="center"/>
        <w:rPr>
          <w:bCs/>
          <w:color w:val="auto"/>
          <w:kern w:val="2"/>
          <w:sz w:val="32"/>
          <w:szCs w:val="32"/>
        </w:rPr>
      </w:pPr>
    </w:p>
    <w:p w14:paraId="3C66ED46">
      <w:pPr>
        <w:pStyle w:val="51"/>
        <w:widowControl w:val="0"/>
        <w:snapToGrid w:val="0"/>
        <w:spacing w:line="360" w:lineRule="auto"/>
        <w:ind w:firstLine="0"/>
        <w:jc w:val="center"/>
        <w:rPr>
          <w:bCs/>
          <w:color w:val="auto"/>
          <w:kern w:val="2"/>
          <w:sz w:val="32"/>
          <w:szCs w:val="32"/>
        </w:rPr>
      </w:pPr>
    </w:p>
    <w:p w14:paraId="6ED69C86">
      <w:pPr>
        <w:pStyle w:val="51"/>
        <w:widowControl w:val="0"/>
        <w:snapToGrid w:val="0"/>
        <w:spacing w:line="360" w:lineRule="auto"/>
        <w:ind w:firstLine="0"/>
        <w:jc w:val="center"/>
        <w:rPr>
          <w:bCs/>
          <w:color w:val="auto"/>
          <w:kern w:val="2"/>
          <w:sz w:val="32"/>
          <w:szCs w:val="32"/>
        </w:rPr>
      </w:pPr>
    </w:p>
    <w:p w14:paraId="56F992AA">
      <w:pPr>
        <w:pStyle w:val="51"/>
        <w:widowControl w:val="0"/>
        <w:snapToGrid w:val="0"/>
        <w:spacing w:line="360" w:lineRule="auto"/>
        <w:ind w:firstLine="0"/>
        <w:jc w:val="center"/>
        <w:rPr>
          <w:bCs/>
          <w:color w:val="auto"/>
          <w:kern w:val="2"/>
          <w:sz w:val="32"/>
          <w:szCs w:val="32"/>
        </w:rPr>
      </w:pPr>
    </w:p>
    <w:p w14:paraId="52805716">
      <w:pPr>
        <w:pStyle w:val="51"/>
        <w:widowControl w:val="0"/>
        <w:snapToGrid w:val="0"/>
        <w:spacing w:line="360" w:lineRule="auto"/>
        <w:ind w:firstLine="0"/>
        <w:jc w:val="center"/>
        <w:rPr>
          <w:rFonts w:hint="eastAsia"/>
          <w:bCs/>
          <w:color w:val="auto"/>
          <w:kern w:val="2"/>
          <w:sz w:val="32"/>
          <w:szCs w:val="32"/>
        </w:rPr>
      </w:pPr>
      <w:r>
        <w:rPr>
          <w:rFonts w:hint="eastAsia"/>
          <w:bCs/>
          <w:color w:val="auto"/>
          <w:kern w:val="2"/>
          <w:sz w:val="32"/>
          <w:szCs w:val="32"/>
        </w:rPr>
        <w:t>项目名称：临床决策支持和VTE管理系统维保服务</w:t>
      </w:r>
    </w:p>
    <w:p w14:paraId="1199E96B">
      <w:pPr>
        <w:spacing w:line="360" w:lineRule="auto"/>
        <w:jc w:val="center"/>
        <w:rPr>
          <w:rFonts w:hint="default" w:ascii="宋体" w:hAnsi="宋体" w:eastAsia="宋体"/>
          <w:b/>
          <w:sz w:val="32"/>
          <w:u w:val="single"/>
          <w:lang w:val="en-US" w:eastAsia="zh-CN"/>
        </w:rPr>
      </w:pPr>
      <w:r>
        <w:rPr>
          <w:b/>
          <w:bCs/>
          <w:sz w:val="32"/>
          <w:szCs w:val="32"/>
        </w:rPr>
        <w:t>项目编号：</w:t>
      </w:r>
      <w:r>
        <w:rPr>
          <w:rFonts w:hint="eastAsia"/>
          <w:b/>
          <w:bCs/>
          <w:sz w:val="32"/>
          <w:szCs w:val="32"/>
        </w:rPr>
        <w:t>CGZX-</w:t>
      </w:r>
      <w:r>
        <w:rPr>
          <w:rFonts w:hint="eastAsia"/>
          <w:b/>
          <w:bCs/>
          <w:sz w:val="32"/>
          <w:szCs w:val="32"/>
          <w:lang w:val="en-US" w:eastAsia="zh-CN"/>
        </w:rPr>
        <w:t>XXXM-</w:t>
      </w:r>
      <w:r>
        <w:rPr>
          <w:rFonts w:hint="eastAsia"/>
          <w:b/>
          <w:bCs/>
          <w:sz w:val="32"/>
          <w:szCs w:val="32"/>
          <w:lang w:eastAsia="zh-CN"/>
        </w:rPr>
        <w:t>2025</w:t>
      </w:r>
      <w:r>
        <w:rPr>
          <w:rFonts w:hint="eastAsia"/>
          <w:b/>
          <w:bCs/>
          <w:sz w:val="32"/>
          <w:szCs w:val="32"/>
          <w:lang w:val="en-US" w:eastAsia="zh-CN"/>
        </w:rPr>
        <w:t>1125-3</w:t>
      </w:r>
    </w:p>
    <w:p w14:paraId="1412DA38">
      <w:pPr>
        <w:pStyle w:val="51"/>
        <w:widowControl w:val="0"/>
        <w:snapToGrid w:val="0"/>
        <w:spacing w:line="360" w:lineRule="auto"/>
        <w:ind w:firstLine="0"/>
        <w:jc w:val="center"/>
        <w:rPr>
          <w:rFonts w:ascii="宋体" w:hAnsi="宋体"/>
          <w:color w:val="auto"/>
        </w:rPr>
      </w:pPr>
    </w:p>
    <w:p w14:paraId="441F63E6">
      <w:pPr>
        <w:pStyle w:val="51"/>
        <w:spacing w:line="360" w:lineRule="auto"/>
        <w:ind w:firstLine="0"/>
        <w:jc w:val="center"/>
        <w:rPr>
          <w:rFonts w:ascii="宋体" w:hAnsi="宋体"/>
          <w:color w:val="auto"/>
          <w:sz w:val="32"/>
          <w:szCs w:val="32"/>
        </w:rPr>
      </w:pPr>
    </w:p>
    <w:p w14:paraId="6FA27D39">
      <w:pPr>
        <w:pStyle w:val="51"/>
        <w:spacing w:line="360" w:lineRule="auto"/>
        <w:ind w:firstLine="0"/>
        <w:jc w:val="center"/>
        <w:rPr>
          <w:rFonts w:ascii="宋体" w:hAnsi="宋体"/>
          <w:color w:val="auto"/>
          <w:sz w:val="32"/>
          <w:szCs w:val="32"/>
        </w:rPr>
      </w:pPr>
    </w:p>
    <w:p w14:paraId="4116234B">
      <w:pPr>
        <w:pStyle w:val="51"/>
        <w:spacing w:line="360" w:lineRule="auto"/>
        <w:ind w:firstLine="0"/>
        <w:jc w:val="center"/>
        <w:rPr>
          <w:rFonts w:ascii="宋体" w:hAnsi="宋体"/>
          <w:color w:val="auto"/>
          <w:sz w:val="32"/>
          <w:szCs w:val="32"/>
        </w:rPr>
      </w:pPr>
    </w:p>
    <w:p w14:paraId="18D4F23F">
      <w:pPr>
        <w:pStyle w:val="51"/>
        <w:spacing w:line="360" w:lineRule="auto"/>
        <w:ind w:firstLine="0"/>
        <w:jc w:val="center"/>
        <w:rPr>
          <w:rFonts w:ascii="宋体" w:hAnsi="宋体"/>
          <w:color w:val="auto"/>
          <w:sz w:val="32"/>
          <w:szCs w:val="32"/>
        </w:rPr>
      </w:pPr>
    </w:p>
    <w:p w14:paraId="70867142">
      <w:pPr>
        <w:pStyle w:val="51"/>
        <w:spacing w:line="360" w:lineRule="auto"/>
        <w:ind w:firstLine="0"/>
        <w:jc w:val="center"/>
        <w:rPr>
          <w:rFonts w:ascii="宋体" w:hAnsi="宋体"/>
          <w:color w:val="auto"/>
          <w:sz w:val="32"/>
          <w:szCs w:val="32"/>
        </w:rPr>
      </w:pPr>
    </w:p>
    <w:p w14:paraId="2136BCF0">
      <w:pPr>
        <w:pStyle w:val="51"/>
        <w:spacing w:line="360" w:lineRule="auto"/>
        <w:ind w:firstLine="0"/>
        <w:jc w:val="center"/>
        <w:rPr>
          <w:rFonts w:ascii="宋体" w:hAnsi="宋体"/>
          <w:color w:val="auto"/>
          <w:sz w:val="32"/>
          <w:szCs w:val="32"/>
        </w:rPr>
      </w:pPr>
      <w:r>
        <w:rPr>
          <w:rFonts w:hint="eastAsia" w:ascii="宋体" w:hAnsi="宋体"/>
          <w:color w:val="auto"/>
          <w:sz w:val="32"/>
          <w:szCs w:val="32"/>
        </w:rPr>
        <w:t>采购单位：浙江大学医学院附属妇产科医院</w:t>
      </w:r>
    </w:p>
    <w:p w14:paraId="3BC9A6B7">
      <w:pPr>
        <w:pStyle w:val="51"/>
        <w:spacing w:line="360" w:lineRule="auto"/>
        <w:ind w:firstLine="0"/>
        <w:jc w:val="center"/>
        <w:rPr>
          <w:rFonts w:ascii="宋体" w:hAnsi="宋体"/>
          <w:sz w:val="32"/>
          <w:szCs w:val="32"/>
        </w:rPr>
      </w:pPr>
      <w:r>
        <w:rPr>
          <w:rFonts w:hint="eastAsia" w:ascii="宋体" w:hAnsi="宋体"/>
          <w:sz w:val="32"/>
          <w:szCs w:val="32"/>
        </w:rPr>
        <w:t>二〇二</w:t>
      </w:r>
      <w:r>
        <w:rPr>
          <w:rFonts w:hint="eastAsia" w:ascii="宋体" w:hAnsi="宋体"/>
          <w:sz w:val="32"/>
          <w:szCs w:val="32"/>
          <w:lang w:val="en-US" w:eastAsia="zh-CN"/>
        </w:rPr>
        <w:t>五</w:t>
      </w:r>
      <w:r>
        <w:rPr>
          <w:rFonts w:ascii="宋体" w:hAnsi="宋体"/>
          <w:sz w:val="32"/>
          <w:szCs w:val="32"/>
        </w:rPr>
        <w:t>年</w:t>
      </w:r>
      <w:r>
        <w:rPr>
          <w:rFonts w:hint="eastAsia" w:ascii="宋体" w:hAnsi="宋体"/>
          <w:sz w:val="32"/>
          <w:szCs w:val="32"/>
          <w:lang w:val="en-US" w:eastAsia="zh-CN"/>
        </w:rPr>
        <w:t>十一</w:t>
      </w:r>
      <w:r>
        <w:rPr>
          <w:rFonts w:ascii="宋体" w:hAnsi="宋体"/>
          <w:sz w:val="32"/>
          <w:szCs w:val="32"/>
        </w:rPr>
        <w:t>月</w:t>
      </w:r>
    </w:p>
    <w:p w14:paraId="5D794CAF">
      <w:pPr>
        <w:jc w:val="center"/>
        <w:rPr>
          <w:b/>
          <w:bCs/>
          <w:sz w:val="32"/>
        </w:rPr>
      </w:pPr>
    </w:p>
    <w:p w14:paraId="4FA743D3">
      <w:pPr>
        <w:widowControl/>
        <w:jc w:val="center"/>
        <w:rPr>
          <w:b/>
          <w:bCs/>
          <w:sz w:val="48"/>
          <w:szCs w:val="48"/>
        </w:rPr>
      </w:pPr>
      <w:r>
        <w:rPr>
          <w:rFonts w:hint="eastAsia"/>
          <w:b/>
          <w:bCs/>
          <w:sz w:val="48"/>
          <w:szCs w:val="48"/>
        </w:rPr>
        <w:t>目  录</w:t>
      </w:r>
    </w:p>
    <w:p w14:paraId="152168C6">
      <w:pPr>
        <w:jc w:val="center"/>
        <w:rPr>
          <w:b/>
          <w:bCs/>
          <w:sz w:val="32"/>
        </w:rPr>
      </w:pPr>
    </w:p>
    <w:sdt>
      <w:sdtPr>
        <w:rPr>
          <w:rFonts w:ascii="Times New Roman" w:hAnsi="Times New Roman" w:eastAsia="宋体" w:cs="Times New Roman"/>
          <w:color w:val="auto"/>
          <w:kern w:val="2"/>
          <w:sz w:val="21"/>
          <w:szCs w:val="24"/>
          <w:lang w:val="zh-CN"/>
        </w:rPr>
        <w:id w:val="1608002201"/>
        <w:docPartObj>
          <w:docPartGallery w:val="Table of Contents"/>
          <w:docPartUnique/>
        </w:docPartObj>
      </w:sdtPr>
      <w:sdtEndPr>
        <w:rPr>
          <w:rFonts w:cs="Times New Roman" w:asciiTheme="minorEastAsia" w:hAnsiTheme="minorEastAsia" w:eastAsiaTheme="minorEastAsia"/>
          <w:b/>
          <w:bCs/>
          <w:color w:val="auto"/>
          <w:kern w:val="2"/>
          <w:sz w:val="30"/>
          <w:szCs w:val="30"/>
          <w:lang w:val="zh-CN"/>
        </w:rPr>
      </w:sdtEndPr>
      <w:sdtContent>
        <w:p w14:paraId="79B180D2">
          <w:pPr>
            <w:pStyle w:val="52"/>
          </w:pPr>
        </w:p>
        <w:p w14:paraId="671F0060">
          <w:pPr>
            <w:pStyle w:val="13"/>
            <w:tabs>
              <w:tab w:val="right" w:leader="dot" w:pos="8296"/>
            </w:tabs>
            <w:rPr>
              <w:rFonts w:asciiTheme="minorEastAsia" w:hAnsiTheme="minorEastAsia" w:eastAsiaTheme="minorEastAsia" w:cstheme="minorBidi"/>
              <w:b/>
              <w:sz w:val="30"/>
              <w:szCs w:val="30"/>
            </w:rPr>
          </w:pP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TOC \o "1-3" \h \z \u </w:instrText>
          </w:r>
          <w:r>
            <w:rPr>
              <w:rFonts w:asciiTheme="minorEastAsia" w:hAnsiTheme="minorEastAsia" w:eastAsiaTheme="minorEastAsia"/>
              <w:b/>
              <w:sz w:val="30"/>
              <w:szCs w:val="30"/>
            </w:rPr>
            <w:fldChar w:fldCharType="separate"/>
          </w:r>
          <w:r>
            <w:fldChar w:fldCharType="begin"/>
          </w:r>
          <w:r>
            <w:instrText xml:space="preserve"> HYPERLINK \l "_Toc186548463" </w:instrText>
          </w:r>
          <w:r>
            <w:fldChar w:fldCharType="separate"/>
          </w:r>
          <w:r>
            <w:rPr>
              <w:rStyle w:val="23"/>
              <w:rFonts w:hint="eastAsia" w:asciiTheme="minorEastAsia" w:hAnsiTheme="minorEastAsia" w:eastAsiaTheme="minorEastAsia"/>
              <w:b/>
              <w:sz w:val="30"/>
              <w:szCs w:val="30"/>
            </w:rPr>
            <w:t>第一章</w:t>
          </w:r>
          <w:r>
            <w:rPr>
              <w:rStyle w:val="23"/>
              <w:rFonts w:asciiTheme="minorEastAsia" w:hAnsiTheme="minorEastAsia" w:eastAsiaTheme="minorEastAsia"/>
              <w:b/>
              <w:sz w:val="30"/>
              <w:szCs w:val="30"/>
            </w:rPr>
            <w:t xml:space="preserve"> </w:t>
          </w:r>
          <w:r>
            <w:rPr>
              <w:rStyle w:val="23"/>
              <w:rFonts w:hint="eastAsia" w:asciiTheme="minorEastAsia" w:hAnsiTheme="minorEastAsia" w:eastAsiaTheme="minorEastAsia"/>
              <w:b/>
              <w:sz w:val="30"/>
              <w:szCs w:val="30"/>
            </w:rPr>
            <w:t>采购公告</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_Toc186548463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0D7D4A92">
          <w:pPr>
            <w:pStyle w:val="13"/>
            <w:tabs>
              <w:tab w:val="right" w:leader="dot" w:pos="8296"/>
            </w:tabs>
            <w:rPr>
              <w:rFonts w:asciiTheme="minorEastAsia" w:hAnsiTheme="minorEastAsia" w:eastAsiaTheme="minorEastAsia" w:cstheme="minorBidi"/>
              <w:b/>
              <w:sz w:val="30"/>
              <w:szCs w:val="30"/>
            </w:rPr>
          </w:pPr>
          <w:r>
            <w:fldChar w:fldCharType="begin"/>
          </w:r>
          <w:r>
            <w:instrText xml:space="preserve"> HYPERLINK \l "_Toc186548464" </w:instrText>
          </w:r>
          <w:r>
            <w:fldChar w:fldCharType="separate"/>
          </w:r>
          <w:r>
            <w:rPr>
              <w:rStyle w:val="23"/>
              <w:rFonts w:hint="eastAsia" w:asciiTheme="minorEastAsia" w:hAnsiTheme="minorEastAsia" w:eastAsiaTheme="minorEastAsia"/>
              <w:b/>
              <w:sz w:val="30"/>
              <w:szCs w:val="30"/>
            </w:rPr>
            <w:t>第二章</w:t>
          </w:r>
          <w:r>
            <w:rPr>
              <w:rStyle w:val="23"/>
              <w:rFonts w:asciiTheme="minorEastAsia" w:hAnsiTheme="minorEastAsia" w:eastAsiaTheme="minorEastAsia"/>
              <w:b/>
              <w:sz w:val="30"/>
              <w:szCs w:val="30"/>
            </w:rPr>
            <w:t xml:space="preserve"> </w:t>
          </w:r>
          <w:r>
            <w:rPr>
              <w:rStyle w:val="23"/>
              <w:rFonts w:hint="eastAsia" w:asciiTheme="minorEastAsia" w:hAnsiTheme="minorEastAsia" w:eastAsiaTheme="minorEastAsia"/>
              <w:b/>
              <w:sz w:val="30"/>
              <w:szCs w:val="30"/>
            </w:rPr>
            <w:t>采购内容及需求</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_Toc186548464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70564CC5">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"_Toc186548465" </w:instrText>
          </w:r>
          <w:r>
            <w:fldChar w:fldCharType="separate"/>
          </w:r>
          <w:r>
            <w:rPr>
              <w:rStyle w:val="23"/>
              <w:rFonts w:hint="eastAsia" w:asciiTheme="minorEastAsia" w:hAnsiTheme="minorEastAsia" w:eastAsiaTheme="minorEastAsia"/>
              <w:b/>
              <w:sz w:val="30"/>
              <w:szCs w:val="30"/>
            </w:rPr>
            <w:t>第三章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响应文件格式</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_Toc186548465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- 6 -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5F1B60E9">
          <w:pPr>
            <w:pStyle w:val="13"/>
            <w:tabs>
              <w:tab w:val="left" w:pos="1050"/>
              <w:tab w:val="right" w:leader="dot" w:pos="8296"/>
            </w:tabs>
            <w:rPr>
              <w:rFonts w:asciiTheme="minorEastAsia" w:hAnsiTheme="minorEastAsia" w:eastAsiaTheme="minorEastAsia" w:cstheme="minorBidi"/>
              <w:b/>
              <w:sz w:val="30"/>
              <w:szCs w:val="30"/>
            </w:rPr>
          </w:pPr>
          <w:r>
            <w:fldChar w:fldCharType="begin"/>
          </w:r>
          <w:r>
            <w:instrText xml:space="preserve"> HYPERLINK \l "_Toc186548466" </w:instrText>
          </w:r>
          <w:r>
            <w:fldChar w:fldCharType="separate"/>
          </w:r>
          <w:r>
            <w:rPr>
              <w:rStyle w:val="23"/>
              <w:rFonts w:hint="eastAsia" w:asciiTheme="minorEastAsia" w:hAnsiTheme="minorEastAsia" w:eastAsiaTheme="minorEastAsia"/>
              <w:b/>
              <w:sz w:val="30"/>
              <w:szCs w:val="30"/>
            </w:rPr>
            <w:t>第四章</w:t>
          </w:r>
          <w:r>
            <w:rPr>
              <w:rFonts w:asciiTheme="minorEastAsia" w:hAnsiTheme="minorEastAsia" w:eastAsiaTheme="minorEastAsia" w:cstheme="minorBidi"/>
              <w:b/>
              <w:sz w:val="30"/>
              <w:szCs w:val="30"/>
            </w:rPr>
            <w:tab/>
          </w:r>
          <w:r>
            <w:rPr>
              <w:rStyle w:val="23"/>
              <w:rFonts w:hint="eastAsia" w:asciiTheme="minorEastAsia" w:hAnsiTheme="minorEastAsia" w:eastAsiaTheme="minorEastAsia"/>
              <w:b/>
              <w:sz w:val="30"/>
              <w:szCs w:val="30"/>
            </w:rPr>
            <w:t>合同主要条款</w:t>
          </w:r>
          <w:r>
            <w:rPr>
              <w:rFonts w:asciiTheme="minorEastAsia" w:hAnsiTheme="minorEastAsia" w:eastAsiaTheme="minorEastAsia"/>
              <w:b/>
              <w:sz w:val="30"/>
              <w:szCs w:val="30"/>
            </w:rPr>
            <w:tab/>
          </w:r>
          <w:r>
            <w:rPr>
              <w:rFonts w:asciiTheme="minorEastAsia" w:hAnsiTheme="minorEastAsia" w:eastAsiaTheme="minorEastAsia"/>
              <w:b/>
              <w:sz w:val="30"/>
              <w:szCs w:val="30"/>
            </w:rPr>
            <w:fldChar w:fldCharType="begin"/>
          </w:r>
          <w:r>
            <w:rPr>
              <w:rFonts w:asciiTheme="minorEastAsia" w:hAnsiTheme="minorEastAsia" w:eastAsiaTheme="minorEastAsia"/>
              <w:b/>
              <w:sz w:val="30"/>
              <w:szCs w:val="30"/>
            </w:rPr>
            <w:instrText xml:space="preserve"> PAGEREF _Toc186548466 \h </w:instrText>
          </w:r>
          <w:r>
            <w:rPr>
              <w:rFonts w:asciiTheme="minorEastAsia" w:hAnsiTheme="minorEastAsia" w:eastAsiaTheme="minorEastAsia"/>
              <w:b/>
              <w:sz w:val="30"/>
              <w:szCs w:val="30"/>
            </w:rPr>
            <w:fldChar w:fldCharType="separate"/>
          </w:r>
          <w:r>
            <w:rPr>
              <w:rFonts w:asciiTheme="minorEastAsia" w:hAnsiTheme="minorEastAsia" w:eastAsiaTheme="minorEastAsia"/>
              <w:b/>
              <w:sz w:val="30"/>
              <w:szCs w:val="30"/>
            </w:rPr>
            <w:t>- 12 -</w:t>
          </w:r>
          <w:r>
            <w:rPr>
              <w:rFonts w:asciiTheme="minorEastAsia" w:hAnsiTheme="minorEastAsia" w:eastAsiaTheme="minorEastAsia"/>
              <w:b/>
              <w:sz w:val="30"/>
              <w:szCs w:val="30"/>
            </w:rPr>
            <w:fldChar w:fldCharType="end"/>
          </w:r>
          <w:r>
            <w:rPr>
              <w:rFonts w:asciiTheme="minorEastAsia" w:hAnsiTheme="minorEastAsia" w:eastAsiaTheme="minorEastAsia"/>
              <w:b/>
              <w:sz w:val="30"/>
              <w:szCs w:val="30"/>
            </w:rPr>
            <w:fldChar w:fldCharType="end"/>
          </w:r>
        </w:p>
        <w:p w14:paraId="1227AE79">
          <w:pPr>
            <w:rPr>
              <w:rFonts w:asciiTheme="minorEastAsia" w:hAnsiTheme="minorEastAsia" w:eastAsiaTheme="minorEastAsia"/>
              <w:b/>
              <w:sz w:val="30"/>
              <w:szCs w:val="30"/>
            </w:rPr>
          </w:pPr>
          <w:r>
            <w:rPr>
              <w:rFonts w:asciiTheme="minorEastAsia" w:hAnsiTheme="minorEastAsia" w:eastAsiaTheme="minorEastAsia"/>
              <w:b/>
              <w:bCs/>
              <w:sz w:val="30"/>
              <w:szCs w:val="30"/>
              <w:lang w:val="zh-CN"/>
            </w:rPr>
            <w:fldChar w:fldCharType="end"/>
          </w:r>
        </w:p>
      </w:sdtContent>
    </w:sdt>
    <w:p w14:paraId="0CAEF086">
      <w:pPr>
        <w:jc w:val="left"/>
        <w:rPr>
          <w:b/>
          <w:bCs/>
          <w:sz w:val="32"/>
        </w:rPr>
      </w:pPr>
    </w:p>
    <w:p w14:paraId="49818DBD">
      <w:pPr>
        <w:jc w:val="center"/>
        <w:rPr>
          <w:b/>
          <w:bCs/>
          <w:sz w:val="32"/>
        </w:rPr>
      </w:pPr>
    </w:p>
    <w:p w14:paraId="175805B1">
      <w:pPr>
        <w:widowControl/>
        <w:jc w:val="left"/>
        <w:rPr>
          <w:b/>
          <w:bCs/>
          <w:sz w:val="32"/>
        </w:rPr>
      </w:pPr>
      <w:r>
        <w:rPr>
          <w:b/>
          <w:bCs/>
          <w:sz w:val="32"/>
        </w:rPr>
        <w:br w:type="page"/>
      </w:r>
    </w:p>
    <w:p w14:paraId="6A35260C">
      <w:pPr>
        <w:pStyle w:val="16"/>
        <w:sectPr>
          <w:footerReference r:id="rId3" w:type="default"/>
          <w:pgSz w:w="11906" w:h="16838"/>
          <w:pgMar w:top="1440" w:right="1800" w:bottom="1440" w:left="1800" w:header="851" w:footer="992" w:gutter="0"/>
          <w:cols w:space="425" w:num="1"/>
          <w:docGrid w:type="lines" w:linePitch="312" w:charSpace="0"/>
        </w:sectPr>
      </w:pPr>
    </w:p>
    <w:p w14:paraId="5F3F6B66">
      <w:pPr>
        <w:pStyle w:val="16"/>
      </w:pPr>
      <w:bookmarkStart w:id="0" w:name="_Toc186548463"/>
      <w:r>
        <w:rPr>
          <w:rFonts w:hint="eastAsia"/>
        </w:rPr>
        <w:t xml:space="preserve">第一章 </w:t>
      </w:r>
      <w:r>
        <w:t>采购公告</w:t>
      </w:r>
      <w:bookmarkEnd w:id="0"/>
    </w:p>
    <w:p w14:paraId="586C993C">
      <w:pPr>
        <w:spacing w:line="360" w:lineRule="auto"/>
        <w:ind w:firstLine="482" w:firstLineChars="200"/>
        <w:rPr>
          <w:b/>
          <w:sz w:val="24"/>
        </w:rPr>
      </w:pPr>
    </w:p>
    <w:p w14:paraId="70FE9E87">
      <w:pPr>
        <w:spacing w:line="360" w:lineRule="auto"/>
        <w:jc w:val="center"/>
        <w:rPr>
          <w:b/>
          <w:sz w:val="24"/>
        </w:rPr>
      </w:pPr>
      <w:r>
        <w:rPr>
          <w:rFonts w:hint="eastAsia"/>
          <w:b/>
          <w:sz w:val="24"/>
        </w:rPr>
        <w:t>浙大</w:t>
      </w:r>
      <w:r>
        <w:rPr>
          <w:b/>
          <w:sz w:val="24"/>
        </w:rPr>
        <w:t>妇院</w:t>
      </w:r>
      <w:r>
        <w:rPr>
          <w:rFonts w:hint="eastAsia"/>
          <w:b/>
          <w:sz w:val="24"/>
        </w:rPr>
        <w:t>院内</w:t>
      </w:r>
      <w:r>
        <w:rPr>
          <w:b/>
          <w:sz w:val="24"/>
        </w:rPr>
        <w:t>采购公告（</w:t>
      </w:r>
      <w:r>
        <w:rPr>
          <w:rFonts w:hint="eastAsia"/>
          <w:b/>
          <w:sz w:val="24"/>
        </w:rPr>
        <w:t>项目编号：CGZX-</w:t>
      </w:r>
      <w:r>
        <w:rPr>
          <w:rFonts w:hint="eastAsia"/>
          <w:b/>
          <w:sz w:val="24"/>
          <w:lang w:val="en-US" w:eastAsia="zh-CN"/>
        </w:rPr>
        <w:t>XXXM-</w:t>
      </w:r>
      <w:r>
        <w:rPr>
          <w:rFonts w:hint="eastAsia"/>
          <w:b/>
          <w:sz w:val="24"/>
          <w:lang w:eastAsia="zh-CN"/>
        </w:rPr>
        <w:t>2025</w:t>
      </w:r>
      <w:r>
        <w:rPr>
          <w:rFonts w:hint="eastAsia"/>
          <w:b/>
          <w:sz w:val="24"/>
          <w:lang w:val="en-US" w:eastAsia="zh-CN"/>
        </w:rPr>
        <w:t>1125-3</w:t>
      </w:r>
      <w:r>
        <w:rPr>
          <w:rFonts w:hint="eastAsia"/>
          <w:b/>
          <w:sz w:val="24"/>
        </w:rPr>
        <w:t>）</w:t>
      </w:r>
    </w:p>
    <w:p w14:paraId="4574A9B2">
      <w:pPr>
        <w:spacing w:line="360" w:lineRule="auto"/>
        <w:ind w:firstLine="482" w:firstLineChars="200"/>
        <w:rPr>
          <w:b/>
          <w:sz w:val="24"/>
        </w:rPr>
      </w:pPr>
    </w:p>
    <w:p w14:paraId="60A52432">
      <w:pPr>
        <w:spacing w:line="360" w:lineRule="auto"/>
        <w:ind w:firstLine="480" w:firstLineChars="200"/>
        <w:rPr>
          <w:sz w:val="24"/>
        </w:rPr>
      </w:pPr>
      <w:r>
        <w:rPr>
          <w:sz w:val="24"/>
        </w:rPr>
        <w:t>根据国家及浙江省有关文件精神和医院有关政策，我们坚持公开、公平、公正和诚信的原则，欢迎满足要求的供应商前来参与本项目采购</w:t>
      </w:r>
      <w:r>
        <w:rPr>
          <w:rFonts w:hint="eastAsia"/>
          <w:sz w:val="24"/>
        </w:rPr>
        <w:t>（采购文件详见附件）</w:t>
      </w:r>
      <w:r>
        <w:rPr>
          <w:sz w:val="24"/>
        </w:rPr>
        <w:t>。</w:t>
      </w:r>
    </w:p>
    <w:p w14:paraId="7CDADACB">
      <w:pPr>
        <w:spacing w:line="360" w:lineRule="auto"/>
        <w:rPr>
          <w:sz w:val="24"/>
        </w:rPr>
      </w:pPr>
      <w:r>
        <w:rPr>
          <w:rFonts w:hint="eastAsia"/>
          <w:b/>
          <w:bCs/>
          <w:sz w:val="24"/>
        </w:rPr>
        <w:t>项目概况：</w:t>
      </w:r>
      <w:r>
        <w:rPr>
          <w:rFonts w:hint="eastAsia"/>
          <w:color w:val="0000FF"/>
          <w:sz w:val="24"/>
        </w:rPr>
        <w:t>临床决策支持和VTE管理系统维保服务，预算金额</w:t>
      </w:r>
      <w:r>
        <w:rPr>
          <w:rFonts w:hint="eastAsia"/>
          <w:color w:val="0000FF"/>
          <w:sz w:val="24"/>
          <w:lang w:val="en-US" w:eastAsia="zh-CN"/>
        </w:rPr>
        <w:t>8</w:t>
      </w:r>
      <w:r>
        <w:rPr>
          <w:rFonts w:hint="eastAsia"/>
          <w:color w:val="0000FF"/>
          <w:sz w:val="24"/>
        </w:rPr>
        <w:t>万元。</w:t>
      </w:r>
    </w:p>
    <w:p w14:paraId="6A30B9B2">
      <w:pPr>
        <w:spacing w:line="360" w:lineRule="auto"/>
        <w:ind w:firstLine="480" w:firstLineChars="200"/>
        <w:rPr>
          <w:sz w:val="24"/>
        </w:rPr>
      </w:pPr>
    </w:p>
    <w:p w14:paraId="3AEDE74B">
      <w:pPr>
        <w:spacing w:line="360" w:lineRule="auto"/>
        <w:rPr>
          <w:b/>
          <w:bCs/>
          <w:sz w:val="24"/>
        </w:rPr>
      </w:pPr>
      <w:r>
        <w:rPr>
          <w:b/>
          <w:bCs/>
          <w:sz w:val="24"/>
        </w:rPr>
        <w:t>响应要求：</w:t>
      </w:r>
    </w:p>
    <w:p w14:paraId="5A28E21A">
      <w:pPr>
        <w:spacing w:line="360" w:lineRule="auto"/>
        <w:rPr>
          <w:sz w:val="24"/>
        </w:rPr>
      </w:pPr>
      <w:r>
        <w:rPr>
          <w:sz w:val="24"/>
        </w:rPr>
        <w:t>1、提供有效的营业执照复印件并加盖公司公章。</w:t>
      </w:r>
    </w:p>
    <w:p w14:paraId="31F35373">
      <w:pPr>
        <w:spacing w:line="360" w:lineRule="auto"/>
        <w:rPr>
          <w:sz w:val="24"/>
        </w:rPr>
      </w:pPr>
      <w:r>
        <w:rPr>
          <w:sz w:val="24"/>
        </w:rPr>
        <w:t>2、提供自采购公告发布之日起至公告截止日内任意时间的“信用中国”网站（www.creditchina.gov.cn）的响应供应商信用查询网页截图。</w:t>
      </w:r>
    </w:p>
    <w:p w14:paraId="3C8CBBB6">
      <w:pPr>
        <w:spacing w:line="360" w:lineRule="auto"/>
        <w:rPr>
          <w:sz w:val="24"/>
        </w:rPr>
      </w:pPr>
      <w:r>
        <w:rPr>
          <w:rFonts w:hint="eastAsia"/>
          <w:sz w:val="24"/>
        </w:rPr>
        <w:t>3</w:t>
      </w:r>
      <w:r>
        <w:rPr>
          <w:sz w:val="24"/>
        </w:rPr>
        <w:t>、参与公司必须承诺所有数据要求真实可靠</w:t>
      </w:r>
      <w:r>
        <w:rPr>
          <w:rFonts w:hint="eastAsia"/>
          <w:sz w:val="24"/>
        </w:rPr>
        <w:t>，如发生所供</w:t>
      </w:r>
      <w:r>
        <w:rPr>
          <w:rFonts w:hint="eastAsia"/>
          <w:sz w:val="24"/>
          <w:lang w:val="en-US" w:eastAsia="zh-CN"/>
        </w:rPr>
        <w:t>产品</w:t>
      </w:r>
      <w:r>
        <w:rPr>
          <w:rFonts w:hint="eastAsia"/>
          <w:sz w:val="24"/>
        </w:rPr>
        <w:t>与合同、采购文件要求不符，甲方（使用方）有权拒绝收货或退货并终止合同，由此产生的一切责任和后果由乙方承担</w:t>
      </w:r>
      <w:r>
        <w:rPr>
          <w:sz w:val="24"/>
        </w:rPr>
        <w:t>。</w:t>
      </w:r>
    </w:p>
    <w:p w14:paraId="50896701">
      <w:pPr>
        <w:spacing w:line="360" w:lineRule="auto"/>
        <w:rPr>
          <w:sz w:val="24"/>
        </w:rPr>
      </w:pPr>
      <w:r>
        <w:rPr>
          <w:rFonts w:hint="eastAsia"/>
          <w:sz w:val="24"/>
        </w:rPr>
        <w:t>4</w:t>
      </w:r>
      <w:r>
        <w:rPr>
          <w:sz w:val="24"/>
        </w:rPr>
        <w:t>、不接受联合体响应，不允许分包和转包。</w:t>
      </w:r>
    </w:p>
    <w:p w14:paraId="40BE6AE2">
      <w:pPr>
        <w:spacing w:line="360" w:lineRule="auto"/>
        <w:rPr>
          <w:sz w:val="24"/>
        </w:rPr>
      </w:pPr>
      <w:r>
        <w:rPr>
          <w:rFonts w:hint="eastAsia"/>
          <w:sz w:val="24"/>
        </w:rPr>
        <w:t>5</w:t>
      </w:r>
      <w:r>
        <w:rPr>
          <w:sz w:val="24"/>
        </w:rPr>
        <w:t>、响应文件一正三副（固定装订，不强制要求胶装），必须档案袋密封于</w:t>
      </w:r>
      <w:r>
        <w:rPr>
          <w:rFonts w:hint="eastAsia"/>
          <w:sz w:val="24"/>
        </w:rPr>
        <w:t>采购</w:t>
      </w:r>
      <w:r>
        <w:rPr>
          <w:sz w:val="24"/>
        </w:rPr>
        <w:t>现场统一递交，一个</w:t>
      </w:r>
      <w:r>
        <w:rPr>
          <w:rFonts w:hint="eastAsia"/>
          <w:sz w:val="24"/>
        </w:rPr>
        <w:t>项目</w:t>
      </w:r>
      <w:r>
        <w:rPr>
          <w:sz w:val="24"/>
        </w:rPr>
        <w:t>对应一个档案袋。</w:t>
      </w:r>
    </w:p>
    <w:p w14:paraId="0974D23D">
      <w:pPr>
        <w:spacing w:line="360" w:lineRule="auto"/>
        <w:rPr>
          <w:sz w:val="24"/>
        </w:rPr>
      </w:pPr>
      <w:r>
        <w:rPr>
          <w:rFonts w:hint="eastAsia"/>
          <w:sz w:val="24"/>
        </w:rPr>
        <w:t>6</w:t>
      </w:r>
      <w:r>
        <w:rPr>
          <w:sz w:val="24"/>
        </w:rPr>
        <w:t>、</w:t>
      </w:r>
      <w:r>
        <w:rPr>
          <w:rFonts w:hint="eastAsia"/>
          <w:sz w:val="24"/>
        </w:rPr>
        <w:t>采购时间初步定于</w:t>
      </w:r>
      <w:r>
        <w:rPr>
          <w:rFonts w:hint="eastAsia"/>
          <w:b/>
          <w:color w:val="0000FF"/>
          <w:sz w:val="24"/>
        </w:rPr>
        <w:t>202</w:t>
      </w:r>
      <w:r>
        <w:rPr>
          <w:b/>
          <w:color w:val="0000FF"/>
          <w:sz w:val="24"/>
        </w:rPr>
        <w:t>5</w:t>
      </w:r>
      <w:r>
        <w:rPr>
          <w:rFonts w:hint="eastAsia"/>
          <w:b/>
          <w:color w:val="0000FF"/>
          <w:sz w:val="24"/>
        </w:rPr>
        <w:t>年</w:t>
      </w:r>
      <w:r>
        <w:rPr>
          <w:rFonts w:hint="eastAsia"/>
          <w:b/>
          <w:color w:val="0000FF"/>
          <w:sz w:val="24"/>
          <w:lang w:val="en-US" w:eastAsia="zh-CN"/>
        </w:rPr>
        <w:t>12</w:t>
      </w:r>
      <w:r>
        <w:rPr>
          <w:rFonts w:hint="eastAsia"/>
          <w:b/>
          <w:color w:val="0000FF"/>
          <w:sz w:val="24"/>
        </w:rPr>
        <w:t>月</w:t>
      </w:r>
      <w:r>
        <w:rPr>
          <w:rFonts w:hint="eastAsia"/>
          <w:b/>
          <w:color w:val="0000FF"/>
          <w:sz w:val="24"/>
          <w:lang w:val="en-US" w:eastAsia="zh-CN"/>
        </w:rPr>
        <w:t>05</w:t>
      </w:r>
      <w:r>
        <w:rPr>
          <w:rFonts w:hint="eastAsia"/>
          <w:b/>
          <w:color w:val="0000FF"/>
          <w:sz w:val="24"/>
        </w:rPr>
        <w:t>日</w:t>
      </w:r>
      <w:r>
        <w:rPr>
          <w:rFonts w:hint="eastAsia"/>
          <w:b/>
          <w:color w:val="0000FF"/>
          <w:sz w:val="24"/>
          <w:lang w:val="en-US" w:eastAsia="zh-CN"/>
        </w:rPr>
        <w:t>下</w:t>
      </w:r>
      <w:r>
        <w:rPr>
          <w:rFonts w:hint="eastAsia"/>
          <w:b/>
          <w:color w:val="0000FF"/>
          <w:sz w:val="24"/>
        </w:rPr>
        <w:t>午</w:t>
      </w:r>
      <w:r>
        <w:rPr>
          <w:rFonts w:hint="eastAsia"/>
          <w:b/>
          <w:color w:val="0000FF"/>
          <w:sz w:val="24"/>
          <w:lang w:val="en-US" w:eastAsia="zh-CN"/>
        </w:rPr>
        <w:t>2</w:t>
      </w:r>
      <w:r>
        <w:rPr>
          <w:rFonts w:hint="eastAsia"/>
          <w:b/>
          <w:color w:val="0000FF"/>
          <w:sz w:val="24"/>
        </w:rPr>
        <w:t>点</w:t>
      </w:r>
      <w:r>
        <w:rPr>
          <w:rFonts w:hint="eastAsia"/>
          <w:sz w:val="24"/>
        </w:rPr>
        <w:t>，地点：浙江大学医学院附属妇产科医院（杭州市学士路1号）</w:t>
      </w:r>
      <w:r>
        <w:rPr>
          <w:rFonts w:hint="eastAsia"/>
          <w:b/>
          <w:sz w:val="24"/>
        </w:rPr>
        <w:t>1号楼</w:t>
      </w:r>
      <w:r>
        <w:rPr>
          <w:b/>
          <w:sz w:val="24"/>
        </w:rPr>
        <w:t>13</w:t>
      </w:r>
      <w:r>
        <w:rPr>
          <w:rFonts w:hint="eastAsia"/>
          <w:b/>
          <w:sz w:val="24"/>
        </w:rPr>
        <w:t>楼1305会议室</w:t>
      </w:r>
      <w:r>
        <w:rPr>
          <w:rFonts w:hint="eastAsia"/>
          <w:b/>
          <w:sz w:val="24"/>
          <w:lang w:eastAsia="zh-CN"/>
        </w:rPr>
        <w:t>（</w:t>
      </w:r>
      <w:r>
        <w:rPr>
          <w:rFonts w:hint="eastAsia"/>
          <w:sz w:val="24"/>
          <w:lang w:val="en-US" w:eastAsia="zh-CN"/>
        </w:rPr>
        <w:t>改期另行</w:t>
      </w:r>
      <w:r>
        <w:rPr>
          <w:sz w:val="24"/>
        </w:rPr>
        <w:t>电话</w:t>
      </w:r>
      <w:r>
        <w:rPr>
          <w:rFonts w:hint="default"/>
          <w:sz w:val="24"/>
        </w:rPr>
        <w:t>/</w:t>
      </w:r>
      <w:r>
        <w:rPr>
          <w:sz w:val="24"/>
        </w:rPr>
        <w:t>邮件通知</w:t>
      </w:r>
      <w:r>
        <w:rPr>
          <w:rFonts w:hint="eastAsia"/>
          <w:sz w:val="24"/>
          <w:lang w:eastAsia="zh-CN"/>
        </w:rPr>
        <w:t>）</w:t>
      </w:r>
      <w:r>
        <w:rPr>
          <w:rFonts w:hint="eastAsia"/>
          <w:sz w:val="24"/>
        </w:rPr>
        <w:t>，</w:t>
      </w:r>
      <w:r>
        <w:rPr>
          <w:sz w:val="24"/>
        </w:rPr>
        <w:t>报名</w:t>
      </w:r>
      <w:r>
        <w:rPr>
          <w:b/>
          <w:sz w:val="24"/>
        </w:rPr>
        <w:t>截止日期为</w:t>
      </w:r>
      <w:r>
        <w:rPr>
          <w:rFonts w:hint="eastAsia"/>
          <w:b/>
          <w:sz w:val="24"/>
          <w:lang w:val="en-US" w:eastAsia="zh-CN"/>
        </w:rPr>
        <w:t>12</w:t>
      </w:r>
      <w:r>
        <w:rPr>
          <w:rFonts w:hint="eastAsia"/>
          <w:b/>
          <w:sz w:val="24"/>
        </w:rPr>
        <w:t>月</w:t>
      </w:r>
      <w:r>
        <w:rPr>
          <w:rFonts w:hint="eastAsia"/>
          <w:b/>
          <w:sz w:val="24"/>
          <w:lang w:val="en-US" w:eastAsia="zh-CN"/>
        </w:rPr>
        <w:t>02</w:t>
      </w:r>
      <w:r>
        <w:rPr>
          <w:rFonts w:hint="eastAsia"/>
          <w:b/>
          <w:sz w:val="24"/>
        </w:rPr>
        <w:t>日1</w:t>
      </w:r>
      <w:r>
        <w:rPr>
          <w:rFonts w:hint="eastAsia"/>
          <w:b/>
          <w:sz w:val="24"/>
          <w:lang w:val="en-US" w:eastAsia="zh-CN"/>
        </w:rPr>
        <w:t>6</w:t>
      </w:r>
      <w:r>
        <w:rPr>
          <w:rFonts w:hint="eastAsia"/>
          <w:b/>
          <w:sz w:val="24"/>
        </w:rPr>
        <w:t>:00</w:t>
      </w:r>
      <w:r>
        <w:rPr>
          <w:sz w:val="24"/>
        </w:rPr>
        <w:t>（报名以邮件为准，邮件标题请注明采购编号及</w:t>
      </w:r>
      <w:r>
        <w:rPr>
          <w:rFonts w:hint="eastAsia"/>
          <w:sz w:val="24"/>
          <w:lang w:val="en-US" w:eastAsia="zh-CN"/>
        </w:rPr>
        <w:t>项目名称</w:t>
      </w:r>
      <w:r>
        <w:rPr>
          <w:sz w:val="24"/>
        </w:rPr>
        <w:t>，</w:t>
      </w:r>
      <w:r>
        <w:rPr>
          <w:b/>
          <w:sz w:val="24"/>
        </w:rPr>
        <w:t>邮件内容请注明</w:t>
      </w:r>
      <w:r>
        <w:rPr>
          <w:rFonts w:hint="eastAsia"/>
          <w:b/>
          <w:sz w:val="24"/>
        </w:rPr>
        <w:t>响应</w:t>
      </w:r>
      <w:r>
        <w:rPr>
          <w:b/>
          <w:sz w:val="24"/>
        </w:rPr>
        <w:t>公司名称、</w:t>
      </w:r>
      <w:r>
        <w:rPr>
          <w:rFonts w:hint="eastAsia"/>
          <w:b/>
          <w:sz w:val="24"/>
        </w:rPr>
        <w:t>授权</w:t>
      </w:r>
      <w:r>
        <w:rPr>
          <w:b/>
          <w:sz w:val="24"/>
        </w:rPr>
        <w:t>人姓名及联系方式</w:t>
      </w:r>
      <w:bookmarkStart w:id="14" w:name="_GoBack"/>
      <w:bookmarkEnd w:id="14"/>
      <w:r>
        <w:rPr>
          <w:sz w:val="24"/>
        </w:rPr>
        <w:t>等）</w:t>
      </w:r>
      <w:r>
        <w:rPr>
          <w:rFonts w:hint="eastAsia"/>
          <w:sz w:val="24"/>
        </w:rPr>
        <w:t>。</w:t>
      </w:r>
    </w:p>
    <w:p w14:paraId="0C578164">
      <w:pPr>
        <w:spacing w:line="360" w:lineRule="auto"/>
        <w:rPr>
          <w:sz w:val="24"/>
        </w:rPr>
      </w:pPr>
      <w:r>
        <w:rPr>
          <w:rFonts w:hint="eastAsia"/>
          <w:sz w:val="24"/>
        </w:rPr>
        <w:t>7</w:t>
      </w:r>
      <w:r>
        <w:rPr>
          <w:sz w:val="24"/>
        </w:rPr>
        <w:t>、以上事项均为必须项，任何一项不满足均取消响应资格。</w:t>
      </w:r>
    </w:p>
    <w:p w14:paraId="6B75AA49">
      <w:pPr>
        <w:spacing w:line="360" w:lineRule="auto"/>
        <w:rPr>
          <w:b/>
          <w:bCs/>
          <w:sz w:val="24"/>
        </w:rPr>
      </w:pPr>
    </w:p>
    <w:p w14:paraId="68ACFC9D">
      <w:pPr>
        <w:spacing w:line="360" w:lineRule="auto"/>
        <w:rPr>
          <w:b/>
          <w:bCs/>
          <w:sz w:val="24"/>
        </w:rPr>
      </w:pPr>
    </w:p>
    <w:p w14:paraId="51C31A09">
      <w:pPr>
        <w:spacing w:line="360" w:lineRule="auto"/>
        <w:rPr>
          <w:b/>
          <w:bCs/>
          <w:sz w:val="24"/>
        </w:rPr>
      </w:pPr>
      <w:r>
        <w:rPr>
          <w:b/>
          <w:bCs/>
          <w:sz w:val="24"/>
        </w:rPr>
        <w:t>其他事项：</w:t>
      </w:r>
    </w:p>
    <w:p w14:paraId="582AE222">
      <w:pPr>
        <w:rPr>
          <w:sz w:val="24"/>
        </w:rPr>
      </w:pPr>
      <w:bookmarkStart w:id="1" w:name="_Toc186548464"/>
      <w:r>
        <w:rPr>
          <w:sz w:val="24"/>
        </w:rPr>
        <w:t>咨询、报名电话：</w:t>
      </w:r>
      <w:r>
        <w:rPr>
          <w:rFonts w:hint="eastAsia"/>
          <w:sz w:val="24"/>
          <w:lang w:val="en-US" w:eastAsia="zh-CN"/>
        </w:rPr>
        <w:t>周</w:t>
      </w:r>
      <w:r>
        <w:rPr>
          <w:rFonts w:hint="eastAsia"/>
          <w:sz w:val="24"/>
        </w:rPr>
        <w:t>老师8999109</w:t>
      </w:r>
      <w:r>
        <w:rPr>
          <w:rFonts w:hint="eastAsia"/>
          <w:sz w:val="24"/>
          <w:lang w:val="en-US" w:eastAsia="zh-CN"/>
        </w:rPr>
        <w:t>0</w:t>
      </w:r>
      <w:r>
        <w:rPr>
          <w:sz w:val="24"/>
        </w:rPr>
        <w:t>。EMAIL：</w:t>
      </w:r>
      <w:r>
        <w:fldChar w:fldCharType="begin"/>
      </w:r>
      <w:r>
        <w:instrText xml:space="preserve"> HYPERLINK "mailto:sfbsbk@zju.edu.cn" </w:instrText>
      </w:r>
      <w:r>
        <w:fldChar w:fldCharType="separate"/>
      </w:r>
      <w:r>
        <w:rPr>
          <w:rStyle w:val="23"/>
          <w:rFonts w:hint="eastAsia"/>
          <w:color w:val="auto"/>
          <w:sz w:val="24"/>
          <w:lang w:val="en-US" w:eastAsia="zh-CN"/>
        </w:rPr>
        <w:t>5518003</w:t>
      </w:r>
      <w:r>
        <w:rPr>
          <w:rStyle w:val="23"/>
          <w:color w:val="auto"/>
          <w:sz w:val="24"/>
        </w:rPr>
        <w:t>@zju.edu.cn</w:t>
      </w:r>
      <w:r>
        <w:rPr>
          <w:rStyle w:val="23"/>
          <w:color w:val="auto"/>
          <w:sz w:val="24"/>
        </w:rPr>
        <w:fldChar w:fldCharType="end"/>
      </w:r>
      <w:r>
        <w:rPr>
          <w:rFonts w:hint="eastAsia"/>
          <w:sz w:val="24"/>
        </w:rPr>
        <w:t>。</w:t>
      </w:r>
    </w:p>
    <w:p w14:paraId="6A88EC46">
      <w:pPr>
        <w:pStyle w:val="16"/>
      </w:pPr>
      <w:r>
        <w:rPr>
          <w:rFonts w:hint="eastAsia"/>
        </w:rPr>
        <w:t xml:space="preserve">第二章 </w:t>
      </w:r>
      <w:r>
        <w:t>采购内容</w:t>
      </w:r>
      <w:r>
        <w:rPr>
          <w:rFonts w:hint="eastAsia"/>
        </w:rPr>
        <w:t>及</w:t>
      </w:r>
      <w:r>
        <w:t>需求</w:t>
      </w:r>
      <w:bookmarkEnd w:id="1"/>
    </w:p>
    <w:p w14:paraId="4350C9DF">
      <w:pPr>
        <w:pStyle w:val="3"/>
        <w:numPr>
          <w:ilvl w:val="0"/>
          <w:numId w:val="1"/>
        </w:numPr>
        <w:tabs>
          <w:tab w:val="left" w:pos="720"/>
          <w:tab w:val="left" w:pos="1980"/>
        </w:tabs>
        <w:spacing w:line="440" w:lineRule="exact"/>
        <w:rPr>
          <w:rFonts w:hint="eastAsia" w:hAnsi="宋体" w:cs="宋体"/>
          <w:sz w:val="21"/>
          <w:szCs w:val="21"/>
        </w:rPr>
      </w:pPr>
      <w:r>
        <w:rPr>
          <w:rFonts w:hint="eastAsia" w:hAnsi="宋体" w:cs="宋体"/>
          <w:sz w:val="21"/>
          <w:szCs w:val="21"/>
        </w:rPr>
        <w:t>项目概况</w:t>
      </w:r>
    </w:p>
    <w:p w14:paraId="79A5F179">
      <w:pPr>
        <w:spacing w:line="360" w:lineRule="auto"/>
        <w:ind w:firstLine="424" w:firstLineChars="202"/>
        <w:rPr>
          <w:color w:val="000000"/>
        </w:rPr>
      </w:pPr>
      <w:bookmarkStart w:id="2" w:name="OLE_LINK2"/>
      <w:r>
        <w:rPr>
          <w:rFonts w:hint="eastAsia"/>
          <w:color w:val="000000"/>
        </w:rPr>
        <w:t>为持续提升我院医疗服务质量、保障患者安全、规范诊疗行为，并积极响应国家卫生健康委员会关于医疗质量安全与信息化建设的相关要求，我院于2019年开始依次成功部署并上线了临床辅助决策支持系统（CDSS）、VTE管理系统。自系统上线以来，在辅助临床决策、诊疗规范性、保障患者安全等方面取得了显著成效，已成为我院日常医疗工作中不可或缺的重要支撑，现与原服务提供商签约维保服务合同。本次签约旨在：1）保障系统持续稳定；2）确保知识库时效性；3）控制长期运营风险。签约本次维保服务合同是保障我院核心信息系统平稳运行、持续发挥其临床价值与管理效益的必要举措。</w:t>
      </w:r>
    </w:p>
    <w:bookmarkEnd w:id="2"/>
    <w:p w14:paraId="3C99810C">
      <w:pPr>
        <w:pStyle w:val="3"/>
        <w:numPr>
          <w:ilvl w:val="0"/>
          <w:numId w:val="1"/>
        </w:numPr>
        <w:tabs>
          <w:tab w:val="left" w:pos="720"/>
          <w:tab w:val="left" w:pos="1980"/>
        </w:tabs>
        <w:spacing w:line="440" w:lineRule="exact"/>
        <w:ind w:left="158" w:hanging="158"/>
        <w:rPr>
          <w:rFonts w:hint="eastAsia" w:hAnsi="宋体" w:cs="宋体"/>
          <w:sz w:val="21"/>
          <w:szCs w:val="21"/>
        </w:rPr>
      </w:pPr>
      <w:r>
        <w:rPr>
          <w:rFonts w:hint="eastAsia" w:hAnsi="宋体" w:cs="宋体"/>
          <w:sz w:val="21"/>
          <w:szCs w:val="21"/>
        </w:rPr>
        <w:t>项目内容</w:t>
      </w:r>
    </w:p>
    <w:p w14:paraId="1A2AF646">
      <w:pPr>
        <w:spacing w:line="360" w:lineRule="auto"/>
        <w:rPr>
          <w:b/>
          <w:bCs/>
        </w:rPr>
      </w:pPr>
      <w:r>
        <w:rPr>
          <w:rFonts w:hint="eastAsia"/>
          <w:b/>
          <w:bCs/>
        </w:rPr>
        <w:t>临床辅助决策支持系统功能描述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86"/>
        <w:gridCol w:w="5861"/>
      </w:tblGrid>
      <w:tr w14:paraId="5C2B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Align w:val="center"/>
          </w:tcPr>
          <w:p w14:paraId="22F97B83">
            <w:pPr>
              <w:jc w:val="center"/>
              <w:rPr>
                <w:rFonts w:hint="eastAsia" w:ascii="宋体" w:hAnsi="宋体" w:cs="宋体"/>
                <w:b/>
                <w:bCs/>
                <w:szCs w:val="21"/>
              </w:rPr>
            </w:pPr>
            <w:r>
              <w:rPr>
                <w:rFonts w:hint="eastAsia" w:ascii="宋体" w:hAnsi="宋体" w:cs="宋体"/>
                <w:b/>
                <w:bCs/>
                <w:szCs w:val="21"/>
              </w:rPr>
              <w:t>序号</w:t>
            </w:r>
          </w:p>
        </w:tc>
        <w:tc>
          <w:tcPr>
            <w:tcW w:w="1165" w:type="pct"/>
            <w:vAlign w:val="center"/>
          </w:tcPr>
          <w:p w14:paraId="5CEA8A91">
            <w:pPr>
              <w:jc w:val="center"/>
              <w:rPr>
                <w:rFonts w:hint="eastAsia" w:ascii="宋体" w:hAnsi="宋体" w:cs="宋体"/>
                <w:b/>
                <w:bCs/>
                <w:szCs w:val="21"/>
              </w:rPr>
            </w:pPr>
            <w:r>
              <w:rPr>
                <w:rFonts w:hint="eastAsia" w:ascii="宋体" w:hAnsi="宋体" w:cs="宋体"/>
                <w:b/>
                <w:bCs/>
                <w:szCs w:val="21"/>
              </w:rPr>
              <w:t>内容</w:t>
            </w:r>
          </w:p>
        </w:tc>
        <w:tc>
          <w:tcPr>
            <w:tcW w:w="3439" w:type="pct"/>
            <w:vAlign w:val="center"/>
          </w:tcPr>
          <w:p w14:paraId="1751531B">
            <w:pPr>
              <w:jc w:val="center"/>
              <w:rPr>
                <w:rFonts w:hint="eastAsia" w:ascii="宋体" w:hAnsi="宋体" w:cs="宋体"/>
                <w:b/>
                <w:bCs/>
                <w:szCs w:val="21"/>
              </w:rPr>
            </w:pPr>
            <w:r>
              <w:rPr>
                <w:rFonts w:hint="eastAsia" w:ascii="宋体" w:hAnsi="宋体" w:cs="宋体"/>
                <w:b/>
                <w:bCs/>
                <w:szCs w:val="21"/>
              </w:rPr>
              <w:t>说明</w:t>
            </w:r>
          </w:p>
        </w:tc>
      </w:tr>
      <w:tr w14:paraId="496D5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Align w:val="center"/>
          </w:tcPr>
          <w:p w14:paraId="0CA91A07">
            <w:pPr>
              <w:spacing w:line="440" w:lineRule="exact"/>
              <w:jc w:val="center"/>
              <w:rPr>
                <w:rFonts w:hint="eastAsia" w:ascii="宋体" w:hAnsi="宋体" w:cs="宋体"/>
                <w:kern w:val="0"/>
                <w:szCs w:val="21"/>
              </w:rPr>
            </w:pPr>
            <w:r>
              <w:rPr>
                <w:rFonts w:hint="eastAsia" w:ascii="宋体" w:hAnsi="宋体" w:cs="宋体"/>
                <w:kern w:val="0"/>
                <w:szCs w:val="21"/>
              </w:rPr>
              <w:t>1</w:t>
            </w:r>
          </w:p>
        </w:tc>
        <w:tc>
          <w:tcPr>
            <w:tcW w:w="1165" w:type="pct"/>
            <w:vAlign w:val="center"/>
          </w:tcPr>
          <w:p w14:paraId="4E582521">
            <w:pPr>
              <w:spacing w:line="440" w:lineRule="exact"/>
              <w:jc w:val="center"/>
              <w:rPr>
                <w:rFonts w:hint="eastAsia" w:ascii="宋体" w:hAnsi="宋体" w:cs="宋体"/>
                <w:b/>
                <w:bCs/>
                <w:szCs w:val="21"/>
              </w:rPr>
            </w:pPr>
            <w:r>
              <w:rPr>
                <w:rFonts w:hint="eastAsia" w:ascii="宋体" w:hAnsi="宋体" w:cs="宋体"/>
                <w:szCs w:val="21"/>
              </w:rPr>
              <w:t>知识库搜索</w:t>
            </w:r>
          </w:p>
        </w:tc>
        <w:tc>
          <w:tcPr>
            <w:tcW w:w="3439" w:type="pct"/>
            <w:vAlign w:val="center"/>
          </w:tcPr>
          <w:p w14:paraId="269551BC">
            <w:pPr>
              <w:spacing w:line="440" w:lineRule="exact"/>
              <w:jc w:val="left"/>
              <w:rPr>
                <w:rFonts w:hint="eastAsia" w:ascii="宋体" w:hAnsi="宋体" w:cs="宋体"/>
                <w:b/>
                <w:bCs/>
                <w:szCs w:val="21"/>
              </w:rPr>
            </w:pPr>
            <w:r>
              <w:rPr>
                <w:rFonts w:hint="eastAsia" w:ascii="宋体" w:hAnsi="宋体" w:cs="宋体"/>
                <w:szCs w:val="21"/>
              </w:rPr>
              <w:t>支持通过多种方式（关键字、标题首字母）检索知识库内容，涉及疾病知识、检验检查知识、评估表、药品说明书等知识内容。</w:t>
            </w:r>
          </w:p>
        </w:tc>
      </w:tr>
      <w:tr w14:paraId="5339E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Align w:val="center"/>
          </w:tcPr>
          <w:p w14:paraId="6A2194F7">
            <w:pPr>
              <w:spacing w:line="440" w:lineRule="exact"/>
              <w:jc w:val="center"/>
              <w:rPr>
                <w:rFonts w:hint="eastAsia" w:ascii="宋体" w:hAnsi="宋体" w:cs="宋体"/>
                <w:kern w:val="0"/>
                <w:szCs w:val="21"/>
              </w:rPr>
            </w:pPr>
            <w:r>
              <w:rPr>
                <w:rFonts w:hint="eastAsia" w:ascii="宋体" w:hAnsi="宋体" w:cs="宋体"/>
                <w:kern w:val="0"/>
                <w:szCs w:val="21"/>
              </w:rPr>
              <w:t>2</w:t>
            </w:r>
          </w:p>
        </w:tc>
        <w:tc>
          <w:tcPr>
            <w:tcW w:w="1165" w:type="pct"/>
            <w:vAlign w:val="center"/>
          </w:tcPr>
          <w:p w14:paraId="255CA46B">
            <w:pPr>
              <w:spacing w:line="440" w:lineRule="exact"/>
              <w:jc w:val="center"/>
              <w:rPr>
                <w:rFonts w:hint="eastAsia" w:ascii="宋体" w:hAnsi="宋体" w:cs="宋体"/>
                <w:szCs w:val="21"/>
              </w:rPr>
            </w:pPr>
            <w:r>
              <w:rPr>
                <w:rFonts w:hint="eastAsia" w:ascii="宋体" w:hAnsi="宋体" w:cs="宋体"/>
                <w:szCs w:val="21"/>
              </w:rPr>
              <w:t>疾病详情</w:t>
            </w:r>
          </w:p>
        </w:tc>
        <w:tc>
          <w:tcPr>
            <w:tcW w:w="3439" w:type="pct"/>
            <w:vAlign w:val="center"/>
          </w:tcPr>
          <w:p w14:paraId="6E1C6ACB">
            <w:pPr>
              <w:spacing w:line="440" w:lineRule="exact"/>
              <w:ind w:left="154" w:hanging="154"/>
              <w:jc w:val="left"/>
              <w:rPr>
                <w:rFonts w:hint="eastAsia" w:ascii="宋体" w:hAnsi="宋体" w:cs="宋体"/>
                <w:szCs w:val="21"/>
              </w:rPr>
            </w:pPr>
            <w:r>
              <w:rPr>
                <w:rFonts w:hint="eastAsia" w:ascii="宋体" w:hAnsi="宋体" w:cs="宋体"/>
                <w:spacing w:val="-2"/>
                <w:szCs w:val="21"/>
              </w:rPr>
              <w:t>疾病知识库至少能够提供疾病的详细知识内容，应包含疾病定义、病因、病理、临床表现、检查、并发症、诊断、鉴别诊断、治疗、预防的详细知识库内容，为医生的继续学习提供了丰富的素材。</w:t>
            </w:r>
          </w:p>
        </w:tc>
      </w:tr>
      <w:tr w14:paraId="5B8F4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96" w:type="pct"/>
            <w:vAlign w:val="center"/>
          </w:tcPr>
          <w:p w14:paraId="3CD28298">
            <w:pPr>
              <w:spacing w:line="440" w:lineRule="exact"/>
              <w:jc w:val="center"/>
              <w:rPr>
                <w:rFonts w:hint="eastAsia" w:ascii="宋体" w:hAnsi="宋体" w:cs="宋体"/>
                <w:kern w:val="0"/>
                <w:szCs w:val="21"/>
              </w:rPr>
            </w:pPr>
            <w:r>
              <w:rPr>
                <w:rFonts w:hint="eastAsia" w:ascii="宋体" w:hAnsi="宋体" w:cs="宋体"/>
                <w:kern w:val="0"/>
                <w:szCs w:val="21"/>
              </w:rPr>
              <w:t>3</w:t>
            </w:r>
          </w:p>
        </w:tc>
        <w:tc>
          <w:tcPr>
            <w:tcW w:w="1165" w:type="pct"/>
            <w:vAlign w:val="center"/>
          </w:tcPr>
          <w:p w14:paraId="72E8C314">
            <w:pPr>
              <w:spacing w:line="440" w:lineRule="exact"/>
              <w:jc w:val="center"/>
              <w:rPr>
                <w:rFonts w:hint="eastAsia" w:ascii="宋体" w:hAnsi="宋体" w:cs="宋体"/>
                <w:b/>
                <w:bCs/>
                <w:szCs w:val="21"/>
              </w:rPr>
            </w:pPr>
            <w:r>
              <w:rPr>
                <w:rFonts w:hint="eastAsia" w:ascii="宋体" w:hAnsi="宋体" w:cs="宋体"/>
                <w:szCs w:val="21"/>
              </w:rPr>
              <w:t>药品说明书</w:t>
            </w:r>
          </w:p>
        </w:tc>
        <w:tc>
          <w:tcPr>
            <w:tcW w:w="3439" w:type="pct"/>
            <w:vAlign w:val="center"/>
          </w:tcPr>
          <w:p w14:paraId="6690C981">
            <w:pPr>
              <w:spacing w:line="440" w:lineRule="exact"/>
              <w:jc w:val="left"/>
              <w:rPr>
                <w:rFonts w:hint="eastAsia" w:ascii="宋体" w:hAnsi="宋体" w:cs="宋体"/>
                <w:b/>
                <w:bCs/>
                <w:szCs w:val="21"/>
              </w:rPr>
            </w:pPr>
            <w:r>
              <w:rPr>
                <w:rFonts w:hint="eastAsia" w:ascii="宋体" w:hAnsi="宋体" w:cs="宋体"/>
                <w:szCs w:val="21"/>
              </w:rPr>
              <w:t>知识库能够提供药品说明书。</w:t>
            </w:r>
          </w:p>
        </w:tc>
      </w:tr>
      <w:tr w14:paraId="687B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1A0A47F5">
            <w:pPr>
              <w:spacing w:line="440" w:lineRule="exact"/>
              <w:jc w:val="center"/>
              <w:rPr>
                <w:rFonts w:hint="eastAsia" w:ascii="宋体" w:hAnsi="宋体" w:cs="宋体"/>
                <w:szCs w:val="21"/>
              </w:rPr>
            </w:pPr>
            <w:r>
              <w:rPr>
                <w:rFonts w:hint="eastAsia" w:ascii="宋体" w:hAnsi="宋体" w:cs="宋体"/>
                <w:szCs w:val="21"/>
              </w:rPr>
              <w:t>4</w:t>
            </w:r>
          </w:p>
        </w:tc>
        <w:tc>
          <w:tcPr>
            <w:tcW w:w="1165" w:type="pct"/>
            <w:vAlign w:val="center"/>
          </w:tcPr>
          <w:p w14:paraId="2BDAC6E3">
            <w:pPr>
              <w:widowControl/>
              <w:spacing w:line="440" w:lineRule="exact"/>
              <w:rPr>
                <w:rFonts w:hint="eastAsia" w:ascii="宋体" w:hAnsi="宋体" w:cs="宋体"/>
                <w:szCs w:val="21"/>
              </w:rPr>
            </w:pPr>
            <w:r>
              <w:rPr>
                <w:rFonts w:hint="eastAsia" w:ascii="宋体" w:hAnsi="宋体" w:cs="宋体"/>
                <w:szCs w:val="21"/>
              </w:rPr>
              <w:t>临床诊疗质量控制</w:t>
            </w:r>
          </w:p>
        </w:tc>
        <w:tc>
          <w:tcPr>
            <w:tcW w:w="3439" w:type="pct"/>
            <w:vAlign w:val="center"/>
          </w:tcPr>
          <w:p w14:paraId="3A27754F">
            <w:pPr>
              <w:spacing w:line="440" w:lineRule="exact"/>
              <w:rPr>
                <w:rFonts w:hint="eastAsia" w:ascii="宋体" w:hAnsi="宋体" w:cs="宋体"/>
                <w:bCs/>
                <w:iCs/>
                <w:szCs w:val="21"/>
              </w:rPr>
            </w:pPr>
            <w:r>
              <w:rPr>
                <w:rFonts w:hint="eastAsia" w:ascii="宋体" w:hAnsi="宋体" w:cs="宋体"/>
                <w:bCs/>
                <w:iCs/>
                <w:szCs w:val="21"/>
              </w:rPr>
              <w:t>实时提醒：在医生诊疗过程中，判断患者疾病及诊疗措施的匹配情况，同时判断是否存在缺陷项目，对缺陷项目进行提醒，实时的提示方式，大幅度的提高医生诊疗过程中诊疗项目选择的规范性，病历记录的完整性及规范性。</w:t>
            </w:r>
          </w:p>
          <w:p w14:paraId="7E737DB5">
            <w:pPr>
              <w:spacing w:line="440" w:lineRule="exact"/>
              <w:rPr>
                <w:rFonts w:hint="eastAsia" w:ascii="宋体" w:hAnsi="宋体" w:cs="宋体"/>
                <w:bCs/>
                <w:iCs/>
                <w:szCs w:val="21"/>
              </w:rPr>
            </w:pPr>
            <w:r>
              <w:rPr>
                <w:rFonts w:hint="eastAsia" w:ascii="宋体" w:hAnsi="宋体" w:cs="宋体"/>
                <w:bCs/>
                <w:iCs/>
                <w:szCs w:val="21"/>
              </w:rPr>
              <w:t>事后统计：支持医院管理部门及上级医生通过相关诊断及时间查看患者整体的诊疗质量达标情况，支持从患者或者医生等不同维度分析患者在住院过程中得到的治疗措施是否存在缺陷和不规范性，并通过具体的数值客观反映规范程度。帮助医院管理人员及上级医生更好的管理科室的临床质量，也有助于批量提升临床质量。</w:t>
            </w:r>
          </w:p>
        </w:tc>
      </w:tr>
      <w:tr w14:paraId="6F69B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5D495AA2">
            <w:pPr>
              <w:spacing w:line="440" w:lineRule="exact"/>
              <w:jc w:val="center"/>
              <w:rPr>
                <w:rFonts w:hint="eastAsia" w:ascii="宋体" w:hAnsi="宋体" w:cs="宋体"/>
                <w:kern w:val="0"/>
                <w:szCs w:val="21"/>
              </w:rPr>
            </w:pPr>
            <w:r>
              <w:rPr>
                <w:rFonts w:hint="eastAsia" w:ascii="宋体" w:hAnsi="宋体" w:cs="宋体"/>
                <w:kern w:val="0"/>
                <w:szCs w:val="21"/>
              </w:rPr>
              <w:t>5</w:t>
            </w:r>
          </w:p>
        </w:tc>
        <w:tc>
          <w:tcPr>
            <w:tcW w:w="1165" w:type="pct"/>
            <w:vAlign w:val="center"/>
          </w:tcPr>
          <w:p w14:paraId="6226EB57">
            <w:pPr>
              <w:widowControl/>
              <w:spacing w:line="440" w:lineRule="exact"/>
              <w:jc w:val="center"/>
              <w:rPr>
                <w:rFonts w:hint="eastAsia" w:ascii="宋体" w:hAnsi="宋体" w:cs="宋体"/>
                <w:szCs w:val="21"/>
              </w:rPr>
            </w:pPr>
            <w:r>
              <w:rPr>
                <w:rFonts w:hint="eastAsia" w:ascii="宋体" w:hAnsi="宋体" w:cs="宋体"/>
                <w:szCs w:val="21"/>
              </w:rPr>
              <w:t>鉴别诊断</w:t>
            </w:r>
          </w:p>
        </w:tc>
        <w:tc>
          <w:tcPr>
            <w:tcW w:w="3439" w:type="pct"/>
            <w:vAlign w:val="center"/>
          </w:tcPr>
          <w:p w14:paraId="4C2FC55D">
            <w:pPr>
              <w:spacing w:line="360" w:lineRule="auto"/>
              <w:rPr>
                <w:rFonts w:hint="eastAsia" w:ascii="宋体" w:hAnsi="宋体" w:cs="宋体"/>
                <w:szCs w:val="21"/>
              </w:rPr>
            </w:pPr>
            <w:r>
              <w:rPr>
                <w:rFonts w:hint="eastAsia" w:ascii="宋体" w:hAnsi="宋体" w:cs="宋体"/>
                <w:szCs w:val="21"/>
              </w:rPr>
              <w:t>支持结合患者的临床表现（主诉），智能判断患者疑似疾病，实时引导医生全面考虑患者病情，避免漏诊、误诊。</w:t>
            </w:r>
          </w:p>
          <w:p w14:paraId="0A1F576E">
            <w:pPr>
              <w:pStyle w:val="2"/>
              <w:spacing w:line="360" w:lineRule="auto"/>
              <w:rPr>
                <w:rFonts w:hint="eastAsia" w:ascii="宋体" w:hAnsi="宋体" w:cs="宋体"/>
                <w:b w:val="0"/>
                <w:bCs w:val="0"/>
                <w:sz w:val="21"/>
                <w:szCs w:val="21"/>
                <w:lang w:eastAsia="zh-CN"/>
              </w:rPr>
            </w:pPr>
            <w:r>
              <w:rPr>
                <w:rFonts w:hint="eastAsia" w:ascii="宋体" w:hAnsi="宋体" w:cs="宋体"/>
                <w:b w:val="0"/>
                <w:bCs w:val="0"/>
                <w:sz w:val="21"/>
                <w:szCs w:val="21"/>
                <w:lang w:eastAsia="zh-CN"/>
              </w:rPr>
              <w:t>支持医生根据系统推荐的鉴别诊断，直接查阅诊断相关的疾病详情以及与之相关的文献、指南。</w:t>
            </w:r>
          </w:p>
        </w:tc>
      </w:tr>
      <w:tr w14:paraId="207F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0C361E45">
            <w:pPr>
              <w:spacing w:line="440" w:lineRule="exact"/>
              <w:jc w:val="center"/>
              <w:rPr>
                <w:rFonts w:hint="eastAsia" w:ascii="宋体" w:hAnsi="宋体" w:cs="宋体"/>
                <w:kern w:val="0"/>
                <w:szCs w:val="21"/>
              </w:rPr>
            </w:pPr>
            <w:r>
              <w:rPr>
                <w:rFonts w:hint="eastAsia" w:ascii="宋体" w:hAnsi="宋体" w:cs="宋体"/>
                <w:kern w:val="0"/>
                <w:szCs w:val="21"/>
              </w:rPr>
              <w:t>6</w:t>
            </w:r>
          </w:p>
        </w:tc>
        <w:tc>
          <w:tcPr>
            <w:tcW w:w="1165" w:type="pct"/>
            <w:vAlign w:val="center"/>
          </w:tcPr>
          <w:p w14:paraId="1333E35C">
            <w:pPr>
              <w:widowControl/>
              <w:spacing w:line="440" w:lineRule="exact"/>
              <w:jc w:val="center"/>
              <w:rPr>
                <w:rFonts w:hint="eastAsia" w:ascii="宋体" w:hAnsi="宋体" w:cs="宋体"/>
                <w:szCs w:val="21"/>
              </w:rPr>
            </w:pPr>
            <w:r>
              <w:rPr>
                <w:rFonts w:hint="eastAsia" w:ascii="宋体" w:hAnsi="宋体" w:cs="宋体"/>
                <w:szCs w:val="21"/>
              </w:rPr>
              <w:t>检查/检验分析</w:t>
            </w:r>
          </w:p>
        </w:tc>
        <w:tc>
          <w:tcPr>
            <w:tcW w:w="3439" w:type="pct"/>
            <w:vAlign w:val="center"/>
          </w:tcPr>
          <w:p w14:paraId="76BE0444">
            <w:pPr>
              <w:spacing w:line="440" w:lineRule="exact"/>
              <w:rPr>
                <w:rFonts w:hint="eastAsia" w:ascii="宋体" w:hAnsi="宋体" w:cs="宋体"/>
                <w:bCs/>
                <w:iCs/>
                <w:szCs w:val="21"/>
              </w:rPr>
            </w:pPr>
            <w:r>
              <w:rPr>
                <w:rFonts w:hint="eastAsia" w:ascii="宋体" w:hAnsi="宋体" w:cs="宋体"/>
                <w:bCs/>
                <w:iCs/>
                <w:szCs w:val="21"/>
              </w:rPr>
              <w:t>根据患者的影像学检查及检验结果，自动进行检查结果解读，提示医生检查的异常情况及可能的诊断。</w:t>
            </w:r>
          </w:p>
          <w:p w14:paraId="6414E7B3">
            <w:pPr>
              <w:spacing w:line="440" w:lineRule="exact"/>
              <w:rPr>
                <w:rFonts w:hint="eastAsia" w:ascii="宋体" w:hAnsi="宋体" w:cs="宋体"/>
                <w:bCs/>
                <w:iCs/>
                <w:szCs w:val="21"/>
              </w:rPr>
            </w:pPr>
            <w:r>
              <w:rPr>
                <w:rFonts w:hint="eastAsia" w:ascii="宋体" w:hAnsi="宋体" w:cs="宋体"/>
                <w:bCs/>
                <w:iCs/>
                <w:szCs w:val="21"/>
              </w:rPr>
              <w:t>结合患者当次诊断、主诉、病史、其他检验检查结果等病情情况，判断检查结果支持的诊断建议、排除的诊断、以及更详细的诊断分型，严重程度分级。</w:t>
            </w:r>
          </w:p>
          <w:p w14:paraId="48A5ECEE">
            <w:pPr>
              <w:spacing w:line="440" w:lineRule="exact"/>
              <w:rPr>
                <w:rFonts w:hint="eastAsia" w:ascii="宋体" w:hAnsi="宋体" w:cs="宋体"/>
                <w:bCs/>
                <w:iCs/>
                <w:szCs w:val="21"/>
              </w:rPr>
            </w:pPr>
            <w:r>
              <w:rPr>
                <w:rFonts w:hint="eastAsia" w:ascii="宋体" w:hAnsi="宋体" w:cs="宋体"/>
                <w:bCs/>
                <w:iCs/>
                <w:szCs w:val="21"/>
              </w:rPr>
              <w:t>提示检查结果解读时，提示结果原因，帮助医生快速判断校验。</w:t>
            </w:r>
          </w:p>
        </w:tc>
      </w:tr>
      <w:tr w14:paraId="691D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1ED3AC7E">
            <w:pPr>
              <w:spacing w:line="440" w:lineRule="exact"/>
              <w:jc w:val="center"/>
              <w:rPr>
                <w:rFonts w:hint="eastAsia" w:ascii="宋体" w:hAnsi="宋体" w:cs="宋体"/>
                <w:kern w:val="0"/>
                <w:szCs w:val="21"/>
              </w:rPr>
            </w:pPr>
            <w:r>
              <w:rPr>
                <w:rFonts w:hint="eastAsia" w:ascii="宋体" w:hAnsi="宋体" w:cs="宋体"/>
                <w:kern w:val="0"/>
                <w:szCs w:val="21"/>
              </w:rPr>
              <w:t>7</w:t>
            </w:r>
          </w:p>
        </w:tc>
        <w:tc>
          <w:tcPr>
            <w:tcW w:w="1165" w:type="pct"/>
            <w:vAlign w:val="center"/>
          </w:tcPr>
          <w:p w14:paraId="398D240F">
            <w:pPr>
              <w:widowControl/>
              <w:spacing w:line="440" w:lineRule="exact"/>
              <w:jc w:val="center"/>
              <w:rPr>
                <w:rFonts w:hint="eastAsia" w:ascii="宋体" w:hAnsi="宋体" w:cs="宋体"/>
                <w:szCs w:val="21"/>
              </w:rPr>
            </w:pPr>
            <w:r>
              <w:rPr>
                <w:rFonts w:hint="eastAsia" w:ascii="宋体" w:hAnsi="宋体" w:cs="宋体"/>
                <w:bCs/>
                <w:iCs/>
                <w:szCs w:val="21"/>
              </w:rPr>
              <w:t>评估表工具</w:t>
            </w:r>
          </w:p>
        </w:tc>
        <w:tc>
          <w:tcPr>
            <w:tcW w:w="3439" w:type="pct"/>
            <w:vAlign w:val="center"/>
          </w:tcPr>
          <w:p w14:paraId="1668298F">
            <w:pPr>
              <w:spacing w:line="440" w:lineRule="exact"/>
              <w:rPr>
                <w:rFonts w:hint="eastAsia" w:ascii="宋体" w:hAnsi="宋体" w:cs="宋体"/>
                <w:bCs/>
                <w:iCs/>
                <w:szCs w:val="21"/>
              </w:rPr>
            </w:pPr>
            <w:r>
              <w:rPr>
                <w:rFonts w:hint="eastAsia" w:ascii="宋体" w:hAnsi="宋体" w:cs="宋体"/>
                <w:bCs/>
                <w:iCs/>
                <w:szCs w:val="21"/>
              </w:rPr>
              <w:t>根据患者的情况，推荐适合的评估表，帮助医生分析病情。</w:t>
            </w:r>
          </w:p>
          <w:p w14:paraId="1DACC74E">
            <w:pPr>
              <w:spacing w:line="440" w:lineRule="exact"/>
              <w:rPr>
                <w:rFonts w:hint="eastAsia" w:ascii="宋体" w:hAnsi="宋体" w:cs="宋体"/>
                <w:bCs/>
                <w:iCs/>
                <w:szCs w:val="21"/>
              </w:rPr>
            </w:pPr>
            <w:r>
              <w:rPr>
                <w:rFonts w:hint="eastAsia" w:ascii="宋体" w:hAnsi="宋体" w:cs="宋体"/>
                <w:bCs/>
                <w:iCs/>
                <w:szCs w:val="21"/>
              </w:rPr>
              <w:t>根据患者评分情况进行程度分析，自动计算分值，并评估患者当前情况。完成评估，可将评分结果及分析自动写回患者电子病历中。</w:t>
            </w:r>
          </w:p>
          <w:p w14:paraId="0866BDA7">
            <w:pPr>
              <w:spacing w:line="440" w:lineRule="exact"/>
              <w:rPr>
                <w:rFonts w:hint="eastAsia" w:ascii="宋体" w:hAnsi="宋体" w:cs="宋体"/>
                <w:bCs/>
                <w:iCs/>
                <w:szCs w:val="21"/>
              </w:rPr>
            </w:pPr>
            <w:r>
              <w:rPr>
                <w:rFonts w:hint="eastAsia" w:ascii="宋体" w:hAnsi="宋体" w:cs="宋体"/>
                <w:bCs/>
                <w:iCs/>
                <w:szCs w:val="21"/>
              </w:rPr>
              <w:t>支持搜索相应评估表，并在完成评估时将评估结果写回电子病历中。</w:t>
            </w:r>
          </w:p>
          <w:p w14:paraId="76AD1575">
            <w:pPr>
              <w:spacing w:line="440" w:lineRule="exact"/>
              <w:rPr>
                <w:rFonts w:hint="eastAsia" w:ascii="宋体" w:hAnsi="宋体" w:cs="宋体"/>
                <w:bCs/>
                <w:iCs/>
                <w:szCs w:val="21"/>
              </w:rPr>
            </w:pPr>
            <w:r>
              <w:rPr>
                <w:rFonts w:hint="eastAsia" w:ascii="宋体" w:hAnsi="宋体" w:cs="宋体"/>
                <w:bCs/>
                <w:iCs/>
                <w:szCs w:val="21"/>
              </w:rPr>
              <w:t>当评估表需要多次评估，记录患者病情变化时，提供评估表历史功能，支持查看患者历次评估结果，方便医生查看病情变化情况。</w:t>
            </w:r>
          </w:p>
        </w:tc>
      </w:tr>
      <w:tr w14:paraId="335A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396" w:type="pct"/>
            <w:vAlign w:val="center"/>
          </w:tcPr>
          <w:p w14:paraId="593F226B">
            <w:pPr>
              <w:spacing w:line="440" w:lineRule="exact"/>
              <w:jc w:val="center"/>
              <w:rPr>
                <w:rFonts w:hint="eastAsia" w:ascii="宋体" w:hAnsi="宋体" w:cs="宋体"/>
                <w:kern w:val="0"/>
                <w:szCs w:val="21"/>
              </w:rPr>
            </w:pPr>
            <w:r>
              <w:rPr>
                <w:rFonts w:hint="eastAsia" w:ascii="宋体" w:hAnsi="宋体" w:cs="宋体"/>
                <w:kern w:val="0"/>
                <w:szCs w:val="21"/>
              </w:rPr>
              <w:t>8</w:t>
            </w:r>
          </w:p>
        </w:tc>
        <w:tc>
          <w:tcPr>
            <w:tcW w:w="1165" w:type="pct"/>
            <w:vAlign w:val="center"/>
          </w:tcPr>
          <w:p w14:paraId="66184793">
            <w:pPr>
              <w:widowControl/>
              <w:spacing w:line="440" w:lineRule="exact"/>
              <w:jc w:val="center"/>
              <w:rPr>
                <w:rFonts w:hint="eastAsia" w:ascii="宋体" w:hAnsi="宋体" w:cs="宋体"/>
                <w:szCs w:val="21"/>
              </w:rPr>
            </w:pPr>
            <w:r>
              <w:rPr>
                <w:rFonts w:hint="eastAsia" w:ascii="宋体" w:hAnsi="宋体" w:cs="宋体"/>
                <w:bCs/>
                <w:iCs/>
                <w:szCs w:val="21"/>
              </w:rPr>
              <w:t>智能方案推荐</w:t>
            </w:r>
          </w:p>
        </w:tc>
        <w:tc>
          <w:tcPr>
            <w:tcW w:w="3439" w:type="pct"/>
            <w:vAlign w:val="center"/>
          </w:tcPr>
          <w:p w14:paraId="6D702D69">
            <w:pPr>
              <w:spacing w:line="440" w:lineRule="exact"/>
              <w:rPr>
                <w:rFonts w:hint="eastAsia" w:ascii="宋体" w:hAnsi="宋体" w:cs="宋体"/>
                <w:bCs/>
                <w:iCs/>
                <w:szCs w:val="21"/>
              </w:rPr>
            </w:pPr>
            <w:r>
              <w:rPr>
                <w:rFonts w:hint="eastAsia" w:ascii="宋体" w:hAnsi="宋体" w:cs="宋体"/>
                <w:bCs/>
                <w:iCs/>
                <w:szCs w:val="21"/>
              </w:rPr>
              <w:t>推荐治疗方案，根据患者当次诊断，结合现病史、既往史、用药史等情况，为医生智能推荐符合临床路径要求的治疗方案。</w:t>
            </w:r>
          </w:p>
          <w:p w14:paraId="06AB2C85">
            <w:pPr>
              <w:spacing w:line="440" w:lineRule="exact"/>
              <w:rPr>
                <w:rFonts w:hint="eastAsia" w:ascii="宋体" w:hAnsi="宋体" w:cs="宋体"/>
                <w:bCs/>
                <w:iCs/>
                <w:szCs w:val="21"/>
              </w:rPr>
            </w:pPr>
            <w:r>
              <w:rPr>
                <w:rFonts w:hint="eastAsia" w:ascii="宋体" w:hAnsi="宋体" w:cs="宋体"/>
                <w:bCs/>
                <w:iCs/>
                <w:szCs w:val="21"/>
              </w:rPr>
              <w:t>检查项推荐，根据最新指南推荐，帮助医生推荐适宜的多套检查方案，供医生选择。检查项写回，医生根据需要实际情况选择合适的检查项，智能写回到患者电子病历中。</w:t>
            </w:r>
          </w:p>
          <w:p w14:paraId="4C7EB109">
            <w:pPr>
              <w:spacing w:line="440" w:lineRule="exact"/>
              <w:rPr>
                <w:rFonts w:hint="eastAsia" w:ascii="宋体" w:hAnsi="宋体" w:cs="宋体"/>
                <w:bCs/>
                <w:iCs/>
                <w:szCs w:val="21"/>
              </w:rPr>
            </w:pPr>
            <w:r>
              <w:rPr>
                <w:rFonts w:hint="eastAsia" w:ascii="宋体" w:hAnsi="宋体" w:cs="宋体"/>
                <w:bCs/>
                <w:iCs/>
                <w:szCs w:val="21"/>
              </w:rPr>
              <w:t>用药方案推荐，根据最新指南推荐，帮助医生推荐适合的多套治疗方案及具体用药方案，医生根据需要选择相应的药品回填至病历或医嘱。</w:t>
            </w:r>
          </w:p>
        </w:tc>
      </w:tr>
      <w:tr w14:paraId="42BE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696C0ABC">
            <w:pPr>
              <w:spacing w:line="440" w:lineRule="exact"/>
              <w:jc w:val="center"/>
              <w:rPr>
                <w:rFonts w:hint="eastAsia" w:ascii="宋体" w:hAnsi="宋体" w:cs="宋体"/>
                <w:kern w:val="0"/>
                <w:szCs w:val="21"/>
              </w:rPr>
            </w:pPr>
            <w:r>
              <w:rPr>
                <w:rFonts w:hint="eastAsia" w:ascii="宋体" w:hAnsi="宋体" w:cs="宋体"/>
                <w:kern w:val="0"/>
                <w:szCs w:val="21"/>
              </w:rPr>
              <w:t>9</w:t>
            </w:r>
          </w:p>
        </w:tc>
        <w:tc>
          <w:tcPr>
            <w:tcW w:w="1165" w:type="pct"/>
            <w:vAlign w:val="center"/>
          </w:tcPr>
          <w:p w14:paraId="70E4BB3D">
            <w:pPr>
              <w:spacing w:line="440" w:lineRule="exact"/>
              <w:jc w:val="center"/>
              <w:rPr>
                <w:rFonts w:hint="eastAsia" w:ascii="宋体" w:hAnsi="宋体" w:cs="宋体"/>
                <w:bCs/>
                <w:iCs/>
                <w:szCs w:val="21"/>
              </w:rPr>
            </w:pPr>
            <w:r>
              <w:rPr>
                <w:rFonts w:hint="eastAsia" w:ascii="宋体" w:hAnsi="宋体" w:cs="宋体"/>
                <w:bCs/>
                <w:iCs/>
                <w:szCs w:val="21"/>
              </w:rPr>
              <w:t>检查/检验合理性</w:t>
            </w:r>
          </w:p>
        </w:tc>
        <w:tc>
          <w:tcPr>
            <w:tcW w:w="3439" w:type="pct"/>
            <w:vAlign w:val="center"/>
          </w:tcPr>
          <w:p w14:paraId="11F01769">
            <w:pPr>
              <w:spacing w:line="440" w:lineRule="exact"/>
              <w:rPr>
                <w:rFonts w:hint="eastAsia" w:ascii="宋体" w:hAnsi="宋体" w:cs="宋体"/>
                <w:bCs/>
                <w:iCs/>
                <w:szCs w:val="21"/>
              </w:rPr>
            </w:pPr>
            <w:r>
              <w:rPr>
                <w:rFonts w:hint="eastAsia" w:ascii="宋体" w:hAnsi="宋体" w:cs="宋体"/>
                <w:bCs/>
                <w:iCs/>
                <w:szCs w:val="21"/>
              </w:rPr>
              <w:t>在医生开具检验/检查医嘱时，根据患者的性别、年龄、诊断、既往史、症状、手术史等内容，自动审核医嘱项目的合理性，对禁忌和相对禁忌的项目主动进行提示。</w:t>
            </w:r>
          </w:p>
        </w:tc>
      </w:tr>
      <w:tr w14:paraId="7E6BD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7EA460DF">
            <w:pPr>
              <w:spacing w:line="440" w:lineRule="exact"/>
              <w:jc w:val="center"/>
              <w:rPr>
                <w:rFonts w:hint="eastAsia" w:ascii="宋体" w:hAnsi="宋体" w:cs="宋体"/>
                <w:kern w:val="0"/>
                <w:szCs w:val="21"/>
              </w:rPr>
            </w:pPr>
            <w:r>
              <w:rPr>
                <w:rFonts w:hint="eastAsia" w:ascii="宋体" w:hAnsi="宋体" w:cs="宋体"/>
                <w:kern w:val="0"/>
                <w:szCs w:val="21"/>
              </w:rPr>
              <w:t>10</w:t>
            </w:r>
          </w:p>
        </w:tc>
        <w:tc>
          <w:tcPr>
            <w:tcW w:w="1165" w:type="pct"/>
            <w:vAlign w:val="center"/>
          </w:tcPr>
          <w:p w14:paraId="032533FE">
            <w:pPr>
              <w:spacing w:line="440" w:lineRule="exact"/>
              <w:jc w:val="center"/>
              <w:rPr>
                <w:rFonts w:hint="eastAsia" w:ascii="宋体" w:hAnsi="宋体" w:cs="宋体"/>
                <w:bCs/>
                <w:iCs/>
                <w:szCs w:val="21"/>
              </w:rPr>
            </w:pPr>
            <w:r>
              <w:rPr>
                <w:rFonts w:hint="eastAsia" w:ascii="宋体" w:hAnsi="宋体" w:cs="宋体"/>
                <w:bCs/>
                <w:iCs/>
                <w:szCs w:val="21"/>
              </w:rPr>
              <w:t>手术/操作合理性</w:t>
            </w:r>
          </w:p>
        </w:tc>
        <w:tc>
          <w:tcPr>
            <w:tcW w:w="3439" w:type="pct"/>
            <w:vAlign w:val="center"/>
          </w:tcPr>
          <w:p w14:paraId="454836D1">
            <w:pPr>
              <w:spacing w:line="440" w:lineRule="exact"/>
              <w:rPr>
                <w:rFonts w:hint="eastAsia" w:ascii="宋体" w:hAnsi="宋体" w:cs="宋体"/>
                <w:bCs/>
                <w:iCs/>
                <w:szCs w:val="21"/>
              </w:rPr>
            </w:pPr>
            <w:r>
              <w:rPr>
                <w:rFonts w:hint="eastAsia" w:ascii="宋体" w:hAnsi="宋体" w:cs="宋体"/>
                <w:bCs/>
                <w:iCs/>
                <w:szCs w:val="21"/>
              </w:rPr>
              <w:t>在医生开具手术医嘱或手术申请单时，根据患者的性别、年龄、诊断、既往史、症状、手术史等内容，自动审核手术项目的合理性，对禁忌和相对禁忌的项目主动进行提示。</w:t>
            </w:r>
          </w:p>
        </w:tc>
      </w:tr>
      <w:tr w14:paraId="5F5A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396" w:type="pct"/>
            <w:vAlign w:val="center"/>
          </w:tcPr>
          <w:p w14:paraId="382060BE">
            <w:pPr>
              <w:spacing w:line="440" w:lineRule="exact"/>
              <w:jc w:val="center"/>
              <w:rPr>
                <w:rFonts w:hint="eastAsia" w:ascii="宋体" w:hAnsi="宋体" w:cs="宋体"/>
                <w:kern w:val="0"/>
                <w:szCs w:val="21"/>
              </w:rPr>
            </w:pPr>
            <w:r>
              <w:rPr>
                <w:rFonts w:hint="eastAsia" w:ascii="宋体" w:hAnsi="宋体" w:cs="宋体"/>
                <w:kern w:val="0"/>
                <w:szCs w:val="21"/>
              </w:rPr>
              <w:t>11</w:t>
            </w:r>
          </w:p>
        </w:tc>
        <w:tc>
          <w:tcPr>
            <w:tcW w:w="1165" w:type="pct"/>
            <w:vAlign w:val="center"/>
          </w:tcPr>
          <w:p w14:paraId="4D2C1C15">
            <w:pPr>
              <w:spacing w:line="440" w:lineRule="exact"/>
              <w:jc w:val="center"/>
              <w:rPr>
                <w:rFonts w:hint="eastAsia" w:ascii="宋体" w:hAnsi="宋体" w:cs="宋体"/>
                <w:bCs/>
                <w:iCs/>
                <w:szCs w:val="21"/>
              </w:rPr>
            </w:pPr>
            <w:r>
              <w:rPr>
                <w:rFonts w:hint="eastAsia" w:ascii="宋体" w:hAnsi="宋体" w:cs="宋体"/>
                <w:bCs/>
                <w:iCs/>
                <w:szCs w:val="21"/>
              </w:rPr>
              <w:t>手术并发症</w:t>
            </w:r>
          </w:p>
        </w:tc>
        <w:tc>
          <w:tcPr>
            <w:tcW w:w="3439" w:type="pct"/>
            <w:vAlign w:val="center"/>
          </w:tcPr>
          <w:p w14:paraId="303E4146">
            <w:pPr>
              <w:spacing w:line="440" w:lineRule="exact"/>
              <w:rPr>
                <w:rFonts w:hint="eastAsia" w:ascii="宋体" w:hAnsi="宋体" w:cs="宋体"/>
                <w:bCs/>
                <w:iCs/>
                <w:szCs w:val="21"/>
              </w:rPr>
            </w:pPr>
            <w:r>
              <w:rPr>
                <w:rFonts w:hint="eastAsia" w:ascii="宋体" w:hAnsi="宋体" w:cs="宋体"/>
                <w:bCs/>
                <w:iCs/>
                <w:szCs w:val="21"/>
              </w:rPr>
              <w:t>结合患者手术情况，切口类型、手术时间及术后患者的临床表现，检验检查结果，对有可能是术后并发症引起的症状、检查检验结果异常，查体情况等异常情况，进行提示，避免医生遗漏。</w:t>
            </w:r>
          </w:p>
        </w:tc>
      </w:tr>
    </w:tbl>
    <w:p w14:paraId="282C6A06">
      <w:pPr>
        <w:ind w:hanging="158"/>
        <w:rPr>
          <w:b/>
          <w:bCs/>
        </w:rPr>
      </w:pPr>
    </w:p>
    <w:p w14:paraId="5270DD7E">
      <w:pPr>
        <w:rPr>
          <w:b/>
          <w:bCs/>
        </w:rPr>
      </w:pPr>
      <w:r>
        <w:rPr>
          <w:rFonts w:hint="eastAsia"/>
          <w:b/>
          <w:bCs/>
        </w:rPr>
        <w:t>VTE管理系统功能描述</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986"/>
        <w:gridCol w:w="5720"/>
      </w:tblGrid>
      <w:tr w14:paraId="53B11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14:paraId="516F37A5">
            <w:pPr>
              <w:jc w:val="center"/>
              <w:rPr>
                <w:rFonts w:hint="eastAsia" w:ascii="宋体" w:hAnsi="宋体" w:cs="宋体"/>
                <w:b/>
                <w:bCs/>
                <w:szCs w:val="21"/>
              </w:rPr>
            </w:pPr>
            <w:r>
              <w:rPr>
                <w:rFonts w:hint="eastAsia" w:ascii="宋体" w:hAnsi="宋体" w:cs="宋体"/>
                <w:b/>
                <w:bCs/>
                <w:szCs w:val="21"/>
              </w:rPr>
              <w:t>序号</w:t>
            </w:r>
          </w:p>
        </w:tc>
        <w:tc>
          <w:tcPr>
            <w:tcW w:w="1165" w:type="pct"/>
            <w:vAlign w:val="center"/>
          </w:tcPr>
          <w:p w14:paraId="32B6A0B1">
            <w:pPr>
              <w:jc w:val="center"/>
              <w:rPr>
                <w:rFonts w:hint="eastAsia" w:ascii="宋体" w:hAnsi="宋体" w:cs="宋体"/>
                <w:b/>
                <w:bCs/>
                <w:szCs w:val="21"/>
              </w:rPr>
            </w:pPr>
            <w:r>
              <w:rPr>
                <w:rFonts w:hint="eastAsia" w:ascii="宋体" w:hAnsi="宋体" w:cs="宋体"/>
                <w:b/>
                <w:bCs/>
                <w:szCs w:val="21"/>
              </w:rPr>
              <w:t>内容</w:t>
            </w:r>
          </w:p>
        </w:tc>
        <w:tc>
          <w:tcPr>
            <w:tcW w:w="3356" w:type="pct"/>
            <w:vAlign w:val="center"/>
          </w:tcPr>
          <w:p w14:paraId="233F6FCF">
            <w:pPr>
              <w:jc w:val="center"/>
              <w:rPr>
                <w:rFonts w:hint="eastAsia" w:ascii="宋体" w:hAnsi="宋体" w:cs="宋体"/>
                <w:b/>
                <w:bCs/>
                <w:szCs w:val="21"/>
              </w:rPr>
            </w:pPr>
            <w:r>
              <w:rPr>
                <w:rFonts w:hint="eastAsia" w:ascii="宋体" w:hAnsi="宋体" w:cs="宋体"/>
                <w:b/>
                <w:bCs/>
                <w:szCs w:val="21"/>
              </w:rPr>
              <w:t>说明</w:t>
            </w:r>
          </w:p>
        </w:tc>
      </w:tr>
      <w:tr w14:paraId="36A30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14:paraId="4B3090F9">
            <w:pPr>
              <w:spacing w:line="440" w:lineRule="exact"/>
              <w:jc w:val="center"/>
              <w:rPr>
                <w:rFonts w:hint="eastAsia" w:ascii="宋体" w:hAnsi="宋体" w:cs="宋体"/>
                <w:kern w:val="0"/>
                <w:szCs w:val="21"/>
              </w:rPr>
            </w:pPr>
            <w:r>
              <w:rPr>
                <w:rFonts w:hint="eastAsia" w:ascii="宋体" w:hAnsi="宋体" w:cs="宋体"/>
                <w:kern w:val="0"/>
                <w:szCs w:val="21"/>
              </w:rPr>
              <w:t>1</w:t>
            </w:r>
          </w:p>
        </w:tc>
        <w:tc>
          <w:tcPr>
            <w:tcW w:w="1165" w:type="pct"/>
            <w:vAlign w:val="center"/>
          </w:tcPr>
          <w:p w14:paraId="2136901A">
            <w:pPr>
              <w:spacing w:line="440" w:lineRule="exact"/>
              <w:jc w:val="center"/>
              <w:rPr>
                <w:rFonts w:hint="eastAsia" w:ascii="宋体" w:hAnsi="宋体" w:cs="宋体"/>
                <w:b/>
                <w:bCs/>
                <w:szCs w:val="21"/>
              </w:rPr>
            </w:pPr>
            <w:r>
              <w:rPr>
                <w:rFonts w:hint="eastAsia" w:ascii="宋体" w:hAnsi="宋体" w:cs="宋体"/>
                <w:bCs/>
                <w:iCs/>
                <w:szCs w:val="21"/>
              </w:rPr>
              <w:t>VTE初始评估</w:t>
            </w:r>
          </w:p>
        </w:tc>
        <w:tc>
          <w:tcPr>
            <w:tcW w:w="3356" w:type="pct"/>
            <w:vAlign w:val="center"/>
          </w:tcPr>
          <w:p w14:paraId="2A660C0C">
            <w:pPr>
              <w:spacing w:line="440" w:lineRule="exact"/>
              <w:rPr>
                <w:rFonts w:hint="eastAsia" w:ascii="宋体" w:hAnsi="宋体" w:cs="宋体"/>
                <w:bCs/>
                <w:iCs/>
                <w:szCs w:val="21"/>
              </w:rPr>
            </w:pPr>
            <w:r>
              <w:rPr>
                <w:rFonts w:ascii="宋体" w:hAnsi="宋体" w:cs="宋体"/>
                <w:bCs/>
                <w:iCs/>
                <w:szCs w:val="21"/>
              </w:rPr>
              <w:t>初始评估：对入院24小时内患者进行VTE初始评估预警，提醒医生完成评估，完成评估后不再提醒。</w:t>
            </w:r>
          </w:p>
          <w:p w14:paraId="18AB50B7">
            <w:pPr>
              <w:spacing w:line="440" w:lineRule="exact"/>
              <w:rPr>
                <w:rFonts w:hint="eastAsia" w:ascii="宋体" w:hAnsi="宋体" w:cs="宋体"/>
                <w:bCs/>
                <w:iCs/>
                <w:szCs w:val="21"/>
              </w:rPr>
            </w:pPr>
            <w:r>
              <w:rPr>
                <w:rFonts w:ascii="宋体" w:hAnsi="宋体" w:cs="宋体"/>
                <w:bCs/>
                <w:iCs/>
                <w:szCs w:val="21"/>
              </w:rPr>
              <w:t>VTE评估表：支持医生根据患者入院情况选择合适的风险评估表进行评估</w:t>
            </w:r>
            <w:r>
              <w:rPr>
                <w:rFonts w:hint="eastAsia" w:ascii="宋体" w:hAnsi="宋体" w:cs="宋体"/>
                <w:bCs/>
                <w:iCs/>
                <w:szCs w:val="21"/>
              </w:rPr>
              <w:t>。</w:t>
            </w:r>
          </w:p>
          <w:p w14:paraId="2BCBB868">
            <w:pPr>
              <w:spacing w:line="440" w:lineRule="exact"/>
              <w:rPr>
                <w:rFonts w:hint="eastAsia" w:ascii="宋体" w:hAnsi="宋体" w:cs="宋体"/>
                <w:bCs/>
                <w:iCs/>
                <w:szCs w:val="21"/>
              </w:rPr>
            </w:pPr>
            <w:r>
              <w:rPr>
                <w:rFonts w:ascii="宋体" w:hAnsi="宋体" w:cs="宋体"/>
                <w:bCs/>
                <w:iCs/>
                <w:szCs w:val="21"/>
              </w:rPr>
              <w:t>实时评估：支持通过VTE初始评估提醒进行实时评估，快速完成评估。</w:t>
            </w:r>
          </w:p>
          <w:p w14:paraId="005481F4">
            <w:pPr>
              <w:spacing w:line="440" w:lineRule="exact"/>
              <w:rPr>
                <w:rFonts w:hint="eastAsia" w:ascii="宋体" w:hAnsi="宋体" w:cs="宋体"/>
                <w:bCs/>
                <w:iCs/>
                <w:szCs w:val="21"/>
              </w:rPr>
            </w:pPr>
            <w:r>
              <w:rPr>
                <w:rFonts w:ascii="宋体" w:hAnsi="宋体" w:cs="宋体"/>
                <w:bCs/>
                <w:iCs/>
                <w:szCs w:val="21"/>
              </w:rPr>
              <w:t>评估结果回写：可以把在线评估的评估结果默认自动回写到电子病历文书，同时支持设置是否回填至病历。（需要第三方厂商配合完成接口才可实现）</w:t>
            </w:r>
          </w:p>
          <w:p w14:paraId="454301A6">
            <w:pPr>
              <w:spacing w:line="440" w:lineRule="exact"/>
            </w:pPr>
            <w:r>
              <w:rPr>
                <w:rFonts w:ascii="宋体" w:hAnsi="宋体" w:cs="宋体"/>
                <w:bCs/>
                <w:iCs/>
                <w:szCs w:val="21"/>
              </w:rPr>
              <w:t>评估结果对接：支持对接医院VTE评估结果，判断是否（完成VTE评估）进行初始评估预警。</w:t>
            </w:r>
          </w:p>
        </w:tc>
      </w:tr>
      <w:tr w14:paraId="2F95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79" w:type="pct"/>
            <w:vAlign w:val="center"/>
          </w:tcPr>
          <w:p w14:paraId="282C2A17">
            <w:pPr>
              <w:spacing w:line="440" w:lineRule="exact"/>
              <w:jc w:val="center"/>
              <w:rPr>
                <w:rFonts w:hint="eastAsia" w:ascii="宋体" w:hAnsi="宋体" w:cs="宋体"/>
                <w:bCs/>
                <w:iCs/>
                <w:szCs w:val="21"/>
              </w:rPr>
            </w:pPr>
            <w:r>
              <w:rPr>
                <w:rFonts w:hint="eastAsia" w:ascii="宋体" w:hAnsi="宋体" w:cs="宋体"/>
                <w:bCs/>
                <w:iCs/>
                <w:szCs w:val="21"/>
              </w:rPr>
              <w:t>2</w:t>
            </w:r>
          </w:p>
        </w:tc>
        <w:tc>
          <w:tcPr>
            <w:tcW w:w="1165" w:type="pct"/>
            <w:vAlign w:val="center"/>
          </w:tcPr>
          <w:p w14:paraId="41578B1F">
            <w:pPr>
              <w:spacing w:line="440" w:lineRule="exact"/>
              <w:jc w:val="center"/>
              <w:rPr>
                <w:rFonts w:hint="eastAsia" w:ascii="宋体" w:hAnsi="宋体" w:cs="宋体"/>
                <w:bCs/>
                <w:iCs/>
                <w:szCs w:val="21"/>
              </w:rPr>
            </w:pPr>
            <w:r>
              <w:rPr>
                <w:rFonts w:hint="eastAsia" w:ascii="宋体" w:hAnsi="宋体" w:cs="宋体"/>
                <w:bCs/>
                <w:iCs/>
                <w:szCs w:val="21"/>
              </w:rPr>
              <w:t>VTE动态评估</w:t>
            </w:r>
          </w:p>
        </w:tc>
        <w:tc>
          <w:tcPr>
            <w:tcW w:w="3356" w:type="pct"/>
            <w:vAlign w:val="center"/>
          </w:tcPr>
          <w:p w14:paraId="55F652ED">
            <w:pPr>
              <w:spacing w:line="360" w:lineRule="auto"/>
              <w:rPr>
                <w:rFonts w:hint="eastAsia" w:ascii="宋体" w:hAnsi="宋体" w:cs="宋体"/>
                <w:bCs/>
                <w:iCs/>
                <w:szCs w:val="21"/>
              </w:rPr>
            </w:pPr>
            <w:r>
              <w:rPr>
                <w:rFonts w:hint="eastAsia" w:ascii="宋体" w:hAnsi="宋体" w:cs="宋体"/>
                <w:bCs/>
                <w:iCs/>
                <w:szCs w:val="21"/>
              </w:rPr>
              <w:t>患者术后24小时内，提醒再次进行VTE风险评估。在患者完成手术后，根据对该患者入院时所选用的评分表，系统应主动提醒完成对应的VTE评估。对未进行VTE风险评估的患者可以根据患者入院情况进行评估。在完成相关评估后，可自动获取评估结果，质控提醒自动消失。</w:t>
            </w:r>
          </w:p>
          <w:p w14:paraId="75896B1E">
            <w:pPr>
              <w:pStyle w:val="2"/>
              <w:spacing w:line="360" w:lineRule="auto"/>
              <w:rPr>
                <w:rFonts w:hint="eastAsia" w:ascii="宋体" w:hAnsi="宋体" w:cs="宋体"/>
                <w:b w:val="0"/>
                <w:iCs/>
                <w:sz w:val="21"/>
                <w:szCs w:val="21"/>
                <w:lang w:eastAsia="zh-CN"/>
              </w:rPr>
            </w:pPr>
            <w:r>
              <w:rPr>
                <w:rFonts w:ascii="宋体" w:hAnsi="宋体" w:cs="宋体"/>
                <w:b w:val="0"/>
                <w:iCs/>
                <w:sz w:val="21"/>
                <w:szCs w:val="21"/>
                <w:lang w:eastAsia="zh-CN"/>
              </w:rPr>
              <w:t>患者转科后24小时内，提醒再次进行VTE初始风险评估。在患者转入新的科室后，根据该患者入院时所选用的评分表，系统</w:t>
            </w:r>
            <w:r>
              <w:rPr>
                <w:rFonts w:hint="eastAsia" w:ascii="宋体" w:hAnsi="宋体" w:cs="宋体"/>
                <w:b w:val="0"/>
                <w:iCs/>
                <w:sz w:val="21"/>
                <w:szCs w:val="21"/>
                <w:lang w:eastAsia="zh-CN"/>
              </w:rPr>
              <w:t>提醒</w:t>
            </w:r>
            <w:r>
              <w:rPr>
                <w:rFonts w:ascii="宋体" w:hAnsi="宋体" w:cs="宋体"/>
                <w:b w:val="0"/>
                <w:iCs/>
                <w:sz w:val="21"/>
                <w:szCs w:val="21"/>
                <w:lang w:eastAsia="zh-CN"/>
              </w:rPr>
              <w:t>完成对应的VTE评估表，对未进行VTE风险评估的患者可以根据患者入院情况进行评估。在完成相关评估后，可自动获取评估结果，质控提醒自动消失。</w:t>
            </w:r>
          </w:p>
          <w:p w14:paraId="56810B23">
            <w:pPr>
              <w:spacing w:line="360" w:lineRule="auto"/>
              <w:rPr>
                <w:rFonts w:hint="eastAsia" w:ascii="宋体" w:hAnsi="宋体" w:cs="宋体"/>
                <w:bCs/>
                <w:iCs/>
                <w:szCs w:val="21"/>
              </w:rPr>
            </w:pPr>
            <w:r>
              <w:rPr>
                <w:rFonts w:ascii="宋体" w:hAnsi="宋体" w:cs="宋体"/>
                <w:bCs/>
                <w:iCs/>
                <w:szCs w:val="21"/>
              </w:rPr>
              <w:t>患者出院前后24小时内，提醒再次进行VTE风险评估。在患者出院时，根据该患者入院时所选用的评分表，系统</w:t>
            </w:r>
            <w:r>
              <w:rPr>
                <w:rFonts w:hint="eastAsia" w:ascii="宋体" w:hAnsi="宋体" w:cs="宋体"/>
                <w:bCs/>
                <w:iCs/>
                <w:szCs w:val="21"/>
              </w:rPr>
              <w:t>提醒</w:t>
            </w:r>
            <w:r>
              <w:rPr>
                <w:rFonts w:ascii="宋体" w:hAnsi="宋体" w:cs="宋体"/>
                <w:bCs/>
                <w:iCs/>
                <w:szCs w:val="21"/>
              </w:rPr>
              <w:t>完成对应的VTE评估表，对未进行VTE风险评估的患者可以根据患者入院情况进行评估在完成相关评估后，可自动获取评估结果，质控提醒自动消失。</w:t>
            </w:r>
          </w:p>
        </w:tc>
      </w:tr>
      <w:tr w14:paraId="507D9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79" w:type="pct"/>
            <w:vAlign w:val="center"/>
          </w:tcPr>
          <w:p w14:paraId="07F73A44">
            <w:pPr>
              <w:spacing w:line="440" w:lineRule="exact"/>
              <w:jc w:val="center"/>
              <w:rPr>
                <w:rFonts w:hint="eastAsia" w:ascii="宋体" w:hAnsi="宋体" w:cs="宋体"/>
                <w:bCs/>
                <w:iCs/>
                <w:szCs w:val="21"/>
              </w:rPr>
            </w:pPr>
            <w:r>
              <w:rPr>
                <w:rFonts w:hint="eastAsia" w:ascii="宋体" w:hAnsi="宋体" w:cs="宋体"/>
                <w:bCs/>
                <w:iCs/>
                <w:szCs w:val="21"/>
              </w:rPr>
              <w:t>3</w:t>
            </w:r>
          </w:p>
        </w:tc>
        <w:tc>
          <w:tcPr>
            <w:tcW w:w="1165" w:type="pct"/>
            <w:vAlign w:val="center"/>
          </w:tcPr>
          <w:p w14:paraId="32830564">
            <w:pPr>
              <w:widowControl/>
              <w:spacing w:line="440" w:lineRule="exact"/>
              <w:jc w:val="center"/>
              <w:rPr>
                <w:rFonts w:hint="eastAsia" w:ascii="宋体" w:hAnsi="宋体" w:cs="宋体"/>
                <w:bCs/>
                <w:iCs/>
                <w:szCs w:val="21"/>
              </w:rPr>
            </w:pPr>
            <w:r>
              <w:rPr>
                <w:rFonts w:ascii="宋体" w:hAnsi="宋体" w:cs="宋体"/>
                <w:bCs/>
                <w:iCs/>
                <w:szCs w:val="21"/>
              </w:rPr>
              <w:t>出血风险评估</w:t>
            </w:r>
          </w:p>
        </w:tc>
        <w:tc>
          <w:tcPr>
            <w:tcW w:w="3356" w:type="pct"/>
            <w:vAlign w:val="center"/>
          </w:tcPr>
          <w:p w14:paraId="328FC4CC">
            <w:pPr>
              <w:pStyle w:val="2"/>
              <w:spacing w:line="360" w:lineRule="auto"/>
              <w:rPr>
                <w:rFonts w:hint="eastAsia" w:ascii="宋体" w:hAnsi="宋体" w:cs="宋体"/>
                <w:b w:val="0"/>
                <w:iCs/>
                <w:sz w:val="21"/>
                <w:szCs w:val="21"/>
                <w:lang w:eastAsia="zh-CN"/>
              </w:rPr>
            </w:pPr>
            <w:r>
              <w:rPr>
                <w:rFonts w:ascii="宋体" w:hAnsi="宋体" w:cs="宋体"/>
                <w:b w:val="0"/>
                <w:iCs/>
                <w:sz w:val="21"/>
                <w:szCs w:val="21"/>
                <w:lang w:eastAsia="zh-CN"/>
              </w:rPr>
              <w:t>能够实时根据患者在院情况自动判断，对未进行出血风险评估的VTE风险中高危患者，进行出血风险评估提醒。在完成相关评估后，可实时自动获取评估结果，质控提醒自动消失。</w:t>
            </w:r>
          </w:p>
        </w:tc>
      </w:tr>
      <w:tr w14:paraId="1A0D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79" w:type="pct"/>
            <w:vAlign w:val="center"/>
          </w:tcPr>
          <w:p w14:paraId="7C969428">
            <w:pPr>
              <w:spacing w:line="440" w:lineRule="exact"/>
              <w:jc w:val="center"/>
              <w:rPr>
                <w:rFonts w:hint="eastAsia" w:ascii="宋体" w:hAnsi="宋体" w:cs="宋体"/>
                <w:bCs/>
                <w:iCs/>
                <w:szCs w:val="21"/>
              </w:rPr>
            </w:pPr>
            <w:r>
              <w:rPr>
                <w:rFonts w:hint="eastAsia" w:ascii="宋体" w:hAnsi="宋体" w:cs="宋体"/>
                <w:bCs/>
                <w:iCs/>
                <w:szCs w:val="21"/>
              </w:rPr>
              <w:t>4</w:t>
            </w:r>
          </w:p>
        </w:tc>
        <w:tc>
          <w:tcPr>
            <w:tcW w:w="1165" w:type="pct"/>
            <w:vAlign w:val="center"/>
          </w:tcPr>
          <w:p w14:paraId="37BEB399">
            <w:pPr>
              <w:widowControl/>
              <w:spacing w:line="440" w:lineRule="exact"/>
              <w:jc w:val="center"/>
              <w:rPr>
                <w:rFonts w:hint="eastAsia" w:ascii="宋体" w:hAnsi="宋体" w:cs="宋体"/>
                <w:bCs/>
                <w:iCs/>
                <w:szCs w:val="21"/>
              </w:rPr>
            </w:pPr>
            <w:r>
              <w:rPr>
                <w:rFonts w:hint="eastAsia" w:ascii="宋体" w:hAnsi="宋体" w:cs="宋体"/>
                <w:bCs/>
                <w:iCs/>
                <w:szCs w:val="21"/>
              </w:rPr>
              <w:t>VTE动态评估结果记录</w:t>
            </w:r>
          </w:p>
        </w:tc>
        <w:tc>
          <w:tcPr>
            <w:tcW w:w="3356" w:type="pct"/>
            <w:vAlign w:val="center"/>
          </w:tcPr>
          <w:p w14:paraId="63179070">
            <w:pPr>
              <w:pStyle w:val="2"/>
              <w:spacing w:line="360" w:lineRule="auto"/>
              <w:rPr>
                <w:rFonts w:hint="eastAsia" w:ascii="宋体" w:hAnsi="宋体" w:cs="宋体"/>
                <w:b w:val="0"/>
                <w:iCs/>
                <w:sz w:val="21"/>
                <w:szCs w:val="21"/>
                <w:lang w:eastAsia="zh-CN"/>
              </w:rPr>
            </w:pPr>
            <w:r>
              <w:rPr>
                <w:rFonts w:ascii="宋体" w:hAnsi="宋体" w:cs="宋体"/>
                <w:b w:val="0"/>
                <w:iCs/>
                <w:sz w:val="21"/>
                <w:szCs w:val="21"/>
                <w:lang w:eastAsia="zh-CN"/>
              </w:rPr>
              <w:t>系统支持记录患者在院内动态评估结果</w:t>
            </w:r>
            <w:r>
              <w:rPr>
                <w:rFonts w:hint="eastAsia" w:ascii="宋体" w:hAnsi="宋体" w:cs="宋体"/>
                <w:b w:val="0"/>
                <w:iCs/>
                <w:sz w:val="21"/>
                <w:szCs w:val="21"/>
                <w:lang w:eastAsia="zh-CN"/>
              </w:rPr>
              <w:t>以及历次医嘱记录</w:t>
            </w:r>
            <w:r>
              <w:rPr>
                <w:rFonts w:ascii="宋体" w:hAnsi="宋体" w:cs="宋体"/>
                <w:b w:val="0"/>
                <w:iCs/>
                <w:sz w:val="21"/>
                <w:szCs w:val="21"/>
                <w:lang w:eastAsia="zh-CN"/>
              </w:rPr>
              <w:t>，供医务人员分析患者的评估结果变化趋势</w:t>
            </w:r>
            <w:r>
              <w:rPr>
                <w:rFonts w:hint="eastAsia" w:ascii="宋体" w:hAnsi="宋体" w:cs="宋体"/>
                <w:b w:val="0"/>
                <w:iCs/>
                <w:sz w:val="21"/>
                <w:szCs w:val="21"/>
                <w:lang w:eastAsia="zh-CN"/>
              </w:rPr>
              <w:t>。</w:t>
            </w:r>
          </w:p>
        </w:tc>
      </w:tr>
      <w:tr w14:paraId="5D1E8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479" w:type="pct"/>
            <w:vAlign w:val="center"/>
          </w:tcPr>
          <w:p w14:paraId="014D4DDA">
            <w:pPr>
              <w:spacing w:line="440" w:lineRule="exact"/>
              <w:jc w:val="center"/>
              <w:rPr>
                <w:rFonts w:hint="eastAsia" w:ascii="宋体" w:hAnsi="宋体" w:cs="宋体"/>
                <w:bCs/>
                <w:iCs/>
                <w:szCs w:val="21"/>
              </w:rPr>
            </w:pPr>
            <w:r>
              <w:rPr>
                <w:rFonts w:hint="eastAsia" w:ascii="宋体" w:hAnsi="宋体" w:cs="宋体"/>
                <w:bCs/>
                <w:iCs/>
                <w:szCs w:val="21"/>
              </w:rPr>
              <w:t>5</w:t>
            </w:r>
          </w:p>
        </w:tc>
        <w:tc>
          <w:tcPr>
            <w:tcW w:w="1165" w:type="pct"/>
            <w:vAlign w:val="center"/>
          </w:tcPr>
          <w:p w14:paraId="0DB05953">
            <w:pPr>
              <w:widowControl/>
              <w:spacing w:line="440" w:lineRule="exact"/>
              <w:jc w:val="center"/>
              <w:rPr>
                <w:rFonts w:hint="eastAsia" w:ascii="宋体" w:hAnsi="宋体" w:cs="宋体"/>
                <w:bCs/>
                <w:iCs/>
                <w:szCs w:val="21"/>
              </w:rPr>
            </w:pPr>
            <w:r>
              <w:rPr>
                <w:rFonts w:ascii="宋体" w:hAnsi="宋体" w:cs="宋体"/>
                <w:bCs/>
                <w:iCs/>
                <w:szCs w:val="21"/>
              </w:rPr>
              <w:t>VTE评估打印</w:t>
            </w:r>
          </w:p>
        </w:tc>
        <w:tc>
          <w:tcPr>
            <w:tcW w:w="3356" w:type="pct"/>
            <w:vAlign w:val="center"/>
          </w:tcPr>
          <w:p w14:paraId="7C29729A">
            <w:pPr>
              <w:pStyle w:val="2"/>
              <w:spacing w:line="360" w:lineRule="auto"/>
              <w:rPr>
                <w:rFonts w:hint="eastAsia" w:ascii="宋体" w:hAnsi="宋体" w:cs="宋体"/>
                <w:b w:val="0"/>
                <w:iCs/>
                <w:sz w:val="21"/>
                <w:szCs w:val="21"/>
                <w:lang w:eastAsia="zh-CN"/>
              </w:rPr>
            </w:pPr>
            <w:r>
              <w:rPr>
                <w:rFonts w:ascii="宋体" w:hAnsi="宋体" w:cs="宋体"/>
                <w:b w:val="0"/>
                <w:iCs/>
                <w:sz w:val="21"/>
                <w:szCs w:val="21"/>
                <w:lang w:eastAsia="zh-CN"/>
              </w:rPr>
              <w:t>支持在线打印VTE评估表。</w:t>
            </w:r>
          </w:p>
        </w:tc>
      </w:tr>
      <w:tr w14:paraId="4B2F4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479" w:type="pct"/>
            <w:vAlign w:val="center"/>
          </w:tcPr>
          <w:p w14:paraId="77167B53">
            <w:pPr>
              <w:spacing w:line="440" w:lineRule="exact"/>
              <w:jc w:val="center"/>
              <w:rPr>
                <w:rFonts w:hint="eastAsia" w:ascii="宋体" w:hAnsi="宋体" w:cs="宋体"/>
                <w:bCs/>
                <w:iCs/>
                <w:szCs w:val="21"/>
              </w:rPr>
            </w:pPr>
            <w:r>
              <w:rPr>
                <w:rFonts w:hint="eastAsia" w:ascii="宋体" w:hAnsi="宋体" w:cs="宋体"/>
                <w:bCs/>
                <w:iCs/>
                <w:szCs w:val="21"/>
              </w:rPr>
              <w:t>6</w:t>
            </w:r>
          </w:p>
        </w:tc>
        <w:tc>
          <w:tcPr>
            <w:tcW w:w="1165" w:type="pct"/>
            <w:vAlign w:val="center"/>
          </w:tcPr>
          <w:p w14:paraId="3486068E">
            <w:pPr>
              <w:widowControl/>
              <w:spacing w:line="440" w:lineRule="exact"/>
              <w:jc w:val="center"/>
              <w:rPr>
                <w:rFonts w:hint="eastAsia" w:ascii="宋体" w:hAnsi="宋体" w:cs="宋体"/>
                <w:bCs/>
                <w:iCs/>
                <w:szCs w:val="21"/>
              </w:rPr>
            </w:pPr>
            <w:r>
              <w:rPr>
                <w:rFonts w:ascii="宋体" w:hAnsi="宋体" w:cs="宋体"/>
                <w:bCs/>
                <w:iCs/>
                <w:szCs w:val="21"/>
              </w:rPr>
              <w:t>VTE预防措施</w:t>
            </w:r>
          </w:p>
        </w:tc>
        <w:tc>
          <w:tcPr>
            <w:tcW w:w="3356" w:type="pct"/>
            <w:vAlign w:val="center"/>
          </w:tcPr>
          <w:p w14:paraId="075B0DDB">
            <w:pPr>
              <w:pStyle w:val="2"/>
              <w:spacing w:line="360" w:lineRule="auto"/>
              <w:rPr>
                <w:rFonts w:hint="eastAsia" w:ascii="宋体" w:hAnsi="宋体" w:cs="宋体"/>
                <w:b w:val="0"/>
                <w:iCs/>
                <w:sz w:val="21"/>
                <w:szCs w:val="21"/>
                <w:lang w:eastAsia="zh-CN"/>
              </w:rPr>
            </w:pPr>
            <w:r>
              <w:rPr>
                <w:rFonts w:ascii="宋体" w:hAnsi="宋体" w:cs="宋体"/>
                <w:b w:val="0"/>
                <w:iCs/>
                <w:sz w:val="21"/>
                <w:szCs w:val="21"/>
                <w:lang w:eastAsia="zh-CN"/>
              </w:rPr>
              <w:t>患者VTE风险评分结果为中高危时，系统应主动提醒医务人员采取VTE的预防措施，如：梯度弹力袜、动静脉脉冲系统、间歇充气加压装置、抗凝治疗等内容。系统应实时根据患者在院情况自动判断，对未进行VTE预防措施的VTE风险中高危患者，主动提醒进行VTE预防措施的实施。在医生开具上述任意一项预防性措施医嘱后，质控提醒自动消失。</w:t>
            </w:r>
          </w:p>
        </w:tc>
      </w:tr>
      <w:tr w14:paraId="2952D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479" w:type="pct"/>
            <w:vAlign w:val="center"/>
          </w:tcPr>
          <w:p w14:paraId="70D89501">
            <w:pPr>
              <w:spacing w:line="440" w:lineRule="exact"/>
              <w:jc w:val="center"/>
              <w:rPr>
                <w:rFonts w:hint="eastAsia" w:ascii="宋体" w:hAnsi="宋体" w:cs="宋体"/>
                <w:bCs/>
                <w:iCs/>
                <w:szCs w:val="21"/>
              </w:rPr>
            </w:pPr>
            <w:r>
              <w:rPr>
                <w:rFonts w:hint="eastAsia" w:ascii="宋体" w:hAnsi="宋体" w:cs="宋体"/>
                <w:bCs/>
                <w:iCs/>
                <w:szCs w:val="21"/>
              </w:rPr>
              <w:t>7</w:t>
            </w:r>
          </w:p>
        </w:tc>
        <w:tc>
          <w:tcPr>
            <w:tcW w:w="1165" w:type="pct"/>
            <w:vAlign w:val="center"/>
          </w:tcPr>
          <w:p w14:paraId="3FD93F53">
            <w:pPr>
              <w:widowControl/>
              <w:spacing w:line="440" w:lineRule="exact"/>
              <w:jc w:val="center"/>
              <w:rPr>
                <w:rFonts w:hint="eastAsia" w:ascii="宋体" w:hAnsi="宋体" w:cs="宋体"/>
                <w:bCs/>
                <w:iCs/>
                <w:szCs w:val="21"/>
              </w:rPr>
            </w:pPr>
            <w:r>
              <w:rPr>
                <w:rFonts w:ascii="宋体" w:hAnsi="宋体" w:cs="宋体"/>
                <w:bCs/>
                <w:iCs/>
                <w:szCs w:val="21"/>
              </w:rPr>
              <w:t>VTE质控平台</w:t>
            </w:r>
          </w:p>
        </w:tc>
        <w:tc>
          <w:tcPr>
            <w:tcW w:w="3356" w:type="pct"/>
            <w:vAlign w:val="center"/>
          </w:tcPr>
          <w:p w14:paraId="2153DD05">
            <w:pPr>
              <w:spacing w:line="360" w:lineRule="auto"/>
              <w:rPr>
                <w:rFonts w:hint="eastAsia" w:ascii="宋体" w:hAnsi="宋体" w:cs="宋体"/>
                <w:b/>
                <w:iCs/>
                <w:szCs w:val="21"/>
              </w:rPr>
            </w:pPr>
            <w:r>
              <w:rPr>
                <w:rFonts w:hint="eastAsia" w:ascii="宋体" w:hAnsi="宋体" w:cs="宋体"/>
                <w:bCs/>
                <w:iCs/>
                <w:szCs w:val="21"/>
              </w:rPr>
              <w:t>可查看VTE防治统计数据。能够提供管理部门完整、详细的数据统计分析报表，可以从管理端直观、多维度查看VTE防治效果。</w:t>
            </w:r>
          </w:p>
        </w:tc>
      </w:tr>
      <w:tr w14:paraId="2DA1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79" w:type="pct"/>
            <w:vAlign w:val="center"/>
          </w:tcPr>
          <w:p w14:paraId="6A4FC9E7">
            <w:pPr>
              <w:spacing w:line="440" w:lineRule="exact"/>
              <w:jc w:val="center"/>
              <w:rPr>
                <w:rFonts w:hint="eastAsia" w:ascii="宋体" w:hAnsi="宋体" w:cs="宋体"/>
                <w:kern w:val="0"/>
                <w:szCs w:val="21"/>
              </w:rPr>
            </w:pPr>
            <w:r>
              <w:rPr>
                <w:rFonts w:hint="eastAsia" w:ascii="宋体" w:hAnsi="宋体" w:cs="宋体"/>
                <w:kern w:val="0"/>
                <w:szCs w:val="21"/>
              </w:rPr>
              <w:t>8</w:t>
            </w:r>
          </w:p>
        </w:tc>
        <w:tc>
          <w:tcPr>
            <w:tcW w:w="1165" w:type="pct"/>
            <w:vAlign w:val="center"/>
          </w:tcPr>
          <w:p w14:paraId="12018753">
            <w:pPr>
              <w:spacing w:line="440" w:lineRule="exact"/>
              <w:jc w:val="center"/>
              <w:rPr>
                <w:rFonts w:hint="eastAsia" w:ascii="宋体" w:hAnsi="宋体" w:cs="宋体"/>
                <w:bCs/>
                <w:iCs/>
                <w:szCs w:val="21"/>
              </w:rPr>
            </w:pPr>
            <w:r>
              <w:rPr>
                <w:rFonts w:ascii="宋体" w:hAnsi="宋体" w:cs="宋体"/>
                <w:bCs/>
                <w:iCs/>
                <w:szCs w:val="21"/>
              </w:rPr>
              <w:t>VTE质控平台</w:t>
            </w:r>
            <w:r>
              <w:rPr>
                <w:rFonts w:hint="eastAsia" w:ascii="宋体" w:hAnsi="宋体" w:cs="宋体"/>
                <w:bCs/>
                <w:iCs/>
                <w:szCs w:val="21"/>
              </w:rPr>
              <w:t>在院监测</w:t>
            </w:r>
          </w:p>
        </w:tc>
        <w:tc>
          <w:tcPr>
            <w:tcW w:w="3356" w:type="pct"/>
            <w:vAlign w:val="center"/>
          </w:tcPr>
          <w:p w14:paraId="5FB13DE9">
            <w:pPr>
              <w:spacing w:line="360" w:lineRule="auto"/>
              <w:rPr>
                <w:rFonts w:hint="eastAsia" w:ascii="宋体" w:hAnsi="宋体" w:cs="宋体"/>
                <w:bCs/>
                <w:iCs/>
                <w:szCs w:val="21"/>
              </w:rPr>
            </w:pPr>
            <w:r>
              <w:rPr>
                <w:kern w:val="0"/>
              </w:rPr>
              <w:t>支持管理者对在院患者VTE防治措施执行情况进行监管，提醒医生对未按规范防治的高危患者及时采取补救措施进行防治、避免和减少因未及时防治而导致的VTE发生率及致死率。</w:t>
            </w:r>
          </w:p>
        </w:tc>
      </w:tr>
      <w:tr w14:paraId="568D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479" w:type="pct"/>
            <w:vAlign w:val="center"/>
          </w:tcPr>
          <w:p w14:paraId="169A67FB">
            <w:pPr>
              <w:spacing w:line="440" w:lineRule="exact"/>
              <w:jc w:val="center"/>
              <w:rPr>
                <w:rFonts w:hint="eastAsia" w:ascii="宋体" w:hAnsi="宋体" w:cs="宋体"/>
                <w:kern w:val="0"/>
                <w:szCs w:val="21"/>
              </w:rPr>
            </w:pPr>
            <w:r>
              <w:rPr>
                <w:rFonts w:hint="eastAsia" w:ascii="宋体" w:hAnsi="宋体" w:cs="宋体"/>
                <w:kern w:val="0"/>
                <w:szCs w:val="21"/>
              </w:rPr>
              <w:t>9</w:t>
            </w:r>
          </w:p>
        </w:tc>
        <w:tc>
          <w:tcPr>
            <w:tcW w:w="1165" w:type="pct"/>
            <w:vAlign w:val="center"/>
          </w:tcPr>
          <w:p w14:paraId="3C93D61C">
            <w:pPr>
              <w:spacing w:line="440" w:lineRule="exact"/>
              <w:jc w:val="center"/>
              <w:rPr>
                <w:rFonts w:hint="eastAsia" w:ascii="宋体" w:hAnsi="宋体" w:cs="宋体"/>
                <w:bCs/>
                <w:iCs/>
                <w:szCs w:val="21"/>
              </w:rPr>
            </w:pPr>
            <w:r>
              <w:rPr>
                <w:rFonts w:ascii="宋体" w:hAnsi="宋体" w:cs="宋体"/>
                <w:bCs/>
                <w:iCs/>
                <w:szCs w:val="21"/>
              </w:rPr>
              <w:t>VTE质控平台指标统计</w:t>
            </w:r>
          </w:p>
        </w:tc>
        <w:tc>
          <w:tcPr>
            <w:tcW w:w="3356" w:type="pct"/>
            <w:vAlign w:val="center"/>
          </w:tcPr>
          <w:p w14:paraId="08BE94A1">
            <w:pPr>
              <w:pStyle w:val="57"/>
              <w:kinsoku w:val="0"/>
              <w:overflowPunct w:val="0"/>
              <w:spacing w:line="360" w:lineRule="auto"/>
              <w:ind w:hanging="158"/>
              <w:rPr>
                <w:rFonts w:ascii="Arial" w:hAnsi="Arial" w:cs="Arial"/>
                <w:kern w:val="0"/>
                <w:sz w:val="21"/>
                <w:szCs w:val="24"/>
              </w:rPr>
            </w:pPr>
            <w:r>
              <w:rPr>
                <w:rFonts w:ascii="Arial" w:hAnsi="Arial" w:cs="Arial"/>
                <w:kern w:val="0"/>
                <w:sz w:val="21"/>
                <w:szCs w:val="24"/>
              </w:rPr>
              <w:t>医院和科室管理人员可对全院、或按科室对各科室患者的VTE防治质控指标的达成情况和VTE实际发生率分析一览、查看相关患者明细，同时支持按年龄、是否手术、是否为院外VTE、是否正在接受抗凝治疗、是否有机械预防禁忌等条件查看患者明细</w:t>
            </w:r>
            <w:r>
              <w:rPr>
                <w:rFonts w:hint="eastAsia" w:ascii="Arial" w:hAnsi="Arial" w:cs="Arial"/>
                <w:kern w:val="0"/>
                <w:sz w:val="21"/>
                <w:szCs w:val="24"/>
              </w:rPr>
              <w:t>，</w:t>
            </w:r>
            <w:r>
              <w:rPr>
                <w:rFonts w:ascii="Arial" w:hAnsi="Arial" w:cs="Arial"/>
                <w:kern w:val="0"/>
                <w:sz w:val="21"/>
                <w:szCs w:val="24"/>
              </w:rPr>
              <w:t>便于回顾追踪患者在院期间的VTE防治情况。</w:t>
            </w:r>
          </w:p>
          <w:p w14:paraId="1258A528">
            <w:pPr>
              <w:pStyle w:val="57"/>
              <w:kinsoku w:val="0"/>
              <w:overflowPunct w:val="0"/>
              <w:spacing w:line="360" w:lineRule="auto"/>
              <w:ind w:hanging="158"/>
              <w:rPr>
                <w:rFonts w:ascii="Arial" w:hAnsi="Arial" w:cs="Arial"/>
                <w:kern w:val="0"/>
                <w:sz w:val="21"/>
                <w:szCs w:val="24"/>
              </w:rPr>
            </w:pPr>
            <w:r>
              <w:rPr>
                <w:rFonts w:hint="eastAsia" w:ascii="Arial" w:hAnsi="Arial" w:cs="Arial"/>
                <w:kern w:val="0"/>
                <w:sz w:val="21"/>
                <w:szCs w:val="24"/>
              </w:rPr>
              <w:t>评估指标：支持按全院/科室/时间等不同维度筛选，统计指标包括，入院、术后、转科等关键节点的VTE评估情况、不同人群出血评估统计，各个指标支持下钻、科室分布图以及趋势图。</w:t>
            </w:r>
          </w:p>
          <w:p w14:paraId="0E89C66B">
            <w:pPr>
              <w:pStyle w:val="57"/>
              <w:kinsoku w:val="0"/>
              <w:overflowPunct w:val="0"/>
              <w:spacing w:line="360" w:lineRule="auto"/>
              <w:ind w:hanging="158"/>
              <w:rPr>
                <w:rFonts w:ascii="Arial" w:hAnsi="Arial" w:cs="Arial"/>
                <w:kern w:val="0"/>
                <w:sz w:val="21"/>
                <w:szCs w:val="24"/>
              </w:rPr>
            </w:pPr>
            <w:r>
              <w:rPr>
                <w:rFonts w:hint="eastAsia" w:ascii="Arial" w:hAnsi="Arial" w:cs="Arial"/>
                <w:kern w:val="0"/>
                <w:sz w:val="21"/>
                <w:szCs w:val="24"/>
              </w:rPr>
              <w:t>预防详情指标：支持按全院/科室/时间等不同维度筛选，统计指标包括机械、药物等不同层面，各个指标支持下钻、科室分布图以及趋势图。</w:t>
            </w:r>
          </w:p>
        </w:tc>
      </w:tr>
    </w:tbl>
    <w:p w14:paraId="3BD13B9A">
      <w:pPr>
        <w:pStyle w:val="3"/>
        <w:numPr>
          <w:ilvl w:val="0"/>
          <w:numId w:val="1"/>
        </w:numPr>
        <w:tabs>
          <w:tab w:val="left" w:pos="720"/>
          <w:tab w:val="left" w:pos="1980"/>
        </w:tabs>
        <w:spacing w:after="160" w:line="440" w:lineRule="exact"/>
        <w:ind w:left="158" w:hanging="158"/>
        <w:rPr>
          <w:rFonts w:hint="eastAsia" w:hAnsi="宋体" w:cs="宋体"/>
          <w:sz w:val="21"/>
          <w:szCs w:val="21"/>
        </w:rPr>
      </w:pPr>
      <w:r>
        <w:rPr>
          <w:rFonts w:hint="eastAsia" w:hAnsi="宋体" w:cs="宋体"/>
          <w:sz w:val="21"/>
          <w:szCs w:val="21"/>
        </w:rPr>
        <w:t>技术要求</w:t>
      </w:r>
    </w:p>
    <w:p w14:paraId="735850C4">
      <w:pPr>
        <w:pStyle w:val="29"/>
        <w:numPr>
          <w:ilvl w:val="0"/>
          <w:numId w:val="2"/>
        </w:numPr>
        <w:spacing w:line="440" w:lineRule="exact"/>
        <w:ind w:firstLineChars="0"/>
        <w:outlineLvl w:val="1"/>
        <w:rPr>
          <w:rFonts w:hint="eastAsia" w:ascii="宋体" w:hAnsi="宋体" w:cs="宋体"/>
          <w:b/>
          <w:szCs w:val="21"/>
        </w:rPr>
      </w:pPr>
      <w:r>
        <w:rPr>
          <w:rFonts w:hint="eastAsia" w:ascii="宋体" w:hAnsi="宋体" w:cs="宋体"/>
          <w:b/>
          <w:szCs w:val="21"/>
        </w:rPr>
        <w:t>总体要求</w:t>
      </w:r>
    </w:p>
    <w:p w14:paraId="2874EED5">
      <w:pPr>
        <w:spacing w:line="360" w:lineRule="auto"/>
        <w:ind w:firstLine="420" w:firstLineChars="200"/>
        <w:rPr>
          <w:kern w:val="0"/>
        </w:rPr>
      </w:pPr>
      <w:r>
        <w:rPr>
          <w:rFonts w:hint="eastAsia"/>
          <w:kern w:val="0"/>
        </w:rPr>
        <w:t>保障系统稳定性与可用性要求。系统具备7×24小时连续运行能力。提供服务器、产品功能、数据采集定期巡检服务。</w:t>
      </w:r>
    </w:p>
    <w:p w14:paraId="3FD9C207">
      <w:pPr>
        <w:pStyle w:val="29"/>
        <w:numPr>
          <w:ilvl w:val="0"/>
          <w:numId w:val="2"/>
        </w:numPr>
        <w:spacing w:line="440" w:lineRule="exact"/>
        <w:ind w:firstLineChars="0"/>
        <w:outlineLvl w:val="1"/>
        <w:rPr>
          <w:rFonts w:hint="eastAsia" w:ascii="宋体" w:hAnsi="宋体" w:cs="宋体"/>
          <w:b/>
          <w:szCs w:val="21"/>
        </w:rPr>
      </w:pPr>
      <w:r>
        <w:rPr>
          <w:rFonts w:hint="eastAsia" w:ascii="宋体" w:hAnsi="宋体" w:cs="宋体"/>
          <w:b/>
          <w:szCs w:val="21"/>
        </w:rPr>
        <w:t>维保服务要求</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9"/>
        <w:gridCol w:w="6913"/>
      </w:tblGrid>
      <w:tr w14:paraId="49004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161A11C">
            <w:pPr>
              <w:spacing w:line="440" w:lineRule="exact"/>
              <w:ind w:hanging="158"/>
              <w:jc w:val="center"/>
              <w:rPr>
                <w:rFonts w:hint="eastAsia" w:ascii="宋体" w:hAnsi="宋体" w:cs="宋体"/>
                <w:b/>
                <w:bCs/>
                <w:szCs w:val="21"/>
              </w:rPr>
            </w:pPr>
            <w:r>
              <w:rPr>
                <w:rFonts w:hint="eastAsia" w:ascii="宋体" w:hAnsi="宋体" w:cs="宋体"/>
                <w:b/>
                <w:bCs/>
                <w:szCs w:val="21"/>
              </w:rPr>
              <w:t>序号</w:t>
            </w:r>
          </w:p>
        </w:tc>
        <w:tc>
          <w:tcPr>
            <w:tcW w:w="4056" w:type="pct"/>
            <w:vAlign w:val="center"/>
          </w:tcPr>
          <w:p w14:paraId="5FAE8DD2">
            <w:pPr>
              <w:spacing w:line="440" w:lineRule="exact"/>
              <w:ind w:hanging="158"/>
              <w:jc w:val="center"/>
              <w:rPr>
                <w:rFonts w:hint="eastAsia" w:ascii="宋体" w:hAnsi="宋体" w:cs="宋体"/>
                <w:b/>
                <w:bCs/>
                <w:szCs w:val="21"/>
              </w:rPr>
            </w:pPr>
            <w:r>
              <w:rPr>
                <w:rFonts w:hint="eastAsia" w:ascii="宋体" w:hAnsi="宋体" w:cs="宋体"/>
                <w:b/>
                <w:bCs/>
                <w:szCs w:val="21"/>
              </w:rPr>
              <w:t>技术说明</w:t>
            </w:r>
          </w:p>
        </w:tc>
      </w:tr>
      <w:tr w14:paraId="4760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79A6193">
            <w:pPr>
              <w:pStyle w:val="29"/>
              <w:numPr>
                <w:ilvl w:val="0"/>
                <w:numId w:val="3"/>
              </w:numPr>
              <w:spacing w:line="440" w:lineRule="exact"/>
              <w:ind w:firstLineChars="0"/>
              <w:jc w:val="center"/>
              <w:rPr>
                <w:rFonts w:hint="eastAsia" w:ascii="宋体" w:hAnsi="宋体" w:cs="宋体"/>
                <w:b/>
                <w:bCs/>
                <w:szCs w:val="21"/>
              </w:rPr>
            </w:pPr>
          </w:p>
        </w:tc>
        <w:tc>
          <w:tcPr>
            <w:tcW w:w="4056" w:type="pct"/>
            <w:vAlign w:val="center"/>
          </w:tcPr>
          <w:p w14:paraId="49F5D975">
            <w:pPr>
              <w:spacing w:line="440" w:lineRule="exact"/>
              <w:jc w:val="center"/>
              <w:rPr>
                <w:rFonts w:hint="eastAsia" w:ascii="宋体" w:hAnsi="宋体" w:cs="宋体"/>
                <w:bCs/>
                <w:i/>
                <w:color w:val="FF0000"/>
                <w:szCs w:val="21"/>
              </w:rPr>
            </w:pPr>
            <w:r>
              <w:rPr>
                <w:rFonts w:hint="eastAsia" w:ascii="宋体" w:hAnsi="宋体" w:cs="宋体"/>
                <w:bCs/>
                <w:iCs/>
                <w:color w:val="000000" w:themeColor="text1"/>
                <w:szCs w:val="21"/>
                <w14:textFill>
                  <w14:solidFill>
                    <w14:schemeClr w14:val="tx1"/>
                  </w14:solidFill>
                </w14:textFill>
              </w:rPr>
              <w:t>服务范围</w:t>
            </w:r>
          </w:p>
        </w:tc>
      </w:tr>
      <w:tr w14:paraId="4682C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AAC593B">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0A1615E7">
            <w:pPr>
              <w:spacing w:line="440" w:lineRule="exact"/>
              <w:jc w:val="left"/>
              <w:rPr>
                <w:rFonts w:hint="eastAsia" w:ascii="宋体" w:hAnsi="宋体" w:cs="宋体"/>
                <w:bCs/>
                <w:iCs/>
                <w:szCs w:val="21"/>
              </w:rPr>
            </w:pPr>
            <w:r>
              <w:rPr>
                <w:rFonts w:hint="eastAsia" w:ascii="宋体" w:hAnsi="宋体" w:cs="宋体"/>
                <w:bCs/>
                <w:iCs/>
                <w:szCs w:val="21"/>
              </w:rPr>
              <w:t>系统问题处理服务：提供系统使用方面问题的相关咨询服务，并对医院提出的系统问题及时响应，保障问题处理时效性，并输出问题处理记录。</w:t>
            </w:r>
          </w:p>
        </w:tc>
      </w:tr>
      <w:tr w14:paraId="39255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3527E92B">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28790B61">
            <w:pPr>
              <w:spacing w:line="440" w:lineRule="exact"/>
              <w:jc w:val="left"/>
              <w:rPr>
                <w:rFonts w:hint="eastAsia" w:ascii="宋体" w:hAnsi="宋体" w:cs="宋体"/>
                <w:bCs/>
                <w:iCs/>
                <w:szCs w:val="21"/>
              </w:rPr>
            </w:pPr>
            <w:r>
              <w:rPr>
                <w:rFonts w:hint="eastAsia" w:ascii="宋体" w:hAnsi="宋体" w:cs="宋体"/>
                <w:bCs/>
                <w:iCs/>
                <w:szCs w:val="21"/>
              </w:rPr>
              <w:t>系统实用操作手册：向用户提供最新的操作手册。</w:t>
            </w:r>
          </w:p>
        </w:tc>
      </w:tr>
      <w:tr w14:paraId="67169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F1B59A3">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0449B38B">
            <w:pPr>
              <w:spacing w:line="440" w:lineRule="exact"/>
              <w:jc w:val="left"/>
              <w:rPr>
                <w:rFonts w:hint="eastAsia" w:ascii="宋体" w:hAnsi="宋体" w:cs="宋体"/>
                <w:bCs/>
                <w:iCs/>
                <w:szCs w:val="21"/>
              </w:rPr>
            </w:pPr>
            <w:r>
              <w:rPr>
                <w:rFonts w:hint="eastAsia" w:ascii="宋体" w:hAnsi="宋体" w:cs="宋体"/>
                <w:bCs/>
                <w:iCs/>
                <w:szCs w:val="21"/>
              </w:rPr>
              <w:t>系统故障及时处理：针对系统出现应用故障进行及时响应处理，保障系统运行稳定性。</w:t>
            </w:r>
          </w:p>
        </w:tc>
      </w:tr>
      <w:tr w14:paraId="43CD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7FB5BDE">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22E9EBBB">
            <w:pPr>
              <w:spacing w:line="440" w:lineRule="exact"/>
              <w:jc w:val="left"/>
              <w:rPr>
                <w:rFonts w:hint="eastAsia" w:ascii="宋体" w:hAnsi="宋体" w:cs="宋体"/>
                <w:bCs/>
                <w:iCs/>
                <w:szCs w:val="21"/>
              </w:rPr>
            </w:pPr>
            <w:r>
              <w:rPr>
                <w:rFonts w:hint="eastAsia" w:ascii="宋体" w:hAnsi="宋体" w:cs="宋体"/>
                <w:bCs/>
                <w:iCs/>
                <w:szCs w:val="21"/>
              </w:rPr>
              <w:t>服务器巡检服务：一年一次的服务器巡检，包括但不限于操作系统、CPU、内存、磁盘占用，中间件、数据库应用情况进行巡检，保障系统稳定运行，并出具巡检报告。</w:t>
            </w:r>
          </w:p>
        </w:tc>
      </w:tr>
      <w:tr w14:paraId="0EDE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B79988C">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32DE2281">
            <w:pPr>
              <w:spacing w:line="440" w:lineRule="exact"/>
              <w:jc w:val="left"/>
              <w:rPr>
                <w:rFonts w:hint="eastAsia" w:ascii="宋体" w:hAnsi="宋体" w:cs="宋体"/>
                <w:bCs/>
                <w:iCs/>
                <w:szCs w:val="21"/>
              </w:rPr>
            </w:pPr>
            <w:r>
              <w:rPr>
                <w:rFonts w:hint="eastAsia" w:ascii="宋体" w:hAnsi="宋体" w:cs="宋体"/>
                <w:bCs/>
                <w:iCs/>
                <w:szCs w:val="21"/>
              </w:rPr>
              <w:t>产品功能巡检服务：一年一次的产品功能巡检服务，包括系统接口运行稳定性，产品功能应用稳定性，功能完整性，数据展现完整性进行稳定性巡检，并出具巡检报告。</w:t>
            </w:r>
          </w:p>
        </w:tc>
      </w:tr>
      <w:tr w14:paraId="77924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43F71E83">
            <w:pPr>
              <w:pStyle w:val="29"/>
              <w:numPr>
                <w:ilvl w:val="0"/>
                <w:numId w:val="4"/>
              </w:numPr>
              <w:spacing w:line="440" w:lineRule="exact"/>
              <w:ind w:firstLineChars="0"/>
              <w:jc w:val="center"/>
              <w:rPr>
                <w:rFonts w:hint="eastAsia" w:ascii="宋体" w:hAnsi="宋体" w:cs="宋体"/>
                <w:b/>
                <w:bCs/>
                <w:szCs w:val="21"/>
              </w:rPr>
            </w:pPr>
            <w:bookmarkStart w:id="3" w:name="_Hlk214354360"/>
          </w:p>
        </w:tc>
        <w:tc>
          <w:tcPr>
            <w:tcW w:w="4056" w:type="pct"/>
            <w:vAlign w:val="center"/>
          </w:tcPr>
          <w:p w14:paraId="7A5A5C42">
            <w:pPr>
              <w:spacing w:line="440" w:lineRule="exact"/>
              <w:jc w:val="left"/>
              <w:rPr>
                <w:rFonts w:hint="eastAsia" w:ascii="宋体" w:hAnsi="宋体" w:cs="宋体"/>
                <w:bCs/>
                <w:iCs/>
                <w:szCs w:val="21"/>
              </w:rPr>
            </w:pPr>
            <w:r>
              <w:rPr>
                <w:rFonts w:hint="eastAsia" w:ascii="宋体" w:hAnsi="宋体" w:cs="宋体"/>
                <w:bCs/>
                <w:iCs/>
                <w:szCs w:val="21"/>
              </w:rPr>
              <w:t>数据采集巡检服务：一年一次的数据采集巡检服务，对系统应用所需的采集服务进行稳定性巡检，保障数据采集服务稳定性，并出具巡检报告。</w:t>
            </w:r>
          </w:p>
        </w:tc>
      </w:tr>
      <w:bookmarkEnd w:id="3"/>
      <w:tr w14:paraId="1B8F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27EB2058">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02449189">
            <w:pPr>
              <w:spacing w:line="440" w:lineRule="exact"/>
              <w:jc w:val="left"/>
              <w:rPr>
                <w:rFonts w:hint="eastAsia" w:ascii="宋体" w:hAnsi="宋体" w:cs="宋体"/>
                <w:bCs/>
                <w:iCs/>
                <w:szCs w:val="21"/>
              </w:rPr>
            </w:pPr>
            <w:r>
              <w:rPr>
                <w:rFonts w:hint="eastAsia" w:ascii="宋体" w:hAnsi="宋体" w:cs="宋体"/>
                <w:bCs/>
                <w:iCs/>
                <w:szCs w:val="21"/>
              </w:rPr>
              <w:t>知识库现场更新：对于无法满足云端更新条件的医院，提供一年两次的知识库内容更新服务，并提供知识库更新内容详情。</w:t>
            </w:r>
          </w:p>
        </w:tc>
      </w:tr>
      <w:tr w14:paraId="4DEE2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05B5F18">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5C5BEF0A">
            <w:pPr>
              <w:spacing w:line="440" w:lineRule="exact"/>
              <w:jc w:val="left"/>
              <w:rPr>
                <w:rFonts w:hint="eastAsia" w:ascii="宋体" w:hAnsi="宋体" w:cs="宋体"/>
                <w:bCs/>
                <w:iCs/>
                <w:szCs w:val="21"/>
              </w:rPr>
            </w:pPr>
            <w:r>
              <w:rPr>
                <w:rFonts w:hint="eastAsia" w:ascii="宋体" w:hAnsi="宋体" w:cs="宋体"/>
                <w:bCs/>
                <w:iCs/>
                <w:szCs w:val="21"/>
              </w:rPr>
              <w:t>知识库云端更新：对于满足云端更新条件的医院，提供知识库云端每月一次更新，并提供知识库更新内容详情。</w:t>
            </w:r>
          </w:p>
        </w:tc>
      </w:tr>
      <w:tr w14:paraId="25D31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196BF27">
            <w:pPr>
              <w:pStyle w:val="29"/>
              <w:numPr>
                <w:ilvl w:val="0"/>
                <w:numId w:val="4"/>
              </w:numPr>
              <w:spacing w:line="440" w:lineRule="exact"/>
              <w:ind w:firstLineChars="0"/>
              <w:jc w:val="center"/>
              <w:rPr>
                <w:rFonts w:hint="eastAsia" w:ascii="宋体" w:hAnsi="宋体" w:cs="宋体"/>
                <w:b/>
                <w:bCs/>
                <w:szCs w:val="21"/>
              </w:rPr>
            </w:pPr>
          </w:p>
        </w:tc>
        <w:tc>
          <w:tcPr>
            <w:tcW w:w="4056" w:type="pct"/>
            <w:vAlign w:val="center"/>
          </w:tcPr>
          <w:p w14:paraId="6F302A49">
            <w:pPr>
              <w:spacing w:line="440" w:lineRule="exact"/>
              <w:jc w:val="left"/>
              <w:rPr>
                <w:rFonts w:hint="eastAsia" w:ascii="宋体" w:hAnsi="宋体" w:cs="宋体"/>
                <w:bCs/>
                <w:iCs/>
                <w:szCs w:val="21"/>
              </w:rPr>
            </w:pPr>
            <w:r>
              <w:rPr>
                <w:rFonts w:hint="eastAsia" w:ascii="宋体" w:hAnsi="宋体" w:cs="宋体"/>
                <w:bCs/>
                <w:iCs/>
                <w:szCs w:val="21"/>
              </w:rPr>
              <w:t>现场运营巡访：提供一年一次的现场医院产品使用情况回访，并针对回访情况进行总结及处理，进一步提高系统应用效果，并输出运营巡访报告。</w:t>
            </w:r>
          </w:p>
        </w:tc>
      </w:tr>
      <w:tr w14:paraId="4A166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60ABB913">
            <w:pPr>
              <w:pStyle w:val="29"/>
              <w:numPr>
                <w:ilvl w:val="0"/>
                <w:numId w:val="3"/>
              </w:numPr>
              <w:spacing w:line="440" w:lineRule="exact"/>
              <w:ind w:firstLineChars="0"/>
              <w:jc w:val="center"/>
              <w:rPr>
                <w:rFonts w:hint="eastAsia" w:ascii="宋体" w:hAnsi="宋体" w:cs="宋体"/>
                <w:b/>
                <w:bCs/>
                <w:szCs w:val="21"/>
              </w:rPr>
            </w:pPr>
          </w:p>
        </w:tc>
        <w:tc>
          <w:tcPr>
            <w:tcW w:w="4056" w:type="pct"/>
            <w:vAlign w:val="center"/>
          </w:tcPr>
          <w:p w14:paraId="0B4E36A8">
            <w:pPr>
              <w:spacing w:line="440" w:lineRule="exact"/>
              <w:jc w:val="center"/>
              <w:rPr>
                <w:rFonts w:hint="eastAsia" w:ascii="宋体" w:hAnsi="宋体" w:cs="宋体"/>
                <w:bCs/>
                <w:i/>
                <w:color w:val="FF0000"/>
                <w:szCs w:val="21"/>
              </w:rPr>
            </w:pPr>
            <w:r>
              <w:rPr>
                <w:rFonts w:hint="eastAsia" w:ascii="宋体" w:hAnsi="宋体" w:cs="宋体"/>
                <w:bCs/>
                <w:iCs/>
                <w:color w:val="000000" w:themeColor="text1"/>
                <w:szCs w:val="21"/>
                <w14:textFill>
                  <w14:solidFill>
                    <w14:schemeClr w14:val="tx1"/>
                  </w14:solidFill>
                </w14:textFill>
              </w:rPr>
              <w:t>服务要求</w:t>
            </w:r>
          </w:p>
        </w:tc>
      </w:tr>
      <w:tr w14:paraId="6EB5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780F2791">
            <w:pPr>
              <w:pStyle w:val="29"/>
              <w:numPr>
                <w:ilvl w:val="0"/>
                <w:numId w:val="5"/>
              </w:numPr>
              <w:spacing w:line="440" w:lineRule="exact"/>
              <w:ind w:firstLineChars="0"/>
              <w:jc w:val="center"/>
              <w:rPr>
                <w:rFonts w:hint="eastAsia" w:ascii="宋体" w:hAnsi="宋体" w:cs="宋体"/>
                <w:b/>
                <w:bCs/>
                <w:szCs w:val="21"/>
              </w:rPr>
            </w:pPr>
          </w:p>
        </w:tc>
        <w:tc>
          <w:tcPr>
            <w:tcW w:w="4056" w:type="pct"/>
            <w:vAlign w:val="center"/>
          </w:tcPr>
          <w:p w14:paraId="75D422FB">
            <w:pPr>
              <w:spacing w:line="440" w:lineRule="exact"/>
              <w:jc w:val="left"/>
              <w:rPr>
                <w:rFonts w:hint="eastAsia" w:ascii="宋体" w:hAnsi="宋体" w:cs="宋体"/>
                <w:bCs/>
                <w:iCs/>
                <w:szCs w:val="21"/>
              </w:rPr>
            </w:pPr>
            <w:r>
              <w:rPr>
                <w:rFonts w:hint="eastAsia" w:ascii="宋体" w:hAnsi="宋体" w:cs="宋体"/>
                <w:bCs/>
                <w:iCs/>
                <w:szCs w:val="21"/>
              </w:rPr>
              <w:t>热线电话：用户系统出现问题时，客户可以从支持服务中心得到及时有效的电话支持。支持时间为7*24小时。故障受理后，维护人员将在规定时间内做出响应，先通过电话指导进行常规检查，判断故障范围，根据故障难度进行处理。针对一般故障的故障，可以通过电话在线帮助客户解决问题，在线解决不了的，公司第一时间调度工程师现场服务。</w:t>
            </w:r>
          </w:p>
        </w:tc>
      </w:tr>
      <w:tr w14:paraId="6A697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5CED18F7">
            <w:pPr>
              <w:pStyle w:val="29"/>
              <w:numPr>
                <w:ilvl w:val="0"/>
                <w:numId w:val="5"/>
              </w:numPr>
              <w:spacing w:line="440" w:lineRule="exact"/>
              <w:ind w:firstLineChars="0"/>
              <w:jc w:val="center"/>
              <w:rPr>
                <w:rFonts w:hint="eastAsia" w:ascii="宋体" w:hAnsi="宋体" w:cs="宋体"/>
                <w:b/>
                <w:bCs/>
                <w:szCs w:val="21"/>
              </w:rPr>
            </w:pPr>
          </w:p>
        </w:tc>
        <w:tc>
          <w:tcPr>
            <w:tcW w:w="4056" w:type="pct"/>
            <w:vAlign w:val="center"/>
          </w:tcPr>
          <w:p w14:paraId="13D4DE11">
            <w:pPr>
              <w:spacing w:line="440" w:lineRule="exact"/>
              <w:jc w:val="left"/>
              <w:rPr>
                <w:rFonts w:hint="eastAsia" w:ascii="宋体" w:hAnsi="宋体" w:cs="宋体"/>
                <w:bCs/>
                <w:iCs/>
                <w:szCs w:val="21"/>
              </w:rPr>
            </w:pPr>
            <w:r>
              <w:rPr>
                <w:rFonts w:hint="eastAsia" w:ascii="宋体" w:hAnsi="宋体" w:cs="宋体"/>
                <w:bCs/>
                <w:iCs/>
                <w:szCs w:val="21"/>
              </w:rPr>
              <w:t>远程网络支持：公司还提供远程网络支持服务。根据客户的需要，客户还可选用支持服务中心的远程互联网服务，支持服务中心的工程师将通过网络技术，远程操作，检查问题，解决部分小型故障等问题，以便快速地解决客户的问题。</w:t>
            </w:r>
          </w:p>
        </w:tc>
      </w:tr>
      <w:tr w14:paraId="07F8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14CDAF30">
            <w:pPr>
              <w:pStyle w:val="29"/>
              <w:numPr>
                <w:ilvl w:val="0"/>
                <w:numId w:val="5"/>
              </w:numPr>
              <w:spacing w:line="440" w:lineRule="exact"/>
              <w:ind w:firstLineChars="0"/>
              <w:jc w:val="center"/>
              <w:rPr>
                <w:rFonts w:hint="eastAsia" w:ascii="宋体" w:hAnsi="宋体" w:cs="宋体"/>
                <w:b/>
                <w:bCs/>
                <w:szCs w:val="21"/>
              </w:rPr>
            </w:pPr>
          </w:p>
        </w:tc>
        <w:tc>
          <w:tcPr>
            <w:tcW w:w="4056" w:type="pct"/>
            <w:vAlign w:val="center"/>
          </w:tcPr>
          <w:p w14:paraId="21092D22">
            <w:pPr>
              <w:spacing w:line="440" w:lineRule="exact"/>
              <w:jc w:val="left"/>
              <w:rPr>
                <w:rFonts w:hint="eastAsia" w:ascii="宋体" w:hAnsi="宋体" w:cs="宋体"/>
                <w:bCs/>
                <w:iCs/>
                <w:szCs w:val="21"/>
              </w:rPr>
            </w:pPr>
            <w:r>
              <w:rPr>
                <w:rFonts w:hint="eastAsia" w:ascii="宋体" w:hAnsi="宋体" w:cs="宋体"/>
                <w:bCs/>
                <w:iCs/>
                <w:szCs w:val="21"/>
              </w:rPr>
              <w:t>现场响应：如果问题不能通过电话、远程网络的方式解决，支持服务中心会派出经验丰富的工程师到现场为用户解决问题。服务人员将在8小时内可到达现场，7*24小时内解决客户问题。</w:t>
            </w:r>
          </w:p>
        </w:tc>
      </w:tr>
      <w:tr w14:paraId="3E25D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44" w:type="pct"/>
            <w:vAlign w:val="center"/>
          </w:tcPr>
          <w:p w14:paraId="08867EF0">
            <w:pPr>
              <w:pStyle w:val="29"/>
              <w:numPr>
                <w:ilvl w:val="0"/>
                <w:numId w:val="5"/>
              </w:numPr>
              <w:spacing w:line="440" w:lineRule="exact"/>
              <w:ind w:firstLineChars="0"/>
              <w:jc w:val="center"/>
              <w:rPr>
                <w:rFonts w:hint="eastAsia" w:ascii="宋体" w:hAnsi="宋体" w:cs="宋体"/>
                <w:b/>
                <w:bCs/>
                <w:szCs w:val="21"/>
              </w:rPr>
            </w:pPr>
          </w:p>
        </w:tc>
        <w:tc>
          <w:tcPr>
            <w:tcW w:w="4056" w:type="pct"/>
            <w:vAlign w:val="center"/>
          </w:tcPr>
          <w:p w14:paraId="4B4F89CE">
            <w:pPr>
              <w:spacing w:line="440" w:lineRule="exact"/>
              <w:jc w:val="left"/>
              <w:rPr>
                <w:rFonts w:hint="eastAsia" w:ascii="宋体" w:hAnsi="宋体" w:cs="宋体"/>
                <w:bCs/>
                <w:iCs/>
                <w:szCs w:val="21"/>
              </w:rPr>
            </w:pPr>
            <w:r>
              <w:rPr>
                <w:rFonts w:hint="eastAsia" w:ascii="宋体" w:hAnsi="宋体" w:cs="宋体"/>
                <w:bCs/>
                <w:iCs/>
                <w:szCs w:val="21"/>
              </w:rPr>
              <w:t>技术备勤服务：公司客服电话接听处理，客服电话：0571-88613265。</w:t>
            </w:r>
          </w:p>
        </w:tc>
      </w:tr>
    </w:tbl>
    <w:p w14:paraId="30E98CE1">
      <w:pPr>
        <w:pStyle w:val="3"/>
        <w:numPr>
          <w:ilvl w:val="0"/>
          <w:numId w:val="1"/>
        </w:numPr>
        <w:tabs>
          <w:tab w:val="left" w:pos="720"/>
          <w:tab w:val="left" w:pos="1980"/>
        </w:tabs>
        <w:spacing w:line="440" w:lineRule="exact"/>
        <w:ind w:left="158" w:hanging="158"/>
        <w:rPr>
          <w:rFonts w:hint="eastAsia" w:hAnsi="宋体" w:cs="宋体"/>
          <w:sz w:val="21"/>
          <w:szCs w:val="21"/>
        </w:rPr>
      </w:pPr>
      <w:r>
        <w:rPr>
          <w:rFonts w:hint="eastAsia" w:hAnsi="宋体" w:cs="宋体"/>
          <w:sz w:val="21"/>
          <w:szCs w:val="21"/>
        </w:rPr>
        <w:t>项目实施与验收</w:t>
      </w:r>
    </w:p>
    <w:p w14:paraId="652E725A">
      <w:pPr>
        <w:pStyle w:val="29"/>
        <w:numPr>
          <w:ilvl w:val="0"/>
          <w:numId w:val="6"/>
        </w:numPr>
        <w:spacing w:line="360" w:lineRule="auto"/>
        <w:ind w:left="158" w:hanging="158" w:hangingChars="75"/>
        <w:outlineLvl w:val="1"/>
        <w:rPr>
          <w:rFonts w:hint="eastAsia" w:ascii="宋体" w:hAnsi="宋体" w:cs="宋体"/>
          <w:b/>
          <w:szCs w:val="21"/>
        </w:rPr>
      </w:pPr>
      <w:bookmarkStart w:id="4" w:name="_Toc449000764"/>
      <w:bookmarkStart w:id="5" w:name="_Toc74682240"/>
      <w:r>
        <w:rPr>
          <w:rFonts w:ascii="宋体" w:hAnsi="宋体" w:cs="宋体"/>
          <w:b/>
          <w:szCs w:val="21"/>
        </w:rPr>
        <w:t>项目实施要求</w:t>
      </w:r>
      <w:bookmarkEnd w:id="4"/>
      <w:bookmarkEnd w:id="5"/>
    </w:p>
    <w:p w14:paraId="7B70D6DB">
      <w:pPr>
        <w:pStyle w:val="29"/>
        <w:numPr>
          <w:ilvl w:val="0"/>
          <w:numId w:val="0"/>
        </w:numPr>
        <w:spacing w:line="360" w:lineRule="auto"/>
        <w:ind w:left="-158" w:leftChars="-75" w:firstLine="420" w:firstLineChars="0"/>
        <w:rPr>
          <w:color w:val="EE0000"/>
        </w:rPr>
      </w:pPr>
      <w:r>
        <w:rPr>
          <w:color w:val="EE0000"/>
        </w:rPr>
        <w:t>需要根据项目</w:t>
      </w:r>
      <w:r>
        <w:rPr>
          <w:rFonts w:hint="eastAsia"/>
          <w:color w:val="EE0000"/>
        </w:rPr>
        <w:t>维保</w:t>
      </w:r>
      <w:r>
        <w:rPr>
          <w:color w:val="EE0000"/>
        </w:rPr>
        <w:t>内容</w:t>
      </w:r>
      <w:r>
        <w:rPr>
          <w:rFonts w:hint="eastAsia"/>
          <w:color w:val="EE0000"/>
        </w:rPr>
        <w:t>，安排</w:t>
      </w:r>
      <w:r>
        <w:rPr>
          <w:color w:val="EE0000"/>
        </w:rPr>
        <w:t>具有一定资质能力水平的成员组成项目小组对系统进行实施及服务。</w:t>
      </w:r>
    </w:p>
    <w:p w14:paraId="7A5DD7F3">
      <w:pPr>
        <w:pStyle w:val="29"/>
        <w:numPr>
          <w:ilvl w:val="0"/>
          <w:numId w:val="6"/>
        </w:numPr>
        <w:spacing w:line="360" w:lineRule="auto"/>
        <w:ind w:left="158" w:hanging="158" w:hangingChars="75"/>
        <w:outlineLvl w:val="1"/>
        <w:rPr>
          <w:rFonts w:hint="eastAsia" w:ascii="宋体" w:hAnsi="宋体" w:cs="宋体"/>
          <w:b/>
          <w:szCs w:val="21"/>
        </w:rPr>
      </w:pPr>
      <w:bookmarkStart w:id="6" w:name="_Toc5054"/>
      <w:bookmarkStart w:id="7" w:name="_Toc74682241"/>
      <w:bookmarkStart w:id="8" w:name="_Toc24571258"/>
      <w:bookmarkStart w:id="9" w:name="_Toc12410"/>
      <w:bookmarkStart w:id="10" w:name="_Toc38032939"/>
      <w:r>
        <w:rPr>
          <w:rFonts w:ascii="宋体" w:hAnsi="宋体" w:cs="宋体"/>
          <w:b/>
          <w:szCs w:val="21"/>
        </w:rPr>
        <w:t>验收要求</w:t>
      </w:r>
      <w:bookmarkEnd w:id="6"/>
      <w:bookmarkEnd w:id="7"/>
      <w:bookmarkEnd w:id="8"/>
      <w:bookmarkEnd w:id="9"/>
      <w:bookmarkEnd w:id="10"/>
    </w:p>
    <w:p w14:paraId="363C04EB">
      <w:pPr>
        <w:numPr>
          <w:ilvl w:val="0"/>
          <w:numId w:val="0"/>
        </w:numPr>
        <w:spacing w:line="360" w:lineRule="auto"/>
        <w:ind w:left="-158" w:leftChars="-75" w:firstLine="420" w:firstLineChars="0"/>
        <w:rPr>
          <w:color w:val="EE0000"/>
        </w:rPr>
      </w:pPr>
      <w:r>
        <w:rPr>
          <w:rFonts w:hint="eastAsia"/>
          <w:color w:val="EE0000"/>
        </w:rPr>
        <w:t>需提供相关材料，包括维护期间的运营分析、巡检记录、维护记录等相关文档</w:t>
      </w:r>
      <w:r>
        <w:rPr>
          <w:color w:val="EE0000"/>
        </w:rPr>
        <w:t>。</w:t>
      </w:r>
    </w:p>
    <w:p w14:paraId="3C4AFA76">
      <w:pPr>
        <w:pStyle w:val="3"/>
        <w:numPr>
          <w:ilvl w:val="0"/>
          <w:numId w:val="1"/>
        </w:numPr>
        <w:tabs>
          <w:tab w:val="left" w:pos="720"/>
          <w:tab w:val="left" w:pos="1980"/>
        </w:tabs>
        <w:spacing w:line="440" w:lineRule="exact"/>
        <w:ind w:left="158" w:hanging="158" w:hangingChars="75"/>
        <w:rPr>
          <w:rFonts w:hint="eastAsia" w:hAnsi="宋体" w:cs="宋体"/>
          <w:sz w:val="21"/>
          <w:szCs w:val="21"/>
        </w:rPr>
      </w:pPr>
      <w:r>
        <w:rPr>
          <w:rFonts w:hint="eastAsia" w:hAnsi="宋体" w:cs="宋体"/>
          <w:sz w:val="21"/>
          <w:szCs w:val="21"/>
        </w:rPr>
        <w:t>售后服务</w:t>
      </w:r>
    </w:p>
    <w:p w14:paraId="38D11ED3">
      <w:pPr>
        <w:numPr>
          <w:ilvl w:val="0"/>
          <w:numId w:val="7"/>
        </w:numPr>
        <w:spacing w:line="360" w:lineRule="auto"/>
        <w:rPr>
          <w:rFonts w:ascii="宋体" w:hAnsi="宋体" w:cs="宋体"/>
          <w:bCs/>
          <w:color w:val="EE0000"/>
          <w:szCs w:val="21"/>
        </w:rPr>
      </w:pPr>
      <w:r>
        <w:rPr>
          <w:rFonts w:hint="eastAsia"/>
          <w:color w:val="EE0000"/>
        </w:rPr>
        <w:t>质保期内对于用户提出的改善体验、提升可靠性及安全性的需求，应予以积极处理。</w:t>
      </w:r>
    </w:p>
    <w:p w14:paraId="6AE8DCF9">
      <w:pPr>
        <w:numPr>
          <w:ilvl w:val="0"/>
          <w:numId w:val="7"/>
        </w:numPr>
        <w:spacing w:line="360" w:lineRule="auto"/>
        <w:rPr>
          <w:rFonts w:hint="eastAsia" w:ascii="宋体" w:hAnsi="宋体" w:cs="宋体"/>
          <w:bCs/>
          <w:color w:val="EE0000"/>
          <w:szCs w:val="21"/>
        </w:rPr>
      </w:pPr>
      <w:r>
        <w:rPr>
          <w:rFonts w:hint="eastAsia" w:ascii="宋体" w:hAnsi="宋体" w:cs="宋体"/>
          <w:bCs/>
          <w:color w:val="EE0000"/>
          <w:szCs w:val="21"/>
        </w:rPr>
        <w:t>项目软件系统维保服务期间，安排一名人员负责信息系统运行保障，含所有维保内容软硬件的维护。</w:t>
      </w:r>
    </w:p>
    <w:p w14:paraId="02722476">
      <w:pPr>
        <w:numPr>
          <w:ilvl w:val="0"/>
          <w:numId w:val="7"/>
        </w:numPr>
        <w:spacing w:line="360" w:lineRule="auto"/>
      </w:pPr>
      <w:r>
        <w:rPr>
          <w:rFonts w:hint="eastAsia"/>
        </w:rPr>
        <w:t>因系统本身缺陷造成各种故障应由卖方免费技术服务和维修，包括质保期外发生的情况。</w:t>
      </w:r>
    </w:p>
    <w:p w14:paraId="6FED7AD6">
      <w:pPr>
        <w:numPr>
          <w:ilvl w:val="0"/>
          <w:numId w:val="7"/>
        </w:numPr>
        <w:spacing w:line="360" w:lineRule="auto"/>
      </w:pPr>
      <w:r>
        <w:rPr>
          <w:rFonts w:hint="eastAsia"/>
        </w:rPr>
        <w:t>无力承担售后服务或响应不及时的情况下，医院可向投标方索取软件源代码，投标方应无偿提供。</w:t>
      </w:r>
    </w:p>
    <w:p w14:paraId="048E57E3">
      <w:pPr>
        <w:numPr>
          <w:ilvl w:val="0"/>
          <w:numId w:val="7"/>
        </w:numPr>
        <w:spacing w:line="360" w:lineRule="auto"/>
      </w:pPr>
      <w:r>
        <w:rPr>
          <w:rFonts w:hint="eastAsia"/>
        </w:rPr>
        <w:t>投标人须保证所提供产品符合国家有关规定。投标人须保证所提供产品具有合法的版权或使用权，本项目采购的产品，如在本项目范围内使用过程中出现版权或使用权纠纷，应由中标人负责，采购人不承担责任。</w:t>
      </w:r>
    </w:p>
    <w:p w14:paraId="63CE587C">
      <w:pPr>
        <w:numPr>
          <w:ilvl w:val="0"/>
          <w:numId w:val="7"/>
        </w:numPr>
        <w:spacing w:line="360" w:lineRule="auto"/>
      </w:pPr>
      <w:r>
        <w:rPr>
          <w:rFonts w:hint="eastAsia"/>
        </w:rPr>
        <w:t>投标人必须保证解决项目所涉及的技术问题，如因技术原因无法满足采购人需求，由此产生的风险由投标人承担。</w:t>
      </w:r>
    </w:p>
    <w:p w14:paraId="7E256FA6">
      <w:pPr>
        <w:numPr>
          <w:ilvl w:val="0"/>
          <w:numId w:val="7"/>
        </w:numPr>
        <w:spacing w:line="360" w:lineRule="auto"/>
        <w:rPr>
          <w:color w:val="0000FF"/>
        </w:rPr>
      </w:pPr>
      <w:r>
        <w:rPr>
          <w:rFonts w:hint="eastAsia"/>
          <w:color w:val="0000FF"/>
        </w:rPr>
        <w:t>在项日维保期间内，若承接方在服务过程中发生以下行为，经院方确认后，每次根据标准进行扣罚：</w:t>
      </w:r>
    </w:p>
    <w:p w14:paraId="7D393501">
      <w:pPr>
        <w:numPr>
          <w:ilvl w:val="0"/>
          <w:numId w:val="8"/>
        </w:numPr>
        <w:spacing w:line="360" w:lineRule="auto"/>
        <w:rPr>
          <w:color w:val="0000FF"/>
        </w:rPr>
      </w:pPr>
      <w:r>
        <w:rPr>
          <w:rFonts w:hint="eastAsia"/>
          <w:color w:val="0000FF"/>
        </w:rPr>
        <w:t>遇到乘大或紧急事件要求承接方派驻应急人员现场解决，但承接方无正当理由不履行的，每发生一次从项目合同金额中扣除3000元，视作一次不良行为。</w:t>
      </w:r>
    </w:p>
    <w:p w14:paraId="16B35164">
      <w:pPr>
        <w:numPr>
          <w:ilvl w:val="0"/>
          <w:numId w:val="8"/>
        </w:numPr>
        <w:spacing w:line="360" w:lineRule="auto"/>
        <w:rPr>
          <w:color w:val="0000FF"/>
        </w:rPr>
      </w:pPr>
      <w:r>
        <w:rPr>
          <w:rFonts w:hint="eastAsia"/>
          <w:color w:val="0000FF"/>
        </w:rPr>
        <w:t>未经我院信息中心审核同意，自行运维实施或调整数据库、网络、服务器等操作，导致引发严重信息系统故障或不良事件，每发生一次从本项目合同金额中扣除3000元，视作一次不良行为。</w:t>
      </w:r>
    </w:p>
    <w:p w14:paraId="78461DB3">
      <w:pPr>
        <w:numPr>
          <w:ilvl w:val="0"/>
          <w:numId w:val="8"/>
        </w:numPr>
        <w:spacing w:line="360" w:lineRule="auto"/>
        <w:rPr>
          <w:color w:val="0000FF"/>
        </w:rPr>
      </w:pPr>
      <w:r>
        <w:rPr>
          <w:rFonts w:hint="eastAsia"/>
          <w:color w:val="0000FF"/>
        </w:rPr>
        <w:t>因承接方自身软件或系统架构缺陷原因，导致引发医院核心信息系统宕机事件，每发生一次即视作一次不良行为，并从本合同项目金额中扣罚:接到通知后宕机修复时间如在60分钟（含）以内扣罚1000元，如在60分钟以上则每增加 60分钟（含）以内追加扣罚2000元。</w:t>
      </w:r>
    </w:p>
    <w:p w14:paraId="23C5A317">
      <w:pPr>
        <w:numPr>
          <w:ilvl w:val="0"/>
          <w:numId w:val="8"/>
        </w:numPr>
        <w:spacing w:line="360" w:lineRule="auto"/>
        <w:rPr>
          <w:rFonts w:hint="eastAsia"/>
          <w:color w:val="0000FF"/>
        </w:rPr>
      </w:pPr>
      <w:r>
        <w:rPr>
          <w:rFonts w:hint="eastAsia"/>
          <w:color w:val="0000FF"/>
        </w:rPr>
        <w:t>要求保质保量的完成相关维保需求，其中要求系统错误类需求14天完成率达到90%以上，影响业务类需求30天完成率达到90%以上，系统优化类需求90天完成率达到90%以上。按每月度考核一次完成率，如需求完成不符合要求，每发生一次，视作一次不良行为。</w:t>
      </w:r>
    </w:p>
    <w:p w14:paraId="160E2144"/>
    <w:p w14:paraId="743856A3">
      <w:pPr>
        <w:numPr>
          <w:ilvl w:val="0"/>
          <w:numId w:val="0"/>
        </w:numPr>
        <w:spacing w:line="360" w:lineRule="auto"/>
        <w:ind w:left="420" w:leftChars="0" w:firstLine="420" w:firstLineChars="0"/>
        <w:rPr>
          <w:rFonts w:hint="eastAsia"/>
        </w:rPr>
      </w:pPr>
    </w:p>
    <w:p w14:paraId="462B70C5">
      <w:pPr>
        <w:pStyle w:val="16"/>
      </w:pPr>
      <w:bookmarkStart w:id="11" w:name="_Toc186548465"/>
      <w:r>
        <w:rPr>
          <w:rFonts w:hint="eastAsia"/>
        </w:rPr>
        <w:t>第三章</w:t>
      </w:r>
      <w:r>
        <w:rPr>
          <w:rFonts w:hint="eastAsia"/>
        </w:rPr>
        <w:tab/>
      </w:r>
      <w:r>
        <w:rPr>
          <w:rFonts w:hint="eastAsia"/>
        </w:rPr>
        <w:t>响应文件格式</w:t>
      </w:r>
      <w:bookmarkEnd w:id="11"/>
    </w:p>
    <w:p w14:paraId="242AAB3D">
      <w:pPr>
        <w:rPr>
          <w:b/>
          <w:bCs/>
          <w:sz w:val="30"/>
          <w:szCs w:val="30"/>
        </w:rPr>
      </w:pPr>
      <w:r>
        <w:rPr>
          <w:rFonts w:hint="eastAsia"/>
          <w:b/>
          <w:bCs/>
          <w:sz w:val="30"/>
          <w:szCs w:val="30"/>
        </w:rPr>
        <w:t>一、响应</w:t>
      </w:r>
      <w:r>
        <w:rPr>
          <w:b/>
          <w:bCs/>
          <w:sz w:val="30"/>
          <w:szCs w:val="30"/>
        </w:rPr>
        <w:t>文件的组成</w:t>
      </w:r>
    </w:p>
    <w:p w14:paraId="0D3ECEFF">
      <w:pPr>
        <w:rPr>
          <w:rFonts w:eastAsiaTheme="minorEastAsia"/>
          <w:sz w:val="24"/>
          <w:szCs w:val="22"/>
        </w:rPr>
      </w:pPr>
      <w:r>
        <w:rPr>
          <w:rFonts w:hint="eastAsia" w:eastAsiaTheme="minorEastAsia"/>
          <w:sz w:val="24"/>
          <w:szCs w:val="22"/>
        </w:rPr>
        <w:t>响应文件由资格证明文件、商务技术文件、报价文件三部份组成。</w:t>
      </w:r>
    </w:p>
    <w:p w14:paraId="2E3998A3">
      <w:pPr>
        <w:rPr>
          <w:rFonts w:eastAsiaTheme="minorEastAsia"/>
          <w:sz w:val="24"/>
          <w:szCs w:val="22"/>
        </w:rPr>
      </w:pPr>
    </w:p>
    <w:p w14:paraId="1F02125C">
      <w:pPr>
        <w:rPr>
          <w:b/>
          <w:bCs/>
          <w:sz w:val="30"/>
          <w:szCs w:val="30"/>
        </w:rPr>
      </w:pPr>
      <w:r>
        <w:rPr>
          <w:rFonts w:hint="eastAsia"/>
          <w:b/>
          <w:bCs/>
          <w:sz w:val="30"/>
          <w:szCs w:val="30"/>
        </w:rPr>
        <w:t>二</w:t>
      </w:r>
      <w:r>
        <w:rPr>
          <w:b/>
          <w:bCs/>
          <w:sz w:val="30"/>
          <w:szCs w:val="30"/>
        </w:rPr>
        <w:t>、</w:t>
      </w:r>
      <w:r>
        <w:rPr>
          <w:rFonts w:hint="eastAsia"/>
          <w:b/>
          <w:bCs/>
          <w:sz w:val="30"/>
          <w:szCs w:val="30"/>
        </w:rPr>
        <w:t>响应</w:t>
      </w:r>
      <w:r>
        <w:rPr>
          <w:b/>
          <w:bCs/>
          <w:sz w:val="30"/>
          <w:szCs w:val="30"/>
        </w:rPr>
        <w:t>文件内容按如下顺序制作：</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789"/>
        <w:gridCol w:w="4152"/>
        <w:gridCol w:w="1884"/>
      </w:tblGrid>
      <w:tr w14:paraId="0D3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697" w:type="dxa"/>
            <w:vAlign w:val="center"/>
          </w:tcPr>
          <w:p w14:paraId="05E20D49">
            <w:r>
              <w:t>序号</w:t>
            </w:r>
          </w:p>
        </w:tc>
        <w:tc>
          <w:tcPr>
            <w:tcW w:w="1789" w:type="dxa"/>
            <w:vAlign w:val="center"/>
          </w:tcPr>
          <w:p w14:paraId="6A00C79A">
            <w:r>
              <w:rPr>
                <w:rFonts w:hint="eastAsia"/>
              </w:rPr>
              <w:t>组成</w:t>
            </w:r>
          </w:p>
        </w:tc>
        <w:tc>
          <w:tcPr>
            <w:tcW w:w="4152" w:type="dxa"/>
            <w:vAlign w:val="center"/>
          </w:tcPr>
          <w:p w14:paraId="439D55ED">
            <w:r>
              <w:t>材料名称</w:t>
            </w:r>
          </w:p>
        </w:tc>
        <w:tc>
          <w:tcPr>
            <w:tcW w:w="1884" w:type="dxa"/>
            <w:vAlign w:val="center"/>
          </w:tcPr>
          <w:p w14:paraId="15F63241">
            <w:r>
              <w:t>说明</w:t>
            </w:r>
          </w:p>
        </w:tc>
      </w:tr>
      <w:tr w14:paraId="7A97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4BEE82A">
            <w:r>
              <w:t>1</w:t>
            </w:r>
          </w:p>
        </w:tc>
        <w:tc>
          <w:tcPr>
            <w:tcW w:w="1789" w:type="dxa"/>
            <w:vAlign w:val="center"/>
          </w:tcPr>
          <w:p w14:paraId="564C5010">
            <w:r>
              <w:rPr>
                <w:rFonts w:hint="eastAsia"/>
              </w:rPr>
              <w:t>封面</w:t>
            </w:r>
          </w:p>
        </w:tc>
        <w:tc>
          <w:tcPr>
            <w:tcW w:w="4152" w:type="dxa"/>
            <w:vAlign w:val="center"/>
          </w:tcPr>
          <w:p w14:paraId="6094DA0A">
            <w:r>
              <w:t>封面（附件1）</w:t>
            </w:r>
          </w:p>
        </w:tc>
        <w:tc>
          <w:tcPr>
            <w:tcW w:w="1884" w:type="dxa"/>
          </w:tcPr>
          <w:p w14:paraId="5BAF85FB"/>
        </w:tc>
      </w:tr>
      <w:tr w14:paraId="14F1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102903F">
            <w:r>
              <w:t>2</w:t>
            </w:r>
          </w:p>
        </w:tc>
        <w:tc>
          <w:tcPr>
            <w:tcW w:w="1789" w:type="dxa"/>
            <w:vMerge w:val="restart"/>
            <w:vAlign w:val="center"/>
          </w:tcPr>
          <w:p w14:paraId="0E85DCE4">
            <w:r>
              <w:rPr>
                <w:rFonts w:hint="eastAsia"/>
              </w:rPr>
              <w:t>资格</w:t>
            </w:r>
            <w:r>
              <w:t>证明文件</w:t>
            </w:r>
          </w:p>
        </w:tc>
        <w:tc>
          <w:tcPr>
            <w:tcW w:w="4152" w:type="dxa"/>
            <w:vAlign w:val="center"/>
          </w:tcPr>
          <w:p w14:paraId="0DD254C2">
            <w:r>
              <w:t>采购公告发布之日起至公告截止日内任意时间的“信用中国”网站（www.creditchina.gov.cn）的响应供应商信用查询网页截图</w:t>
            </w:r>
          </w:p>
        </w:tc>
        <w:tc>
          <w:tcPr>
            <w:tcW w:w="1884" w:type="dxa"/>
          </w:tcPr>
          <w:p w14:paraId="51CD46CD"/>
        </w:tc>
      </w:tr>
      <w:tr w14:paraId="7E36C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56A965BA">
            <w:r>
              <w:t>3</w:t>
            </w:r>
          </w:p>
        </w:tc>
        <w:tc>
          <w:tcPr>
            <w:tcW w:w="1789" w:type="dxa"/>
            <w:vMerge w:val="continue"/>
            <w:vAlign w:val="center"/>
          </w:tcPr>
          <w:p w14:paraId="3DCA45CD"/>
        </w:tc>
        <w:tc>
          <w:tcPr>
            <w:tcW w:w="4152" w:type="dxa"/>
            <w:vAlign w:val="center"/>
          </w:tcPr>
          <w:p w14:paraId="08FD0976">
            <w:r>
              <w:t>企业营业执照</w:t>
            </w:r>
          </w:p>
        </w:tc>
        <w:tc>
          <w:tcPr>
            <w:tcW w:w="1884" w:type="dxa"/>
          </w:tcPr>
          <w:p w14:paraId="22F3670C"/>
        </w:tc>
      </w:tr>
      <w:tr w14:paraId="104F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259F713">
            <w:r>
              <w:t>4</w:t>
            </w:r>
          </w:p>
        </w:tc>
        <w:tc>
          <w:tcPr>
            <w:tcW w:w="1789" w:type="dxa"/>
            <w:vMerge w:val="continue"/>
            <w:vAlign w:val="center"/>
          </w:tcPr>
          <w:p w14:paraId="45A4400E"/>
        </w:tc>
        <w:tc>
          <w:tcPr>
            <w:tcW w:w="4152" w:type="dxa"/>
            <w:vAlign w:val="center"/>
          </w:tcPr>
          <w:p w14:paraId="5C9E3C84">
            <w:r>
              <w:t>法人代表身份证复印件</w:t>
            </w:r>
          </w:p>
        </w:tc>
        <w:tc>
          <w:tcPr>
            <w:tcW w:w="1884" w:type="dxa"/>
          </w:tcPr>
          <w:p w14:paraId="2783291D"/>
        </w:tc>
      </w:tr>
      <w:tr w14:paraId="74EF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15F5DEFB">
            <w:r>
              <w:rPr>
                <w:rFonts w:hint="eastAsia"/>
              </w:rPr>
              <w:t>5</w:t>
            </w:r>
          </w:p>
        </w:tc>
        <w:tc>
          <w:tcPr>
            <w:tcW w:w="1789" w:type="dxa"/>
            <w:vMerge w:val="continue"/>
            <w:vAlign w:val="center"/>
          </w:tcPr>
          <w:p w14:paraId="3F4DFD02"/>
        </w:tc>
        <w:tc>
          <w:tcPr>
            <w:tcW w:w="4152" w:type="dxa"/>
            <w:vAlign w:val="center"/>
          </w:tcPr>
          <w:p w14:paraId="17EE32D6">
            <w:r>
              <w:t>销售人员身份证复印件</w:t>
            </w:r>
          </w:p>
        </w:tc>
        <w:tc>
          <w:tcPr>
            <w:tcW w:w="1884" w:type="dxa"/>
          </w:tcPr>
          <w:p w14:paraId="1F82A354"/>
        </w:tc>
      </w:tr>
      <w:tr w14:paraId="3D62D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AE68E22">
            <w:r>
              <w:rPr>
                <w:rFonts w:hint="eastAsia"/>
              </w:rPr>
              <w:t>6</w:t>
            </w:r>
          </w:p>
        </w:tc>
        <w:tc>
          <w:tcPr>
            <w:tcW w:w="1789" w:type="dxa"/>
            <w:vMerge w:val="restart"/>
            <w:vAlign w:val="center"/>
          </w:tcPr>
          <w:p w14:paraId="444424AD">
            <w:r>
              <w:rPr>
                <w:rFonts w:hint="eastAsia" w:eastAsiaTheme="minorEastAsia"/>
                <w:sz w:val="24"/>
                <w:szCs w:val="22"/>
              </w:rPr>
              <w:t>商务技术文件</w:t>
            </w:r>
          </w:p>
        </w:tc>
        <w:tc>
          <w:tcPr>
            <w:tcW w:w="4152" w:type="dxa"/>
            <w:vAlign w:val="center"/>
          </w:tcPr>
          <w:p w14:paraId="3438D97C">
            <w:r>
              <w:t>声明书（附件2）</w:t>
            </w:r>
          </w:p>
        </w:tc>
        <w:tc>
          <w:tcPr>
            <w:tcW w:w="1884" w:type="dxa"/>
          </w:tcPr>
          <w:p w14:paraId="363D8A9F"/>
        </w:tc>
      </w:tr>
      <w:tr w14:paraId="2D78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643A24DD">
            <w:r>
              <w:rPr>
                <w:rFonts w:hint="eastAsia"/>
              </w:rPr>
              <w:t>7</w:t>
            </w:r>
          </w:p>
        </w:tc>
        <w:tc>
          <w:tcPr>
            <w:tcW w:w="1789" w:type="dxa"/>
            <w:vMerge w:val="continue"/>
          </w:tcPr>
          <w:p w14:paraId="15DFAE5E"/>
        </w:tc>
        <w:tc>
          <w:tcPr>
            <w:tcW w:w="4152" w:type="dxa"/>
            <w:vAlign w:val="center"/>
          </w:tcPr>
          <w:p w14:paraId="667C86AB">
            <w:r>
              <w:t>法定代表人授权委托书（附件3）</w:t>
            </w:r>
          </w:p>
        </w:tc>
        <w:tc>
          <w:tcPr>
            <w:tcW w:w="1884" w:type="dxa"/>
          </w:tcPr>
          <w:p w14:paraId="5B55D0CE"/>
        </w:tc>
      </w:tr>
      <w:tr w14:paraId="272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97" w:type="dxa"/>
          </w:tcPr>
          <w:p w14:paraId="27F025B1">
            <w:r>
              <w:rPr>
                <w:rFonts w:hint="eastAsia"/>
              </w:rPr>
              <w:t>8</w:t>
            </w:r>
          </w:p>
        </w:tc>
        <w:tc>
          <w:tcPr>
            <w:tcW w:w="1789" w:type="dxa"/>
            <w:vMerge w:val="continue"/>
          </w:tcPr>
          <w:p w14:paraId="26947929"/>
        </w:tc>
        <w:tc>
          <w:tcPr>
            <w:tcW w:w="4152" w:type="dxa"/>
            <w:vAlign w:val="center"/>
          </w:tcPr>
          <w:p w14:paraId="2F54F0E5">
            <w:r>
              <w:t>经营许可证或生产许可证（</w:t>
            </w:r>
            <w:r>
              <w:rPr>
                <w:rFonts w:hint="eastAsia"/>
              </w:rPr>
              <w:t>若</w:t>
            </w:r>
            <w:r>
              <w:t>需要）</w:t>
            </w:r>
          </w:p>
        </w:tc>
        <w:tc>
          <w:tcPr>
            <w:tcW w:w="1884" w:type="dxa"/>
          </w:tcPr>
          <w:p w14:paraId="2C4BBC02"/>
        </w:tc>
      </w:tr>
      <w:tr w14:paraId="5AFBC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445BF29C">
            <w:r>
              <w:t>9</w:t>
            </w:r>
          </w:p>
        </w:tc>
        <w:tc>
          <w:tcPr>
            <w:tcW w:w="1789" w:type="dxa"/>
            <w:vMerge w:val="continue"/>
          </w:tcPr>
          <w:p w14:paraId="44584178"/>
        </w:tc>
        <w:tc>
          <w:tcPr>
            <w:tcW w:w="4152" w:type="dxa"/>
            <w:vAlign w:val="center"/>
          </w:tcPr>
          <w:p w14:paraId="0A876732">
            <w:pPr>
              <w:rPr>
                <w:color w:val="auto"/>
              </w:rPr>
            </w:pPr>
            <w:r>
              <w:rPr>
                <w:rFonts w:hint="default" w:ascii="Times New Roman" w:hAnsi="Times New Roman" w:eastAsia="宋体" w:cs="Times New Roman"/>
                <w:color w:val="auto"/>
                <w:lang w:val="en-US" w:eastAsia="zh-CN"/>
              </w:rPr>
              <w:t>ISO9001、ISO20000/ISO27001认证</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ITSS三级以上</w:t>
            </w:r>
            <w:r>
              <w:rPr>
                <w:rFonts w:hint="eastAsia" w:ascii="Times New Roman" w:hAnsi="Times New Roman" w:eastAsia="宋体" w:cs="Times New Roman"/>
                <w:color w:val="auto"/>
                <w:lang w:val="en-US" w:eastAsia="zh-CN"/>
              </w:rPr>
              <w:t>或项目相关计算机软件著作权登</w:t>
            </w:r>
            <w:r>
              <w:rPr>
                <w:rFonts w:hint="eastAsia"/>
                <w:color w:val="auto"/>
                <w:lang w:val="en-US" w:eastAsia="zh-CN"/>
              </w:rPr>
              <w:t>记证</w:t>
            </w:r>
            <w:r>
              <w:rPr>
                <w:rFonts w:hint="eastAsia" w:ascii="Times New Roman" w:hAnsi="Times New Roman" w:eastAsia="宋体" w:cs="Times New Roman"/>
                <w:color w:val="auto"/>
                <w:lang w:val="en-US" w:eastAsia="zh-CN"/>
              </w:rPr>
              <w:t>书</w:t>
            </w:r>
          </w:p>
        </w:tc>
        <w:tc>
          <w:tcPr>
            <w:tcW w:w="1884" w:type="dxa"/>
          </w:tcPr>
          <w:p w14:paraId="43613681">
            <w:r>
              <w:rPr>
                <w:rFonts w:hint="eastAsia" w:ascii="Times New Roman" w:hAnsi="Times New Roman" w:eastAsia="宋体" w:cs="Times New Roman"/>
                <w:b/>
                <w:bCs/>
                <w:color w:val="auto"/>
                <w:lang w:val="en-US" w:eastAsia="zh-CN"/>
              </w:rPr>
              <w:t>须提供资质证书复印件加盖公章</w:t>
            </w:r>
          </w:p>
        </w:tc>
      </w:tr>
      <w:tr w14:paraId="27F1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900385E">
            <w:r>
              <w:t>10</w:t>
            </w:r>
          </w:p>
        </w:tc>
        <w:tc>
          <w:tcPr>
            <w:tcW w:w="1789" w:type="dxa"/>
            <w:vMerge w:val="continue"/>
          </w:tcPr>
          <w:p w14:paraId="712CC6F8"/>
        </w:tc>
        <w:tc>
          <w:tcPr>
            <w:tcW w:w="4152" w:type="dxa"/>
            <w:vAlign w:val="center"/>
          </w:tcPr>
          <w:p w14:paraId="68A5E42A">
            <w:pPr>
              <w:rPr>
                <w:color w:val="auto"/>
              </w:rPr>
            </w:pPr>
            <w:r>
              <w:rPr>
                <w:color w:val="auto"/>
              </w:rPr>
              <w:t>厂家给经销商</w:t>
            </w:r>
            <w:r>
              <w:rPr>
                <w:rFonts w:hint="eastAsia"/>
                <w:color w:val="auto"/>
              </w:rPr>
              <w:t>的逐级</w:t>
            </w:r>
            <w:r>
              <w:rPr>
                <w:color w:val="auto"/>
              </w:rPr>
              <w:t>授权</w:t>
            </w:r>
            <w:r>
              <w:rPr>
                <w:rFonts w:hint="eastAsia"/>
                <w:color w:val="auto"/>
              </w:rPr>
              <w:t>书</w:t>
            </w:r>
            <w:r>
              <w:rPr>
                <w:color w:val="auto"/>
              </w:rPr>
              <w:t>（</w:t>
            </w:r>
            <w:r>
              <w:rPr>
                <w:rFonts w:hint="eastAsia"/>
                <w:color w:val="auto"/>
              </w:rPr>
              <w:t>若</w:t>
            </w:r>
            <w:r>
              <w:rPr>
                <w:color w:val="auto"/>
              </w:rPr>
              <w:t>需要）</w:t>
            </w:r>
          </w:p>
        </w:tc>
        <w:tc>
          <w:tcPr>
            <w:tcW w:w="1884" w:type="dxa"/>
          </w:tcPr>
          <w:p w14:paraId="42E1133B"/>
        </w:tc>
      </w:tr>
      <w:tr w14:paraId="42FC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39FD93D8">
            <w:r>
              <w:t>11</w:t>
            </w:r>
          </w:p>
        </w:tc>
        <w:tc>
          <w:tcPr>
            <w:tcW w:w="1789" w:type="dxa"/>
            <w:vMerge w:val="continue"/>
          </w:tcPr>
          <w:p w14:paraId="1DCB7333"/>
        </w:tc>
        <w:tc>
          <w:tcPr>
            <w:tcW w:w="4152" w:type="dxa"/>
            <w:vAlign w:val="center"/>
          </w:tcPr>
          <w:p w14:paraId="309AC9D8">
            <w:pPr>
              <w:rPr>
                <w:color w:val="auto"/>
              </w:rPr>
            </w:pPr>
            <w:r>
              <w:rPr>
                <w:color w:val="auto"/>
              </w:rPr>
              <w:t>技术响应表（附件4）</w:t>
            </w:r>
          </w:p>
        </w:tc>
        <w:tc>
          <w:tcPr>
            <w:tcW w:w="1884" w:type="dxa"/>
          </w:tcPr>
          <w:p w14:paraId="462DCF40">
            <w:r>
              <w:rPr>
                <w:rFonts w:hint="eastAsia"/>
                <w:b/>
                <w:lang w:val="en-US" w:eastAsia="zh-CN"/>
              </w:rPr>
              <w:t>项目内容</w:t>
            </w:r>
            <w:r>
              <w:rPr>
                <w:rFonts w:hint="eastAsia"/>
                <w:b/>
              </w:rPr>
              <w:t>和</w:t>
            </w:r>
            <w:r>
              <w:rPr>
                <w:rFonts w:hint="eastAsia"/>
                <w:b/>
                <w:lang w:val="en-US" w:eastAsia="zh-CN"/>
              </w:rPr>
              <w:t>技术</w:t>
            </w:r>
            <w:r>
              <w:rPr>
                <w:rFonts w:hint="eastAsia"/>
                <w:b/>
              </w:rPr>
              <w:t>要求</w:t>
            </w:r>
            <w:r>
              <w:rPr>
                <w:rFonts w:hint="eastAsia"/>
                <w:b/>
                <w:lang w:eastAsia="zh-CN"/>
              </w:rPr>
              <w:t>、</w:t>
            </w:r>
            <w:r>
              <w:rPr>
                <w:rFonts w:hint="eastAsia"/>
                <w:b/>
                <w:lang w:val="en-US" w:eastAsia="zh-CN"/>
              </w:rPr>
              <w:t>商务要求</w:t>
            </w:r>
            <w:r>
              <w:rPr>
                <w:rFonts w:hint="eastAsia"/>
                <w:b/>
              </w:rPr>
              <w:t>均需逐项响应</w:t>
            </w:r>
          </w:p>
        </w:tc>
      </w:tr>
      <w:tr w14:paraId="6496B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50F4980">
            <w:r>
              <w:t>12</w:t>
            </w:r>
          </w:p>
        </w:tc>
        <w:tc>
          <w:tcPr>
            <w:tcW w:w="1789" w:type="dxa"/>
            <w:vMerge w:val="continue"/>
          </w:tcPr>
          <w:p w14:paraId="5BC967AF"/>
        </w:tc>
        <w:tc>
          <w:tcPr>
            <w:tcW w:w="4152" w:type="dxa"/>
            <w:vAlign w:val="center"/>
          </w:tcPr>
          <w:p w14:paraId="72DFCD41">
            <w:pPr>
              <w:rPr>
                <w:color w:val="auto"/>
              </w:rPr>
            </w:pPr>
            <w:r>
              <w:rPr>
                <w:color w:val="auto"/>
              </w:rPr>
              <w:t>配置清单</w:t>
            </w:r>
          </w:p>
        </w:tc>
        <w:tc>
          <w:tcPr>
            <w:tcW w:w="1884" w:type="dxa"/>
          </w:tcPr>
          <w:p w14:paraId="2AA362AC"/>
        </w:tc>
      </w:tr>
      <w:tr w14:paraId="3D5B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28032C19">
            <w:r>
              <w:t>13</w:t>
            </w:r>
          </w:p>
        </w:tc>
        <w:tc>
          <w:tcPr>
            <w:tcW w:w="1789" w:type="dxa"/>
            <w:vMerge w:val="continue"/>
          </w:tcPr>
          <w:p w14:paraId="579CBCFD"/>
        </w:tc>
        <w:tc>
          <w:tcPr>
            <w:tcW w:w="4152" w:type="dxa"/>
            <w:vAlign w:val="center"/>
          </w:tcPr>
          <w:p w14:paraId="1B7FD36F">
            <w:pPr>
              <w:rPr>
                <w:color w:val="auto"/>
              </w:rPr>
            </w:pPr>
            <w:r>
              <w:rPr>
                <w:rFonts w:hint="eastAsia"/>
                <w:color w:val="auto"/>
              </w:rPr>
              <w:t>所投</w:t>
            </w:r>
            <w:r>
              <w:rPr>
                <w:color w:val="auto"/>
              </w:rPr>
              <w:t>产品彩页</w:t>
            </w:r>
            <w:r>
              <w:rPr>
                <w:rFonts w:hint="eastAsia"/>
                <w:color w:val="auto"/>
              </w:rPr>
              <w:t>、</w:t>
            </w:r>
            <w:r>
              <w:rPr>
                <w:color w:val="auto"/>
              </w:rPr>
              <w:t>技术参数文件</w:t>
            </w:r>
          </w:p>
        </w:tc>
        <w:tc>
          <w:tcPr>
            <w:tcW w:w="1884" w:type="dxa"/>
          </w:tcPr>
          <w:p w14:paraId="31E0F937"/>
        </w:tc>
      </w:tr>
      <w:tr w14:paraId="4742C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7D890C65">
            <w:r>
              <w:rPr>
                <w:rFonts w:hint="eastAsia"/>
              </w:rPr>
              <w:t>14</w:t>
            </w:r>
          </w:p>
        </w:tc>
        <w:tc>
          <w:tcPr>
            <w:tcW w:w="1789" w:type="dxa"/>
            <w:vMerge w:val="continue"/>
          </w:tcPr>
          <w:p w14:paraId="577C46DD"/>
        </w:tc>
        <w:tc>
          <w:tcPr>
            <w:tcW w:w="4152" w:type="dxa"/>
            <w:vAlign w:val="center"/>
          </w:tcPr>
          <w:p w14:paraId="2A116C2A">
            <w:pPr>
              <w:rPr>
                <w:color w:val="auto"/>
              </w:rPr>
            </w:pPr>
            <w:r>
              <w:rPr>
                <w:color w:val="auto"/>
              </w:rPr>
              <w:t>保修方案</w:t>
            </w:r>
            <w:r>
              <w:rPr>
                <w:rFonts w:hint="eastAsia"/>
                <w:color w:val="auto"/>
              </w:rPr>
              <w:t>及出保后保修价格</w:t>
            </w:r>
          </w:p>
        </w:tc>
        <w:tc>
          <w:tcPr>
            <w:tcW w:w="1884" w:type="dxa"/>
          </w:tcPr>
          <w:p w14:paraId="1697D578"/>
        </w:tc>
      </w:tr>
      <w:tr w14:paraId="7269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tcPr>
          <w:p w14:paraId="07AAF0C6">
            <w:pPr>
              <w:rPr>
                <w:rFonts w:hint="eastAsia" w:eastAsia="宋体"/>
                <w:lang w:val="en-US" w:eastAsia="zh-CN"/>
              </w:rPr>
            </w:pPr>
            <w:r>
              <w:rPr>
                <w:rFonts w:hint="eastAsia"/>
              </w:rPr>
              <w:t>1</w:t>
            </w:r>
            <w:r>
              <w:rPr>
                <w:rFonts w:hint="eastAsia"/>
                <w:lang w:val="en-US" w:eastAsia="zh-CN"/>
              </w:rPr>
              <w:t>5</w:t>
            </w:r>
          </w:p>
        </w:tc>
        <w:tc>
          <w:tcPr>
            <w:tcW w:w="1789" w:type="dxa"/>
            <w:vMerge w:val="continue"/>
          </w:tcPr>
          <w:p w14:paraId="3D0A2E43"/>
        </w:tc>
        <w:tc>
          <w:tcPr>
            <w:tcW w:w="4152" w:type="dxa"/>
            <w:vAlign w:val="center"/>
          </w:tcPr>
          <w:p w14:paraId="15263573">
            <w:pPr>
              <w:rPr>
                <w:color w:val="auto"/>
              </w:rPr>
            </w:pPr>
            <w:r>
              <w:rPr>
                <w:rFonts w:hint="eastAsia"/>
                <w:color w:val="auto"/>
              </w:rPr>
              <w:t>售后</w:t>
            </w:r>
            <w:r>
              <w:rPr>
                <w:color w:val="auto"/>
              </w:rPr>
              <w:t>服务方案</w:t>
            </w:r>
          </w:p>
        </w:tc>
        <w:tc>
          <w:tcPr>
            <w:tcW w:w="1884" w:type="dxa"/>
          </w:tcPr>
          <w:p w14:paraId="67F53FA8"/>
        </w:tc>
      </w:tr>
      <w:tr w14:paraId="5C257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2F28A83C">
            <w:r>
              <w:rPr>
                <w:rFonts w:hint="eastAsia"/>
              </w:rPr>
              <w:t>16</w:t>
            </w:r>
          </w:p>
        </w:tc>
        <w:tc>
          <w:tcPr>
            <w:tcW w:w="1789" w:type="dxa"/>
            <w:vMerge w:val="continue"/>
          </w:tcPr>
          <w:p w14:paraId="23BC7F8F"/>
        </w:tc>
        <w:tc>
          <w:tcPr>
            <w:tcW w:w="4152" w:type="dxa"/>
            <w:vAlign w:val="center"/>
          </w:tcPr>
          <w:p w14:paraId="35F6968E">
            <w:pPr>
              <w:rPr>
                <w:rFonts w:hint="eastAsia" w:eastAsia="宋体"/>
                <w:lang w:eastAsia="zh-CN"/>
              </w:rPr>
            </w:pPr>
            <w:r>
              <w:rPr>
                <w:rFonts w:hAnsi="宋体"/>
                <w:color w:val="FF0000"/>
                <w:kern w:val="0"/>
                <w:szCs w:val="21"/>
              </w:rPr>
              <w:t>提供</w:t>
            </w:r>
            <w:r>
              <w:rPr>
                <w:rFonts w:hint="eastAsia" w:hAnsi="宋体"/>
                <w:color w:val="FF0000"/>
                <w:kern w:val="0"/>
                <w:szCs w:val="21"/>
                <w:lang w:val="en-US" w:eastAsia="zh-CN"/>
              </w:rPr>
              <w:t>案例</w:t>
            </w:r>
            <w:r>
              <w:rPr>
                <w:rFonts w:hAnsi="宋体"/>
                <w:color w:val="FF0000"/>
                <w:kern w:val="0"/>
                <w:szCs w:val="21"/>
              </w:rPr>
              <w:t>用户名单及合同复印件</w:t>
            </w:r>
            <w:r>
              <w:rPr>
                <w:rFonts w:hint="eastAsia" w:hAnsi="宋体"/>
                <w:color w:val="FF0000"/>
                <w:kern w:val="0"/>
                <w:szCs w:val="21"/>
                <w:lang w:eastAsia="zh-CN"/>
              </w:rPr>
              <w:t>（</w:t>
            </w:r>
            <w:r>
              <w:rPr>
                <w:rFonts w:hint="eastAsia" w:hAnsi="宋体"/>
                <w:color w:val="FF0000"/>
                <w:kern w:val="0"/>
                <w:szCs w:val="21"/>
                <w:lang w:val="en-US" w:eastAsia="zh-CN"/>
              </w:rPr>
              <w:t>2022年至今</w:t>
            </w:r>
            <w:r>
              <w:rPr>
                <w:rFonts w:hint="eastAsia" w:hAnsi="宋体"/>
                <w:color w:val="FF0000"/>
                <w:kern w:val="0"/>
                <w:szCs w:val="21"/>
                <w:lang w:eastAsia="zh-CN"/>
              </w:rPr>
              <w:t>）</w:t>
            </w:r>
          </w:p>
        </w:tc>
        <w:tc>
          <w:tcPr>
            <w:tcW w:w="1884" w:type="dxa"/>
          </w:tcPr>
          <w:p w14:paraId="2479636D">
            <w:pPr>
              <w:rPr>
                <w:b/>
              </w:rPr>
            </w:pPr>
            <w:r>
              <w:rPr>
                <w:rFonts w:hint="eastAsia"/>
                <w:b/>
              </w:rPr>
              <w:t>合同配置及价格清晰可见</w:t>
            </w:r>
            <w:r>
              <w:rPr>
                <w:rFonts w:hint="eastAsia"/>
                <w:b/>
                <w:lang w:eastAsia="zh-CN"/>
              </w:rPr>
              <w:t>，</w:t>
            </w:r>
            <w:r>
              <w:rPr>
                <w:rFonts w:hint="eastAsia"/>
                <w:b/>
                <w:lang w:val="en-US" w:eastAsia="zh-CN"/>
              </w:rPr>
              <w:t>且加盖公章</w:t>
            </w:r>
            <w:r>
              <w:rPr>
                <w:rFonts w:hint="eastAsia"/>
                <w:b/>
              </w:rPr>
              <w:t>，否则案例无效</w:t>
            </w:r>
          </w:p>
        </w:tc>
      </w:tr>
      <w:tr w14:paraId="32D3A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7C5E9CEC">
            <w:r>
              <w:rPr>
                <w:rFonts w:hint="eastAsia"/>
              </w:rPr>
              <w:t>17</w:t>
            </w:r>
          </w:p>
        </w:tc>
        <w:tc>
          <w:tcPr>
            <w:tcW w:w="1789" w:type="dxa"/>
            <w:vMerge w:val="continue"/>
          </w:tcPr>
          <w:p w14:paraId="3C70438F"/>
        </w:tc>
        <w:tc>
          <w:tcPr>
            <w:tcW w:w="4152" w:type="dxa"/>
            <w:vAlign w:val="center"/>
          </w:tcPr>
          <w:p w14:paraId="49A79FFE">
            <w:r>
              <w:t>其他优惠条件</w:t>
            </w:r>
          </w:p>
        </w:tc>
        <w:tc>
          <w:tcPr>
            <w:tcW w:w="1884" w:type="dxa"/>
          </w:tcPr>
          <w:p w14:paraId="0C488930"/>
        </w:tc>
      </w:tr>
      <w:tr w14:paraId="543F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top"/>
          </w:tcPr>
          <w:p w14:paraId="4126298F">
            <w:r>
              <w:rPr>
                <w:rFonts w:hint="eastAsia"/>
              </w:rPr>
              <w:t>18</w:t>
            </w:r>
          </w:p>
        </w:tc>
        <w:tc>
          <w:tcPr>
            <w:tcW w:w="1789" w:type="dxa"/>
            <w:vAlign w:val="center"/>
          </w:tcPr>
          <w:p w14:paraId="118E7F9E">
            <w:r>
              <w:rPr>
                <w:rFonts w:hint="eastAsia" w:eastAsiaTheme="minorEastAsia"/>
                <w:sz w:val="24"/>
                <w:szCs w:val="22"/>
              </w:rPr>
              <w:t>报价文件</w:t>
            </w:r>
          </w:p>
        </w:tc>
        <w:tc>
          <w:tcPr>
            <w:tcW w:w="4152" w:type="dxa"/>
            <w:vAlign w:val="center"/>
          </w:tcPr>
          <w:p w14:paraId="0CD82010">
            <w:r>
              <w:t>项目报价单（附件</w:t>
            </w:r>
            <w:r>
              <w:rPr>
                <w:rFonts w:hint="eastAsia"/>
                <w:lang w:val="en-US" w:eastAsia="zh-CN"/>
              </w:rPr>
              <w:t>5</w:t>
            </w:r>
            <w:r>
              <w:t>）</w:t>
            </w:r>
          </w:p>
        </w:tc>
        <w:tc>
          <w:tcPr>
            <w:tcW w:w="1884" w:type="dxa"/>
          </w:tcPr>
          <w:p w14:paraId="436F6419"/>
        </w:tc>
      </w:tr>
    </w:tbl>
    <w:p w14:paraId="72AD198F">
      <w:pPr>
        <w:rPr>
          <w:b/>
          <w:bCs/>
          <w:sz w:val="24"/>
        </w:rPr>
      </w:pPr>
      <w:r>
        <w:rPr>
          <w:b/>
        </w:rPr>
        <w:t>注：正本所有文件需加盖公司红章，副本为正本的复印件。</w:t>
      </w:r>
    </w:p>
    <w:p w14:paraId="1D7C8D29">
      <w:pPr>
        <w:rPr>
          <w:b/>
          <w:bCs/>
          <w:sz w:val="32"/>
        </w:rPr>
      </w:pPr>
    </w:p>
    <w:p w14:paraId="4D7C5503">
      <w:pPr>
        <w:bidi w:val="0"/>
      </w:pPr>
    </w:p>
    <w:p w14:paraId="3B3DDA12">
      <w:pPr>
        <w:rPr>
          <w:b/>
          <w:bCs/>
          <w:sz w:val="32"/>
        </w:rPr>
      </w:pPr>
    </w:p>
    <w:p w14:paraId="33F91FBE">
      <w:pPr>
        <w:rPr>
          <w:rFonts w:hint="eastAsia"/>
          <w:b/>
          <w:bCs/>
          <w:sz w:val="32"/>
        </w:rPr>
      </w:pPr>
    </w:p>
    <w:p w14:paraId="4E1E8741">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1</w:t>
      </w:r>
      <w:r>
        <w:rPr>
          <w:rFonts w:hAnsi="仿宋" w:eastAsia="仿宋"/>
          <w:sz w:val="30"/>
          <w:szCs w:val="30"/>
        </w:rPr>
        <w:t>：响应文件封面</w:t>
      </w:r>
      <w:r>
        <w:rPr>
          <w:rFonts w:eastAsia="仿宋"/>
          <w:sz w:val="30"/>
          <w:szCs w:val="30"/>
        </w:rPr>
        <w:t xml:space="preserve">                         </w:t>
      </w:r>
      <w:r>
        <w:rPr>
          <w:rFonts w:hAnsi="仿宋" w:eastAsia="仿宋"/>
          <w:bCs/>
          <w:sz w:val="30"/>
          <w:szCs w:val="30"/>
        </w:rPr>
        <w:t>正本或副本</w:t>
      </w:r>
    </w:p>
    <w:p w14:paraId="67AE074C">
      <w:pPr>
        <w:ind w:firstLine="1320" w:firstLineChars="300"/>
        <w:rPr>
          <w:sz w:val="44"/>
          <w:szCs w:val="44"/>
        </w:rPr>
      </w:pPr>
      <w:r>
        <w:rPr>
          <w:rFonts w:hAnsi="Calibri"/>
          <w:sz w:val="44"/>
          <w:szCs w:val="44"/>
        </w:rPr>
        <w:t>浙江大学医学院附属妇产科医院</w:t>
      </w:r>
    </w:p>
    <w:p w14:paraId="45BCD418">
      <w:pPr>
        <w:ind w:firstLine="3080" w:firstLineChars="700"/>
        <w:rPr>
          <w:sz w:val="44"/>
          <w:szCs w:val="44"/>
        </w:rPr>
      </w:pPr>
      <w:r>
        <w:rPr>
          <w:rFonts w:hAnsi="Calibri"/>
          <w:sz w:val="44"/>
          <w:szCs w:val="44"/>
        </w:rPr>
        <w:t>（</w:t>
      </w:r>
      <w:r>
        <w:rPr>
          <w:rFonts w:hint="eastAsia" w:hAnsi="Calibri"/>
          <w:sz w:val="44"/>
          <w:szCs w:val="44"/>
          <w:lang w:val="en-US" w:eastAsia="zh-CN"/>
        </w:rPr>
        <w:t>信息项目</w:t>
      </w:r>
      <w:r>
        <w:rPr>
          <w:rFonts w:hAnsi="Calibri"/>
          <w:sz w:val="44"/>
          <w:szCs w:val="44"/>
        </w:rPr>
        <w:t>）</w:t>
      </w:r>
    </w:p>
    <w:tbl>
      <w:tblPr>
        <w:tblStyle w:val="43"/>
        <w:tblW w:w="861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4"/>
        <w:gridCol w:w="1704"/>
        <w:gridCol w:w="1704"/>
        <w:gridCol w:w="3501"/>
      </w:tblGrid>
      <w:tr w14:paraId="23928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CB3F88">
            <w:pPr>
              <w:rPr>
                <w:rFonts w:ascii="Calibri" w:hAnsi="Calibri"/>
                <w:sz w:val="36"/>
                <w:szCs w:val="36"/>
              </w:rPr>
            </w:pPr>
            <w:r>
              <w:rPr>
                <w:rFonts w:ascii="Calibri" w:hAnsi="Calibri"/>
                <w:sz w:val="36"/>
                <w:szCs w:val="36"/>
              </w:rPr>
              <w:t>项目名称：</w:t>
            </w:r>
          </w:p>
        </w:tc>
      </w:tr>
      <w:tr w14:paraId="3D51C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7AA648CD">
            <w:pPr>
              <w:rPr>
                <w:rFonts w:ascii="Calibri" w:hAnsi="Calibri"/>
                <w:sz w:val="36"/>
                <w:szCs w:val="36"/>
              </w:rPr>
            </w:pPr>
            <w:r>
              <w:rPr>
                <w:rFonts w:ascii="Calibri" w:hAnsi="Calibri"/>
                <w:sz w:val="36"/>
                <w:szCs w:val="36"/>
              </w:rPr>
              <w:t>项目编号：</w:t>
            </w:r>
          </w:p>
        </w:tc>
      </w:tr>
      <w:tr w14:paraId="5CD28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restart"/>
          </w:tcPr>
          <w:p w14:paraId="0E1BB357">
            <w:pPr>
              <w:rPr>
                <w:rFonts w:ascii="Calibri" w:hAnsi="Calibri"/>
                <w:sz w:val="28"/>
                <w:szCs w:val="28"/>
              </w:rPr>
            </w:pPr>
          </w:p>
        </w:tc>
        <w:tc>
          <w:tcPr>
            <w:tcW w:w="1704" w:type="dxa"/>
          </w:tcPr>
          <w:p w14:paraId="5F84750A">
            <w:pPr>
              <w:rPr>
                <w:rFonts w:ascii="Calibri" w:hAnsi="Calibri"/>
                <w:sz w:val="28"/>
                <w:szCs w:val="28"/>
              </w:rPr>
            </w:pPr>
          </w:p>
        </w:tc>
        <w:tc>
          <w:tcPr>
            <w:tcW w:w="1704" w:type="dxa"/>
            <w:vMerge w:val="restart"/>
          </w:tcPr>
          <w:p w14:paraId="1FA1CE36">
            <w:pPr>
              <w:spacing w:line="720" w:lineRule="auto"/>
              <w:rPr>
                <w:rFonts w:ascii="Calibri" w:hAnsi="Calibri"/>
                <w:sz w:val="84"/>
                <w:szCs w:val="84"/>
              </w:rPr>
            </w:pPr>
          </w:p>
          <w:p w14:paraId="121DC90D">
            <w:pPr>
              <w:spacing w:line="720" w:lineRule="auto"/>
              <w:rPr>
                <w:rFonts w:ascii="Calibri" w:hAnsi="Calibri"/>
                <w:sz w:val="36"/>
                <w:szCs w:val="36"/>
              </w:rPr>
            </w:pPr>
          </w:p>
          <w:p w14:paraId="39CBADB7">
            <w:pPr>
              <w:spacing w:line="720" w:lineRule="auto"/>
              <w:rPr>
                <w:rFonts w:ascii="Calibri" w:hAnsi="Calibri"/>
                <w:sz w:val="84"/>
                <w:szCs w:val="84"/>
              </w:rPr>
            </w:pPr>
            <w:r>
              <w:rPr>
                <w:rFonts w:ascii="Calibri" w:hAnsi="Calibri"/>
                <w:sz w:val="84"/>
                <w:szCs w:val="84"/>
              </w:rPr>
              <w:t>响应文件</w:t>
            </w:r>
          </w:p>
        </w:tc>
        <w:tc>
          <w:tcPr>
            <w:tcW w:w="3501" w:type="dxa"/>
            <w:vMerge w:val="restart"/>
          </w:tcPr>
          <w:p w14:paraId="3D3F8CA4">
            <w:pPr>
              <w:rPr>
                <w:rFonts w:ascii="Calibri" w:hAnsi="Calibri"/>
                <w:sz w:val="28"/>
                <w:szCs w:val="28"/>
              </w:rPr>
            </w:pPr>
          </w:p>
        </w:tc>
      </w:tr>
      <w:tr w14:paraId="1F55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1E796AF">
            <w:pPr>
              <w:rPr>
                <w:rFonts w:ascii="Calibri" w:hAnsi="Calibri"/>
                <w:sz w:val="28"/>
                <w:szCs w:val="28"/>
              </w:rPr>
            </w:pPr>
          </w:p>
        </w:tc>
        <w:tc>
          <w:tcPr>
            <w:tcW w:w="1704" w:type="dxa"/>
          </w:tcPr>
          <w:p w14:paraId="0A7B60A1">
            <w:pPr>
              <w:rPr>
                <w:rFonts w:ascii="Calibri" w:hAnsi="Calibri"/>
                <w:sz w:val="28"/>
                <w:szCs w:val="28"/>
              </w:rPr>
            </w:pPr>
          </w:p>
        </w:tc>
        <w:tc>
          <w:tcPr>
            <w:tcW w:w="1704" w:type="dxa"/>
            <w:vMerge w:val="continue"/>
          </w:tcPr>
          <w:p w14:paraId="3D3889B2">
            <w:pPr>
              <w:rPr>
                <w:rFonts w:ascii="Calibri" w:hAnsi="Calibri"/>
                <w:sz w:val="28"/>
                <w:szCs w:val="28"/>
              </w:rPr>
            </w:pPr>
          </w:p>
        </w:tc>
        <w:tc>
          <w:tcPr>
            <w:tcW w:w="3501" w:type="dxa"/>
            <w:vMerge w:val="continue"/>
          </w:tcPr>
          <w:p w14:paraId="2A5E9ABD">
            <w:pPr>
              <w:rPr>
                <w:rFonts w:ascii="Calibri" w:hAnsi="Calibri"/>
                <w:sz w:val="28"/>
                <w:szCs w:val="28"/>
              </w:rPr>
            </w:pPr>
          </w:p>
        </w:tc>
      </w:tr>
      <w:tr w14:paraId="018E2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6A0A068">
            <w:pPr>
              <w:rPr>
                <w:rFonts w:ascii="Calibri" w:hAnsi="Calibri"/>
                <w:sz w:val="28"/>
                <w:szCs w:val="28"/>
              </w:rPr>
            </w:pPr>
          </w:p>
        </w:tc>
        <w:tc>
          <w:tcPr>
            <w:tcW w:w="1704" w:type="dxa"/>
          </w:tcPr>
          <w:p w14:paraId="20900F86">
            <w:pPr>
              <w:rPr>
                <w:rFonts w:ascii="Calibri" w:hAnsi="Calibri"/>
                <w:sz w:val="28"/>
                <w:szCs w:val="28"/>
              </w:rPr>
            </w:pPr>
          </w:p>
        </w:tc>
        <w:tc>
          <w:tcPr>
            <w:tcW w:w="1704" w:type="dxa"/>
            <w:vMerge w:val="continue"/>
          </w:tcPr>
          <w:p w14:paraId="36BED808">
            <w:pPr>
              <w:rPr>
                <w:rFonts w:ascii="Calibri" w:hAnsi="Calibri"/>
                <w:sz w:val="28"/>
                <w:szCs w:val="28"/>
              </w:rPr>
            </w:pPr>
          </w:p>
        </w:tc>
        <w:tc>
          <w:tcPr>
            <w:tcW w:w="3501" w:type="dxa"/>
            <w:vMerge w:val="continue"/>
          </w:tcPr>
          <w:p w14:paraId="3716DF07">
            <w:pPr>
              <w:rPr>
                <w:rFonts w:ascii="Calibri" w:hAnsi="Calibri"/>
                <w:sz w:val="28"/>
                <w:szCs w:val="28"/>
              </w:rPr>
            </w:pPr>
          </w:p>
        </w:tc>
      </w:tr>
      <w:tr w14:paraId="15A12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5F8795F0">
            <w:pPr>
              <w:rPr>
                <w:rFonts w:ascii="Calibri" w:hAnsi="Calibri"/>
                <w:sz w:val="28"/>
                <w:szCs w:val="28"/>
              </w:rPr>
            </w:pPr>
          </w:p>
        </w:tc>
        <w:tc>
          <w:tcPr>
            <w:tcW w:w="1704" w:type="dxa"/>
          </w:tcPr>
          <w:p w14:paraId="5A339DF8">
            <w:pPr>
              <w:rPr>
                <w:rFonts w:ascii="Calibri" w:hAnsi="Calibri"/>
                <w:sz w:val="28"/>
                <w:szCs w:val="28"/>
              </w:rPr>
            </w:pPr>
          </w:p>
        </w:tc>
        <w:tc>
          <w:tcPr>
            <w:tcW w:w="1704" w:type="dxa"/>
            <w:vMerge w:val="continue"/>
          </w:tcPr>
          <w:p w14:paraId="23FBD5EA">
            <w:pPr>
              <w:rPr>
                <w:rFonts w:ascii="Calibri" w:hAnsi="Calibri"/>
                <w:sz w:val="28"/>
                <w:szCs w:val="28"/>
              </w:rPr>
            </w:pPr>
          </w:p>
        </w:tc>
        <w:tc>
          <w:tcPr>
            <w:tcW w:w="3501" w:type="dxa"/>
            <w:vMerge w:val="continue"/>
          </w:tcPr>
          <w:p w14:paraId="0BE1DA6E">
            <w:pPr>
              <w:rPr>
                <w:rFonts w:ascii="Calibri" w:hAnsi="Calibri"/>
                <w:sz w:val="28"/>
                <w:szCs w:val="28"/>
              </w:rPr>
            </w:pPr>
          </w:p>
        </w:tc>
      </w:tr>
      <w:tr w14:paraId="7059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9E654EC">
            <w:pPr>
              <w:rPr>
                <w:rFonts w:ascii="Calibri" w:hAnsi="Calibri"/>
                <w:sz w:val="28"/>
                <w:szCs w:val="28"/>
              </w:rPr>
            </w:pPr>
          </w:p>
        </w:tc>
        <w:tc>
          <w:tcPr>
            <w:tcW w:w="1704" w:type="dxa"/>
          </w:tcPr>
          <w:p w14:paraId="452BB386">
            <w:pPr>
              <w:rPr>
                <w:rFonts w:ascii="Calibri" w:hAnsi="Calibri"/>
                <w:sz w:val="28"/>
                <w:szCs w:val="28"/>
              </w:rPr>
            </w:pPr>
          </w:p>
        </w:tc>
        <w:tc>
          <w:tcPr>
            <w:tcW w:w="1704" w:type="dxa"/>
            <w:vMerge w:val="continue"/>
          </w:tcPr>
          <w:p w14:paraId="4276A906">
            <w:pPr>
              <w:rPr>
                <w:rFonts w:ascii="Calibri" w:hAnsi="Calibri"/>
                <w:sz w:val="28"/>
                <w:szCs w:val="28"/>
              </w:rPr>
            </w:pPr>
          </w:p>
        </w:tc>
        <w:tc>
          <w:tcPr>
            <w:tcW w:w="3501" w:type="dxa"/>
            <w:vMerge w:val="continue"/>
          </w:tcPr>
          <w:p w14:paraId="3CC8430D">
            <w:pPr>
              <w:rPr>
                <w:rFonts w:ascii="Calibri" w:hAnsi="Calibri"/>
                <w:sz w:val="28"/>
                <w:szCs w:val="28"/>
              </w:rPr>
            </w:pPr>
          </w:p>
        </w:tc>
      </w:tr>
      <w:tr w14:paraId="1910E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306D99D">
            <w:pPr>
              <w:rPr>
                <w:rFonts w:ascii="Calibri" w:hAnsi="Calibri"/>
                <w:sz w:val="28"/>
                <w:szCs w:val="28"/>
              </w:rPr>
            </w:pPr>
          </w:p>
        </w:tc>
        <w:tc>
          <w:tcPr>
            <w:tcW w:w="1704" w:type="dxa"/>
          </w:tcPr>
          <w:p w14:paraId="400FF9FB">
            <w:pPr>
              <w:rPr>
                <w:rFonts w:ascii="Calibri" w:hAnsi="Calibri"/>
                <w:sz w:val="28"/>
                <w:szCs w:val="28"/>
              </w:rPr>
            </w:pPr>
          </w:p>
        </w:tc>
        <w:tc>
          <w:tcPr>
            <w:tcW w:w="1704" w:type="dxa"/>
            <w:vMerge w:val="continue"/>
          </w:tcPr>
          <w:p w14:paraId="7055589D">
            <w:pPr>
              <w:rPr>
                <w:rFonts w:ascii="Calibri" w:hAnsi="Calibri"/>
                <w:sz w:val="28"/>
                <w:szCs w:val="28"/>
              </w:rPr>
            </w:pPr>
          </w:p>
        </w:tc>
        <w:tc>
          <w:tcPr>
            <w:tcW w:w="3501" w:type="dxa"/>
            <w:vMerge w:val="continue"/>
          </w:tcPr>
          <w:p w14:paraId="1A56B48A">
            <w:pPr>
              <w:rPr>
                <w:rFonts w:ascii="Calibri" w:hAnsi="Calibri"/>
                <w:sz w:val="28"/>
                <w:szCs w:val="28"/>
              </w:rPr>
            </w:pPr>
          </w:p>
        </w:tc>
      </w:tr>
      <w:tr w14:paraId="7ACBA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453784E3">
            <w:pPr>
              <w:rPr>
                <w:rFonts w:ascii="Calibri" w:hAnsi="Calibri"/>
                <w:sz w:val="28"/>
                <w:szCs w:val="28"/>
              </w:rPr>
            </w:pPr>
          </w:p>
        </w:tc>
        <w:tc>
          <w:tcPr>
            <w:tcW w:w="1704" w:type="dxa"/>
          </w:tcPr>
          <w:p w14:paraId="75B8A39E">
            <w:pPr>
              <w:rPr>
                <w:rFonts w:ascii="Calibri" w:hAnsi="Calibri"/>
                <w:sz w:val="28"/>
                <w:szCs w:val="28"/>
              </w:rPr>
            </w:pPr>
          </w:p>
        </w:tc>
        <w:tc>
          <w:tcPr>
            <w:tcW w:w="1704" w:type="dxa"/>
            <w:vMerge w:val="continue"/>
          </w:tcPr>
          <w:p w14:paraId="3FB4AC5C">
            <w:pPr>
              <w:rPr>
                <w:rFonts w:ascii="Calibri" w:hAnsi="Calibri"/>
                <w:sz w:val="28"/>
                <w:szCs w:val="28"/>
              </w:rPr>
            </w:pPr>
          </w:p>
        </w:tc>
        <w:tc>
          <w:tcPr>
            <w:tcW w:w="3501" w:type="dxa"/>
            <w:vMerge w:val="continue"/>
          </w:tcPr>
          <w:p w14:paraId="34613957">
            <w:pPr>
              <w:rPr>
                <w:rFonts w:ascii="Calibri" w:hAnsi="Calibri"/>
                <w:sz w:val="28"/>
                <w:szCs w:val="28"/>
              </w:rPr>
            </w:pPr>
          </w:p>
        </w:tc>
      </w:tr>
      <w:tr w14:paraId="2B20A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6B225CC1">
            <w:pPr>
              <w:rPr>
                <w:rFonts w:ascii="Calibri" w:hAnsi="Calibri"/>
                <w:sz w:val="28"/>
                <w:szCs w:val="28"/>
              </w:rPr>
            </w:pPr>
          </w:p>
        </w:tc>
        <w:tc>
          <w:tcPr>
            <w:tcW w:w="1704" w:type="dxa"/>
          </w:tcPr>
          <w:p w14:paraId="6755CEEC">
            <w:pPr>
              <w:rPr>
                <w:rFonts w:ascii="Calibri" w:hAnsi="Calibri"/>
                <w:sz w:val="28"/>
                <w:szCs w:val="28"/>
              </w:rPr>
            </w:pPr>
          </w:p>
        </w:tc>
        <w:tc>
          <w:tcPr>
            <w:tcW w:w="1704" w:type="dxa"/>
            <w:vMerge w:val="continue"/>
          </w:tcPr>
          <w:p w14:paraId="784600DC">
            <w:pPr>
              <w:rPr>
                <w:rFonts w:ascii="Calibri" w:hAnsi="Calibri"/>
                <w:sz w:val="28"/>
                <w:szCs w:val="28"/>
              </w:rPr>
            </w:pPr>
          </w:p>
        </w:tc>
        <w:tc>
          <w:tcPr>
            <w:tcW w:w="3501" w:type="dxa"/>
            <w:vMerge w:val="continue"/>
          </w:tcPr>
          <w:p w14:paraId="4C3009AE">
            <w:pPr>
              <w:rPr>
                <w:rFonts w:ascii="Calibri" w:hAnsi="Calibri"/>
                <w:sz w:val="28"/>
                <w:szCs w:val="28"/>
              </w:rPr>
            </w:pPr>
          </w:p>
        </w:tc>
      </w:tr>
      <w:tr w14:paraId="029C9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11D6F8">
            <w:pPr>
              <w:rPr>
                <w:rFonts w:ascii="Calibri" w:hAnsi="Calibri"/>
                <w:sz w:val="28"/>
                <w:szCs w:val="28"/>
              </w:rPr>
            </w:pPr>
          </w:p>
        </w:tc>
        <w:tc>
          <w:tcPr>
            <w:tcW w:w="1704" w:type="dxa"/>
          </w:tcPr>
          <w:p w14:paraId="49ED0EF0">
            <w:pPr>
              <w:rPr>
                <w:rFonts w:ascii="Calibri" w:hAnsi="Calibri"/>
                <w:sz w:val="28"/>
                <w:szCs w:val="28"/>
              </w:rPr>
            </w:pPr>
          </w:p>
        </w:tc>
        <w:tc>
          <w:tcPr>
            <w:tcW w:w="1704" w:type="dxa"/>
            <w:vMerge w:val="continue"/>
          </w:tcPr>
          <w:p w14:paraId="21D63CF3">
            <w:pPr>
              <w:rPr>
                <w:rFonts w:ascii="Calibri" w:hAnsi="Calibri"/>
                <w:sz w:val="28"/>
                <w:szCs w:val="28"/>
              </w:rPr>
            </w:pPr>
          </w:p>
        </w:tc>
        <w:tc>
          <w:tcPr>
            <w:tcW w:w="3501" w:type="dxa"/>
            <w:vMerge w:val="continue"/>
          </w:tcPr>
          <w:p w14:paraId="2252EB6A">
            <w:pPr>
              <w:rPr>
                <w:rFonts w:ascii="Calibri" w:hAnsi="Calibri"/>
                <w:sz w:val="28"/>
                <w:szCs w:val="28"/>
              </w:rPr>
            </w:pPr>
          </w:p>
        </w:tc>
      </w:tr>
      <w:tr w14:paraId="5085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69BBADE">
            <w:pPr>
              <w:rPr>
                <w:rFonts w:ascii="Calibri" w:hAnsi="Calibri"/>
                <w:sz w:val="28"/>
                <w:szCs w:val="28"/>
              </w:rPr>
            </w:pPr>
          </w:p>
        </w:tc>
        <w:tc>
          <w:tcPr>
            <w:tcW w:w="1704" w:type="dxa"/>
          </w:tcPr>
          <w:p w14:paraId="08373F98">
            <w:pPr>
              <w:rPr>
                <w:rFonts w:ascii="Calibri" w:hAnsi="Calibri"/>
                <w:sz w:val="28"/>
                <w:szCs w:val="28"/>
              </w:rPr>
            </w:pPr>
          </w:p>
        </w:tc>
        <w:tc>
          <w:tcPr>
            <w:tcW w:w="1704" w:type="dxa"/>
            <w:vMerge w:val="continue"/>
          </w:tcPr>
          <w:p w14:paraId="364C1B69">
            <w:pPr>
              <w:rPr>
                <w:rFonts w:ascii="Calibri" w:hAnsi="Calibri"/>
                <w:sz w:val="28"/>
                <w:szCs w:val="28"/>
              </w:rPr>
            </w:pPr>
          </w:p>
        </w:tc>
        <w:tc>
          <w:tcPr>
            <w:tcW w:w="3501" w:type="dxa"/>
            <w:vMerge w:val="continue"/>
          </w:tcPr>
          <w:p w14:paraId="053EC7CA">
            <w:pPr>
              <w:rPr>
                <w:rFonts w:ascii="Calibri" w:hAnsi="Calibri"/>
                <w:sz w:val="28"/>
                <w:szCs w:val="28"/>
              </w:rPr>
            </w:pPr>
          </w:p>
        </w:tc>
      </w:tr>
      <w:tr w14:paraId="027E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7F56A176">
            <w:pPr>
              <w:rPr>
                <w:rFonts w:ascii="Calibri" w:hAnsi="Calibri"/>
                <w:sz w:val="28"/>
                <w:szCs w:val="28"/>
              </w:rPr>
            </w:pPr>
          </w:p>
        </w:tc>
        <w:tc>
          <w:tcPr>
            <w:tcW w:w="1704" w:type="dxa"/>
          </w:tcPr>
          <w:p w14:paraId="439352AD">
            <w:pPr>
              <w:rPr>
                <w:rFonts w:ascii="Calibri" w:hAnsi="Calibri"/>
                <w:sz w:val="28"/>
                <w:szCs w:val="28"/>
              </w:rPr>
            </w:pPr>
          </w:p>
        </w:tc>
        <w:tc>
          <w:tcPr>
            <w:tcW w:w="1704" w:type="dxa"/>
            <w:vMerge w:val="continue"/>
          </w:tcPr>
          <w:p w14:paraId="6CFF6AD5">
            <w:pPr>
              <w:rPr>
                <w:rFonts w:ascii="Calibri" w:hAnsi="Calibri"/>
                <w:sz w:val="28"/>
                <w:szCs w:val="28"/>
              </w:rPr>
            </w:pPr>
          </w:p>
        </w:tc>
        <w:tc>
          <w:tcPr>
            <w:tcW w:w="3501" w:type="dxa"/>
            <w:vMerge w:val="continue"/>
          </w:tcPr>
          <w:p w14:paraId="234DC815">
            <w:pPr>
              <w:rPr>
                <w:rFonts w:ascii="Calibri" w:hAnsi="Calibri"/>
                <w:sz w:val="28"/>
                <w:szCs w:val="28"/>
              </w:rPr>
            </w:pPr>
          </w:p>
        </w:tc>
      </w:tr>
      <w:tr w14:paraId="537C7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0F683F27">
            <w:pPr>
              <w:rPr>
                <w:rFonts w:ascii="Calibri" w:hAnsi="Calibri"/>
                <w:sz w:val="28"/>
                <w:szCs w:val="28"/>
              </w:rPr>
            </w:pPr>
          </w:p>
        </w:tc>
        <w:tc>
          <w:tcPr>
            <w:tcW w:w="1704" w:type="dxa"/>
          </w:tcPr>
          <w:p w14:paraId="18320FD7">
            <w:pPr>
              <w:rPr>
                <w:rFonts w:ascii="Calibri" w:hAnsi="Calibri"/>
                <w:sz w:val="28"/>
                <w:szCs w:val="28"/>
              </w:rPr>
            </w:pPr>
          </w:p>
        </w:tc>
        <w:tc>
          <w:tcPr>
            <w:tcW w:w="1704" w:type="dxa"/>
            <w:vMerge w:val="continue"/>
          </w:tcPr>
          <w:p w14:paraId="45B97382">
            <w:pPr>
              <w:rPr>
                <w:rFonts w:ascii="Calibri" w:hAnsi="Calibri"/>
                <w:sz w:val="28"/>
                <w:szCs w:val="28"/>
              </w:rPr>
            </w:pPr>
          </w:p>
        </w:tc>
        <w:tc>
          <w:tcPr>
            <w:tcW w:w="3501" w:type="dxa"/>
            <w:vMerge w:val="continue"/>
          </w:tcPr>
          <w:p w14:paraId="51ADABC1">
            <w:pPr>
              <w:rPr>
                <w:rFonts w:ascii="Calibri" w:hAnsi="Calibri"/>
                <w:sz w:val="28"/>
                <w:szCs w:val="28"/>
              </w:rPr>
            </w:pPr>
          </w:p>
        </w:tc>
      </w:tr>
      <w:tr w14:paraId="11497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04" w:type="dxa"/>
            <w:vMerge w:val="continue"/>
          </w:tcPr>
          <w:p w14:paraId="11A55D06">
            <w:pPr>
              <w:rPr>
                <w:rFonts w:ascii="Calibri" w:hAnsi="Calibri"/>
                <w:sz w:val="28"/>
                <w:szCs w:val="28"/>
              </w:rPr>
            </w:pPr>
          </w:p>
        </w:tc>
        <w:tc>
          <w:tcPr>
            <w:tcW w:w="1704" w:type="dxa"/>
          </w:tcPr>
          <w:p w14:paraId="70127682">
            <w:pPr>
              <w:rPr>
                <w:rFonts w:ascii="Calibri" w:hAnsi="Calibri"/>
                <w:sz w:val="28"/>
                <w:szCs w:val="28"/>
              </w:rPr>
            </w:pPr>
          </w:p>
        </w:tc>
        <w:tc>
          <w:tcPr>
            <w:tcW w:w="1704" w:type="dxa"/>
            <w:vMerge w:val="continue"/>
          </w:tcPr>
          <w:p w14:paraId="797BA65E">
            <w:pPr>
              <w:rPr>
                <w:rFonts w:ascii="Calibri" w:hAnsi="Calibri"/>
                <w:sz w:val="28"/>
                <w:szCs w:val="28"/>
              </w:rPr>
            </w:pPr>
          </w:p>
        </w:tc>
        <w:tc>
          <w:tcPr>
            <w:tcW w:w="3501" w:type="dxa"/>
            <w:vMerge w:val="continue"/>
          </w:tcPr>
          <w:p w14:paraId="7FF578A4">
            <w:pPr>
              <w:rPr>
                <w:rFonts w:ascii="Calibri" w:hAnsi="Calibri"/>
                <w:sz w:val="28"/>
                <w:szCs w:val="28"/>
              </w:rPr>
            </w:pPr>
          </w:p>
        </w:tc>
      </w:tr>
      <w:tr w14:paraId="06ABA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685EB491">
            <w:pPr>
              <w:rPr>
                <w:rFonts w:ascii="Calibri" w:hAnsi="Calibri"/>
                <w:sz w:val="36"/>
                <w:szCs w:val="36"/>
              </w:rPr>
            </w:pPr>
            <w:r>
              <w:rPr>
                <w:rFonts w:ascii="Calibri" w:hAnsi="Calibri"/>
                <w:sz w:val="36"/>
                <w:szCs w:val="36"/>
              </w:rPr>
              <w:t>供应商全称：</w:t>
            </w:r>
          </w:p>
        </w:tc>
      </w:tr>
      <w:tr w14:paraId="4B93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174D814F">
            <w:pPr>
              <w:rPr>
                <w:rFonts w:ascii="Calibri" w:hAnsi="Calibri"/>
                <w:strike/>
                <w:color w:val="FF0000"/>
                <w:sz w:val="36"/>
                <w:szCs w:val="36"/>
              </w:rPr>
            </w:pPr>
          </w:p>
        </w:tc>
      </w:tr>
      <w:tr w14:paraId="58A0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613" w:type="dxa"/>
            <w:gridSpan w:val="4"/>
          </w:tcPr>
          <w:p w14:paraId="5423D376">
            <w:pPr>
              <w:rPr>
                <w:rFonts w:ascii="Calibri" w:hAnsi="Calibri"/>
                <w:sz w:val="36"/>
                <w:szCs w:val="36"/>
              </w:rPr>
            </w:pPr>
            <w:r>
              <w:rPr>
                <w:rFonts w:ascii="Calibri" w:hAnsi="Calibri"/>
                <w:sz w:val="36"/>
                <w:szCs w:val="36"/>
              </w:rPr>
              <w:t>时      间：</w:t>
            </w:r>
          </w:p>
        </w:tc>
      </w:tr>
    </w:tbl>
    <w:p w14:paraId="71202F47">
      <w:pPr>
        <w:rPr>
          <w:szCs w:val="22"/>
        </w:rPr>
      </w:pPr>
    </w:p>
    <w:p w14:paraId="30C5CF6A">
      <w:pPr>
        <w:rPr>
          <w:szCs w:val="22"/>
        </w:rPr>
      </w:pPr>
    </w:p>
    <w:p w14:paraId="73C8F290">
      <w:pPr>
        <w:snapToGrid w:val="0"/>
        <w:spacing w:before="156" w:beforeLines="50" w:after="50" w:line="460" w:lineRule="exact"/>
        <w:rPr>
          <w:rFonts w:eastAsia="仿宋"/>
          <w:sz w:val="30"/>
          <w:szCs w:val="30"/>
        </w:rPr>
      </w:pPr>
      <w:r>
        <w:rPr>
          <w:rFonts w:hAnsi="仿宋" w:eastAsia="仿宋"/>
          <w:sz w:val="30"/>
          <w:szCs w:val="30"/>
        </w:rPr>
        <w:t>附件</w:t>
      </w:r>
      <w:r>
        <w:rPr>
          <w:rFonts w:eastAsia="仿宋"/>
          <w:sz w:val="30"/>
          <w:szCs w:val="30"/>
        </w:rPr>
        <w:t>2</w:t>
      </w:r>
      <w:r>
        <w:rPr>
          <w:rFonts w:hAnsi="仿宋" w:eastAsia="仿宋"/>
          <w:sz w:val="30"/>
          <w:szCs w:val="30"/>
        </w:rPr>
        <w:t>：</w:t>
      </w:r>
    </w:p>
    <w:p w14:paraId="7F7DC40D">
      <w:pPr>
        <w:snapToGrid w:val="0"/>
        <w:spacing w:before="50" w:after="50"/>
        <w:jc w:val="center"/>
        <w:rPr>
          <w:rFonts w:eastAsia="仿宋"/>
          <w:b/>
          <w:sz w:val="36"/>
          <w:szCs w:val="36"/>
        </w:rPr>
      </w:pPr>
      <w:r>
        <w:rPr>
          <w:rFonts w:hAnsi="仿宋" w:eastAsia="仿宋"/>
          <w:b/>
          <w:sz w:val="36"/>
          <w:szCs w:val="36"/>
        </w:rPr>
        <w:t>声</w:t>
      </w:r>
      <w:r>
        <w:rPr>
          <w:rFonts w:eastAsia="仿宋"/>
          <w:b/>
          <w:sz w:val="36"/>
          <w:szCs w:val="36"/>
        </w:rPr>
        <w:t xml:space="preserve"> </w:t>
      </w:r>
      <w:r>
        <w:rPr>
          <w:rFonts w:hAnsi="仿宋" w:eastAsia="仿宋"/>
          <w:b/>
          <w:sz w:val="36"/>
          <w:szCs w:val="36"/>
        </w:rPr>
        <w:t>明</w:t>
      </w:r>
      <w:r>
        <w:rPr>
          <w:rFonts w:eastAsia="仿宋"/>
          <w:b/>
          <w:sz w:val="36"/>
          <w:szCs w:val="36"/>
        </w:rPr>
        <w:t xml:space="preserve"> </w:t>
      </w:r>
      <w:r>
        <w:rPr>
          <w:rFonts w:hAnsi="仿宋" w:eastAsia="仿宋"/>
          <w:b/>
          <w:sz w:val="36"/>
          <w:szCs w:val="36"/>
        </w:rPr>
        <w:t>书</w:t>
      </w:r>
    </w:p>
    <w:p w14:paraId="468AB78D">
      <w:pPr>
        <w:snapToGrid w:val="0"/>
        <w:spacing w:before="156" w:beforeLines="50" w:after="50" w:line="460" w:lineRule="exact"/>
        <w:rPr>
          <w:rFonts w:eastAsiaTheme="minorEastAsia"/>
          <w:sz w:val="28"/>
          <w:szCs w:val="28"/>
        </w:rPr>
      </w:pPr>
      <w:r>
        <w:rPr>
          <w:rFonts w:hAnsiTheme="minorEastAsia" w:eastAsiaTheme="minorEastAsia"/>
          <w:sz w:val="28"/>
          <w:szCs w:val="28"/>
        </w:rPr>
        <w:t>致浙江大学医学院附属妇产科医院：</w:t>
      </w:r>
    </w:p>
    <w:p w14:paraId="4269515F">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u w:val="single"/>
        </w:rPr>
        <w:t>（供应商名称）</w:t>
      </w:r>
      <w:r>
        <w:rPr>
          <w:rFonts w:hAnsiTheme="minorEastAsia" w:eastAsiaTheme="minorEastAsia"/>
          <w:sz w:val="28"/>
          <w:szCs w:val="28"/>
        </w:rPr>
        <w:t>系中华人民共和国合法企业，经营地址</w:t>
      </w:r>
      <w:r>
        <w:rPr>
          <w:rFonts w:eastAsiaTheme="minorEastAsia"/>
          <w:sz w:val="28"/>
          <w:szCs w:val="28"/>
          <w:u w:val="single"/>
        </w:rPr>
        <w:t xml:space="preserve">                            </w:t>
      </w:r>
      <w:r>
        <w:rPr>
          <w:rFonts w:hAnsiTheme="minorEastAsia" w:eastAsiaTheme="minorEastAsia"/>
          <w:sz w:val="28"/>
          <w:szCs w:val="28"/>
        </w:rPr>
        <w:t>。</w:t>
      </w:r>
    </w:p>
    <w:p w14:paraId="3C4B0CA2">
      <w:pPr>
        <w:snapToGrid w:val="0"/>
        <w:spacing w:before="156" w:beforeLines="50" w:after="50" w:line="460" w:lineRule="exact"/>
        <w:ind w:firstLine="560" w:firstLineChars="200"/>
        <w:rPr>
          <w:rFonts w:eastAsiaTheme="minorEastAsia"/>
          <w:sz w:val="28"/>
          <w:szCs w:val="28"/>
        </w:rPr>
      </w:pPr>
      <w:r>
        <w:rPr>
          <w:rFonts w:hAnsiTheme="minorEastAsia" w:eastAsiaTheme="minorEastAsia"/>
          <w:sz w:val="28"/>
          <w:szCs w:val="28"/>
        </w:rPr>
        <w:t>我</w:t>
      </w:r>
      <w:r>
        <w:rPr>
          <w:rFonts w:hAnsiTheme="minorEastAsia" w:eastAsiaTheme="minorEastAsia"/>
          <w:sz w:val="28"/>
          <w:szCs w:val="28"/>
          <w:u w:val="single"/>
        </w:rPr>
        <w:t>（姓名）</w:t>
      </w:r>
      <w:r>
        <w:rPr>
          <w:rFonts w:hAnsiTheme="minorEastAsia" w:eastAsiaTheme="minorEastAsia"/>
          <w:sz w:val="28"/>
          <w:szCs w:val="28"/>
        </w:rPr>
        <w:t>系</w:t>
      </w:r>
      <w:r>
        <w:rPr>
          <w:rFonts w:hAnsiTheme="minorEastAsia" w:eastAsiaTheme="minorEastAsia"/>
          <w:sz w:val="28"/>
          <w:szCs w:val="28"/>
          <w:u w:val="single"/>
        </w:rPr>
        <w:t>（供应商名称）</w:t>
      </w:r>
      <w:r>
        <w:rPr>
          <w:rFonts w:hAnsiTheme="minorEastAsia" w:eastAsiaTheme="minorEastAsia"/>
          <w:sz w:val="28"/>
          <w:szCs w:val="28"/>
        </w:rPr>
        <w:t>的法定代表人，我方愿意参加贵方组织的</w:t>
      </w:r>
      <w:r>
        <w:rPr>
          <w:rFonts w:hAnsiTheme="minorEastAsia" w:eastAsiaTheme="minorEastAsia"/>
          <w:sz w:val="28"/>
          <w:szCs w:val="28"/>
          <w:u w:val="single"/>
        </w:rPr>
        <w:t>（采购项目名称）（编号为</w:t>
      </w:r>
      <w:r>
        <w:rPr>
          <w:rFonts w:eastAsiaTheme="minorEastAsia"/>
          <w:sz w:val="28"/>
          <w:szCs w:val="28"/>
          <w:u w:val="single"/>
        </w:rPr>
        <w:t xml:space="preserve"> </w:t>
      </w:r>
      <w:r>
        <w:rPr>
          <w:rFonts w:hAnsiTheme="minorEastAsia" w:eastAsiaTheme="minorEastAsia"/>
          <w:sz w:val="28"/>
          <w:szCs w:val="28"/>
          <w:u w:val="single"/>
        </w:rPr>
        <w:t>）</w:t>
      </w:r>
      <w:r>
        <w:rPr>
          <w:rFonts w:hAnsiTheme="minorEastAsia" w:eastAsiaTheme="minorEastAsia"/>
          <w:sz w:val="28"/>
          <w:szCs w:val="28"/>
        </w:rPr>
        <w:t>的采购项目，为此，我方就本次项目有关事项郑重声明如下：</w:t>
      </w:r>
    </w:p>
    <w:p w14:paraId="4F26BB20">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1</w:t>
      </w:r>
      <w:r>
        <w:rPr>
          <w:rFonts w:hAnsiTheme="minorEastAsia" w:eastAsiaTheme="minorEastAsia"/>
          <w:sz w:val="28"/>
          <w:szCs w:val="28"/>
        </w:rPr>
        <w:t>、我方已详细审查全部采购文件，同意采购文件的各项要求。</w:t>
      </w:r>
    </w:p>
    <w:p w14:paraId="082A8CE1">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2</w:t>
      </w:r>
      <w:r>
        <w:rPr>
          <w:rFonts w:hAnsiTheme="minorEastAsia" w:eastAsiaTheme="minorEastAsia"/>
          <w:sz w:val="28"/>
          <w:szCs w:val="28"/>
        </w:rPr>
        <w:t>、我方向贵方提交的所有响应文件、资料都是准确的和真实的。</w:t>
      </w:r>
    </w:p>
    <w:p w14:paraId="4379ECFA">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3</w:t>
      </w:r>
      <w:r>
        <w:rPr>
          <w:rFonts w:hAnsiTheme="minorEastAsia" w:eastAsiaTheme="minorEastAsia"/>
          <w:sz w:val="28"/>
          <w:szCs w:val="28"/>
        </w:rPr>
        <w:t>、若成交，我方将按采购文件规定履行合同责任和义务。</w:t>
      </w:r>
    </w:p>
    <w:p w14:paraId="09A809F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4</w:t>
      </w:r>
      <w:r>
        <w:rPr>
          <w:rFonts w:hAnsiTheme="minorEastAsia" w:eastAsiaTheme="minorEastAsia"/>
          <w:sz w:val="28"/>
          <w:szCs w:val="28"/>
        </w:rPr>
        <w:t>、我方不是采购人的附属机构；在获知本项目采购信息后，与采购人聘请的为此项目提供咨询服务的公司及其附属机构没有任何联系。</w:t>
      </w:r>
    </w:p>
    <w:p w14:paraId="7F1261C8">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5</w:t>
      </w:r>
      <w:r>
        <w:rPr>
          <w:rFonts w:hAnsiTheme="minorEastAsia" w:eastAsiaTheme="minorEastAsia"/>
          <w:sz w:val="28"/>
          <w:szCs w:val="28"/>
        </w:rPr>
        <w:t>、响应文件自提交之日起有效期为</w:t>
      </w:r>
      <w:r>
        <w:rPr>
          <w:rFonts w:eastAsiaTheme="minorEastAsia"/>
          <w:sz w:val="28"/>
          <w:szCs w:val="28"/>
        </w:rPr>
        <w:t>90</w:t>
      </w:r>
      <w:r>
        <w:rPr>
          <w:rFonts w:hAnsiTheme="minorEastAsia" w:eastAsiaTheme="minorEastAsia"/>
          <w:sz w:val="28"/>
          <w:szCs w:val="28"/>
        </w:rPr>
        <w:t>天。</w:t>
      </w:r>
    </w:p>
    <w:p w14:paraId="5E26527E">
      <w:pPr>
        <w:snapToGrid w:val="0"/>
        <w:spacing w:line="460" w:lineRule="exact"/>
        <w:ind w:firstLine="548" w:firstLineChars="196"/>
        <w:rPr>
          <w:rFonts w:eastAsiaTheme="minorEastAsia"/>
          <w:sz w:val="28"/>
          <w:szCs w:val="28"/>
        </w:rPr>
      </w:pPr>
      <w:r>
        <w:rPr>
          <w:rFonts w:eastAsiaTheme="minorEastAsia"/>
          <w:sz w:val="28"/>
          <w:szCs w:val="28"/>
        </w:rPr>
        <w:t>6</w:t>
      </w:r>
      <w:r>
        <w:rPr>
          <w:rFonts w:hAnsiTheme="minorEastAsia" w:eastAsiaTheme="minorEastAsia"/>
          <w:sz w:val="28"/>
          <w:szCs w:val="28"/>
        </w:rPr>
        <w:t>、我方参与本项目前</w:t>
      </w:r>
      <w:r>
        <w:rPr>
          <w:rFonts w:eastAsiaTheme="minorEastAsia"/>
          <w:sz w:val="28"/>
          <w:szCs w:val="28"/>
        </w:rPr>
        <w:t>3</w:t>
      </w:r>
      <w:r>
        <w:rPr>
          <w:rFonts w:hAnsiTheme="minorEastAsia" w:eastAsiaTheme="minorEastAsia"/>
          <w:sz w:val="28"/>
          <w:szCs w:val="28"/>
        </w:rPr>
        <w:t>年内的经营活动中没有重大违法记录。</w:t>
      </w:r>
    </w:p>
    <w:p w14:paraId="06BFC3B2">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7</w:t>
      </w:r>
      <w:r>
        <w:rPr>
          <w:rFonts w:hAnsiTheme="minorEastAsia" w:eastAsiaTheme="minorEastAsia"/>
          <w:sz w:val="28"/>
          <w:szCs w:val="28"/>
        </w:rPr>
        <w:t>、我方通过</w:t>
      </w:r>
      <w:r>
        <w:rPr>
          <w:rFonts w:eastAsiaTheme="minorEastAsia"/>
          <w:sz w:val="28"/>
          <w:szCs w:val="28"/>
        </w:rPr>
        <w:t>“</w:t>
      </w:r>
      <w:r>
        <w:rPr>
          <w:rFonts w:hAnsiTheme="minorEastAsia" w:eastAsiaTheme="minorEastAsia"/>
          <w:sz w:val="28"/>
          <w:szCs w:val="28"/>
        </w:rPr>
        <w:t>信用中国</w:t>
      </w:r>
      <w:r>
        <w:rPr>
          <w:rFonts w:eastAsiaTheme="minorEastAsia"/>
          <w:sz w:val="28"/>
          <w:szCs w:val="28"/>
        </w:rPr>
        <w:t>”</w:t>
      </w:r>
      <w:r>
        <w:rPr>
          <w:rFonts w:hAnsiTheme="minorEastAsia" w:eastAsiaTheme="minorEastAsia"/>
          <w:sz w:val="28"/>
          <w:szCs w:val="28"/>
        </w:rPr>
        <w:t>网站（</w:t>
      </w:r>
      <w:r>
        <w:rPr>
          <w:rFonts w:eastAsiaTheme="minorEastAsia"/>
          <w:sz w:val="28"/>
          <w:szCs w:val="28"/>
        </w:rPr>
        <w:t>www.creditchina.gov.cn</w:t>
      </w:r>
      <w:r>
        <w:rPr>
          <w:rFonts w:hAnsiTheme="minorEastAsia" w:eastAsiaTheme="minorEastAsia"/>
          <w:sz w:val="28"/>
          <w:szCs w:val="28"/>
        </w:rPr>
        <w:t>）查询，未被列入失信被执行人、重大税收违法案件当事人名单、政府采购严重违法失信行为记录名单。</w:t>
      </w:r>
    </w:p>
    <w:p w14:paraId="40842BE7">
      <w:pPr>
        <w:snapToGrid w:val="0"/>
        <w:spacing w:before="156" w:beforeLines="50" w:after="50" w:line="460" w:lineRule="exact"/>
        <w:ind w:firstLine="560" w:firstLineChars="200"/>
        <w:rPr>
          <w:rFonts w:eastAsiaTheme="minorEastAsia"/>
          <w:sz w:val="28"/>
          <w:szCs w:val="28"/>
        </w:rPr>
      </w:pPr>
      <w:r>
        <w:rPr>
          <w:rFonts w:eastAsiaTheme="minorEastAsia"/>
          <w:sz w:val="28"/>
          <w:szCs w:val="28"/>
        </w:rPr>
        <w:t>8</w:t>
      </w:r>
      <w:r>
        <w:rPr>
          <w:rFonts w:hAnsiTheme="minorEastAsia" w:eastAsiaTheme="minorEastAsia"/>
          <w:sz w:val="28"/>
          <w:szCs w:val="28"/>
        </w:rPr>
        <w:t>、以上事项如有虚假或隐瞒，我方愿意承担一切后果，并不再寻求任何旨在减轻或免除法律责任的辩解。</w:t>
      </w:r>
    </w:p>
    <w:p w14:paraId="54EEB304">
      <w:pPr>
        <w:snapToGrid w:val="0"/>
        <w:spacing w:before="156" w:beforeLines="50" w:after="50" w:line="460" w:lineRule="exact"/>
        <w:ind w:firstLine="560" w:firstLineChars="200"/>
        <w:rPr>
          <w:rFonts w:eastAsiaTheme="minorEastAsia"/>
          <w:sz w:val="28"/>
          <w:szCs w:val="28"/>
        </w:rPr>
      </w:pPr>
    </w:p>
    <w:p w14:paraId="72F6DAB3">
      <w:pPr>
        <w:snapToGrid w:val="0"/>
        <w:spacing w:before="156" w:beforeLines="50" w:after="50" w:line="460" w:lineRule="exact"/>
        <w:ind w:right="600" w:firstLine="140" w:firstLineChars="50"/>
        <w:rPr>
          <w:rFonts w:eastAsiaTheme="minorEastAsia"/>
          <w:sz w:val="28"/>
          <w:szCs w:val="28"/>
          <w:u w:val="single"/>
        </w:rPr>
      </w:pPr>
      <w:r>
        <w:rPr>
          <w:rFonts w:hAnsiTheme="minorEastAsia" w:eastAsiaTheme="minorEastAsia"/>
          <w:sz w:val="28"/>
          <w:szCs w:val="28"/>
        </w:rPr>
        <w:t>法定代表人签名（或签名章）：</w:t>
      </w:r>
      <w:r>
        <w:rPr>
          <w:rFonts w:eastAsiaTheme="minorEastAsia"/>
          <w:sz w:val="28"/>
          <w:szCs w:val="28"/>
          <w:u w:val="single"/>
        </w:rPr>
        <w:t xml:space="preserve">          </w:t>
      </w:r>
      <w:r>
        <w:rPr>
          <w:rFonts w:eastAsiaTheme="minorEastAsia"/>
          <w:sz w:val="28"/>
          <w:szCs w:val="28"/>
        </w:rPr>
        <w:t xml:space="preserve">  </w:t>
      </w:r>
      <w:r>
        <w:rPr>
          <w:rFonts w:hAnsiTheme="minorEastAsia" w:eastAsiaTheme="minorEastAsia"/>
          <w:sz w:val="28"/>
          <w:szCs w:val="28"/>
        </w:rPr>
        <w:t>日</w:t>
      </w:r>
      <w:r>
        <w:rPr>
          <w:rFonts w:eastAsiaTheme="minorEastAsia"/>
          <w:sz w:val="28"/>
          <w:szCs w:val="28"/>
        </w:rPr>
        <w:t xml:space="preserve"> </w:t>
      </w:r>
      <w:r>
        <w:rPr>
          <w:rFonts w:hAnsiTheme="minorEastAsia" w:eastAsiaTheme="minorEastAsia"/>
          <w:sz w:val="28"/>
          <w:szCs w:val="28"/>
        </w:rPr>
        <w:t>期：</w:t>
      </w:r>
      <w:r>
        <w:rPr>
          <w:rFonts w:eastAsiaTheme="minorEastAsia"/>
          <w:sz w:val="28"/>
          <w:szCs w:val="28"/>
          <w:u w:val="single"/>
        </w:rPr>
        <w:t xml:space="preserve">          </w:t>
      </w:r>
    </w:p>
    <w:p w14:paraId="3B9A0E8D">
      <w:pPr>
        <w:snapToGrid w:val="0"/>
        <w:spacing w:before="156" w:beforeLines="50" w:line="460" w:lineRule="exact"/>
        <w:ind w:firstLine="200"/>
        <w:rPr>
          <w:rFonts w:eastAsiaTheme="minorEastAsia"/>
          <w:sz w:val="28"/>
          <w:szCs w:val="28"/>
          <w:u w:val="single"/>
        </w:rPr>
      </w:pPr>
    </w:p>
    <w:p w14:paraId="695C88D1">
      <w:pPr>
        <w:snapToGrid w:val="0"/>
        <w:spacing w:before="156" w:beforeLines="50" w:after="50" w:line="460" w:lineRule="exact"/>
        <w:ind w:firstLine="140" w:firstLineChars="50"/>
        <w:rPr>
          <w:rFonts w:eastAsiaTheme="minorEastAsia"/>
          <w:sz w:val="28"/>
          <w:szCs w:val="28"/>
        </w:rPr>
      </w:pPr>
      <w:r>
        <w:rPr>
          <w:rFonts w:hint="eastAsia" w:hAnsiTheme="minorEastAsia" w:eastAsiaTheme="minorEastAsia"/>
          <w:sz w:val="28"/>
          <w:szCs w:val="28"/>
        </w:rPr>
        <w:t>供应商</w:t>
      </w:r>
      <w:r>
        <w:rPr>
          <w:rFonts w:hAnsiTheme="minorEastAsia" w:eastAsiaTheme="minorEastAsia"/>
          <w:sz w:val="28"/>
          <w:szCs w:val="28"/>
        </w:rPr>
        <w:t>全称（公章）：</w:t>
      </w:r>
      <w:r>
        <w:rPr>
          <w:rFonts w:eastAsiaTheme="minorEastAsia"/>
          <w:sz w:val="28"/>
          <w:szCs w:val="28"/>
          <w:u w:val="single"/>
        </w:rPr>
        <w:t xml:space="preserve">             </w:t>
      </w:r>
      <w:r>
        <w:rPr>
          <w:rFonts w:eastAsiaTheme="minorEastAsia"/>
          <w:sz w:val="28"/>
          <w:szCs w:val="28"/>
        </w:rPr>
        <w:t xml:space="preserve">       </w:t>
      </w:r>
    </w:p>
    <w:p w14:paraId="1F3EB43A">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3</w:t>
      </w:r>
      <w:r>
        <w:rPr>
          <w:rFonts w:hAnsi="仿宋" w:eastAsia="仿宋"/>
          <w:sz w:val="30"/>
          <w:szCs w:val="30"/>
        </w:rPr>
        <w:t>：</w:t>
      </w:r>
    </w:p>
    <w:p w14:paraId="30CC954C">
      <w:pPr>
        <w:snapToGrid w:val="0"/>
        <w:spacing w:before="50" w:after="50"/>
        <w:jc w:val="center"/>
        <w:rPr>
          <w:rFonts w:eastAsia="仿宋"/>
          <w:b/>
          <w:sz w:val="36"/>
          <w:szCs w:val="36"/>
        </w:rPr>
      </w:pPr>
      <w:r>
        <w:rPr>
          <w:rFonts w:hAnsi="仿宋" w:eastAsia="仿宋"/>
          <w:b/>
          <w:sz w:val="36"/>
          <w:szCs w:val="36"/>
        </w:rPr>
        <w:t>法定代表人授权委托书</w:t>
      </w:r>
    </w:p>
    <w:p w14:paraId="199810AE">
      <w:pPr>
        <w:snapToGrid w:val="0"/>
        <w:spacing w:before="156" w:beforeLines="50" w:after="50"/>
        <w:rPr>
          <w:rFonts w:eastAsia="仿宋"/>
          <w:b/>
          <w:sz w:val="30"/>
          <w:szCs w:val="30"/>
        </w:rPr>
      </w:pPr>
    </w:p>
    <w:p w14:paraId="3C6E7295">
      <w:pPr>
        <w:snapToGrid w:val="0"/>
        <w:spacing w:before="156" w:beforeLines="50" w:after="50" w:line="460" w:lineRule="exact"/>
        <w:rPr>
          <w:rFonts w:eastAsia="仿宋"/>
          <w:b/>
          <w:bCs/>
          <w:sz w:val="30"/>
          <w:szCs w:val="30"/>
        </w:rPr>
      </w:pPr>
      <w:r>
        <w:rPr>
          <w:rFonts w:hAnsi="仿宋" w:eastAsia="仿宋"/>
          <w:bCs/>
          <w:sz w:val="30"/>
          <w:szCs w:val="30"/>
        </w:rPr>
        <w:t>浙江大学医学院附属妇产科医院：</w:t>
      </w:r>
    </w:p>
    <w:p w14:paraId="0E0697D9">
      <w:pPr>
        <w:snapToGrid w:val="0"/>
        <w:spacing w:before="156" w:beforeLines="50" w:after="50" w:line="460" w:lineRule="exact"/>
        <w:ind w:firstLine="900" w:firstLineChars="300"/>
        <w:rPr>
          <w:rFonts w:eastAsia="仿宋"/>
          <w:sz w:val="30"/>
          <w:szCs w:val="30"/>
        </w:rPr>
      </w:pPr>
      <w:r>
        <w:rPr>
          <w:rFonts w:hAnsi="仿宋" w:eastAsia="仿宋"/>
          <w:sz w:val="30"/>
          <w:szCs w:val="30"/>
        </w:rPr>
        <w:t>我</w:t>
      </w:r>
      <w:r>
        <w:rPr>
          <w:rFonts w:eastAsia="仿宋"/>
          <w:sz w:val="30"/>
          <w:szCs w:val="30"/>
          <w:u w:val="single"/>
        </w:rPr>
        <w:t xml:space="preserve">    </w:t>
      </w:r>
      <w:r>
        <w:rPr>
          <w:rFonts w:hAnsi="仿宋" w:eastAsia="仿宋"/>
          <w:sz w:val="30"/>
          <w:szCs w:val="30"/>
        </w:rPr>
        <w:t>（姓名）系</w:t>
      </w:r>
      <w:r>
        <w:rPr>
          <w:rFonts w:eastAsia="仿宋"/>
          <w:sz w:val="30"/>
          <w:szCs w:val="30"/>
          <w:u w:val="single"/>
        </w:rPr>
        <w:t xml:space="preserve">    </w:t>
      </w:r>
      <w:r>
        <w:rPr>
          <w:rFonts w:hAnsi="仿宋" w:eastAsia="仿宋"/>
          <w:sz w:val="30"/>
          <w:szCs w:val="30"/>
        </w:rPr>
        <w:t>（供应商名称）的法定代表人，现授权委托本单位在职职工</w:t>
      </w:r>
      <w:r>
        <w:rPr>
          <w:rFonts w:eastAsia="仿宋"/>
          <w:sz w:val="30"/>
          <w:szCs w:val="30"/>
        </w:rPr>
        <w:t xml:space="preserve"> </w:t>
      </w:r>
      <w:r>
        <w:rPr>
          <w:rFonts w:eastAsia="仿宋"/>
          <w:sz w:val="30"/>
          <w:szCs w:val="30"/>
          <w:u w:val="single"/>
        </w:rPr>
        <w:t xml:space="preserve">         </w:t>
      </w:r>
      <w:r>
        <w:rPr>
          <w:rFonts w:hAnsi="仿宋" w:eastAsia="仿宋"/>
          <w:sz w:val="30"/>
          <w:szCs w:val="30"/>
        </w:rPr>
        <w:t>（姓名）为授权代表，以我方的名义参加项目编号：</w:t>
      </w:r>
      <w:r>
        <w:rPr>
          <w:rFonts w:eastAsia="仿宋"/>
          <w:sz w:val="30"/>
          <w:szCs w:val="30"/>
          <w:u w:val="single"/>
        </w:rPr>
        <w:t xml:space="preserve">           </w:t>
      </w:r>
      <w:r>
        <w:rPr>
          <w:rFonts w:hAnsi="仿宋" w:eastAsia="仿宋"/>
          <w:sz w:val="30"/>
          <w:szCs w:val="30"/>
        </w:rPr>
        <w:t>项目名称</w:t>
      </w:r>
      <w:r>
        <w:rPr>
          <w:rFonts w:hAnsi="仿宋" w:eastAsia="仿宋"/>
          <w:sz w:val="30"/>
          <w:szCs w:val="30"/>
          <w:u w:val="single"/>
        </w:rPr>
        <w:t>：</w:t>
      </w:r>
      <w:r>
        <w:rPr>
          <w:rFonts w:eastAsia="仿宋"/>
          <w:sz w:val="30"/>
          <w:szCs w:val="30"/>
          <w:u w:val="single"/>
        </w:rPr>
        <w:t xml:space="preserve">      </w:t>
      </w:r>
      <w:r>
        <w:rPr>
          <w:rFonts w:hAnsi="仿宋" w:eastAsia="仿宋"/>
          <w:sz w:val="30"/>
          <w:szCs w:val="30"/>
        </w:rPr>
        <w:t>项目的活动，并代表我方全权办理针对上述项目的具体事务签署相关文件。我方对授权代表的签名事项负全部责任。</w:t>
      </w:r>
    </w:p>
    <w:p w14:paraId="76926029">
      <w:pPr>
        <w:snapToGrid w:val="0"/>
        <w:spacing w:before="156" w:beforeLines="50" w:after="50" w:line="460" w:lineRule="exact"/>
        <w:ind w:firstLine="480"/>
        <w:rPr>
          <w:rFonts w:eastAsia="仿宋"/>
          <w:sz w:val="30"/>
          <w:szCs w:val="30"/>
        </w:rPr>
      </w:pPr>
      <w:r>
        <w:rPr>
          <w:rFonts w:hAnsi="仿宋" w:eastAsia="仿宋"/>
          <w:sz w:val="30"/>
          <w:szCs w:val="30"/>
        </w:rPr>
        <w:t>在撤销授权的书面通知以前，本授权书一直有效。授权代表在授权书有效期内签署的所有文件不因授权的撤销而失效。</w:t>
      </w:r>
    </w:p>
    <w:p w14:paraId="0C42318F">
      <w:pPr>
        <w:snapToGrid w:val="0"/>
        <w:spacing w:before="156" w:beforeLines="50" w:after="50" w:line="460" w:lineRule="exact"/>
        <w:ind w:firstLine="480"/>
        <w:rPr>
          <w:rFonts w:eastAsia="仿宋"/>
          <w:sz w:val="30"/>
          <w:szCs w:val="30"/>
        </w:rPr>
      </w:pPr>
      <w:r>
        <w:rPr>
          <w:rFonts w:hAnsi="仿宋" w:eastAsia="仿宋"/>
          <w:sz w:val="30"/>
          <w:szCs w:val="30"/>
        </w:rPr>
        <w:t>授权代表无转委托权，特此委托。</w:t>
      </w:r>
    </w:p>
    <w:p w14:paraId="5AF9AC44">
      <w:pPr>
        <w:snapToGrid w:val="0"/>
        <w:spacing w:before="156" w:beforeLines="50" w:after="50" w:line="460" w:lineRule="exact"/>
        <w:ind w:firstLine="480"/>
        <w:rPr>
          <w:rFonts w:eastAsia="仿宋"/>
          <w:sz w:val="30"/>
          <w:szCs w:val="30"/>
        </w:rPr>
      </w:pPr>
    </w:p>
    <w:p w14:paraId="78352AB1">
      <w:pPr>
        <w:snapToGrid w:val="0"/>
        <w:spacing w:before="156" w:beforeLines="50" w:after="50" w:line="460" w:lineRule="exact"/>
        <w:ind w:firstLine="480"/>
        <w:rPr>
          <w:rFonts w:eastAsia="仿宋"/>
          <w:sz w:val="30"/>
          <w:szCs w:val="30"/>
        </w:rPr>
      </w:pPr>
    </w:p>
    <w:p w14:paraId="3B81C9DB">
      <w:pPr>
        <w:snapToGrid w:val="0"/>
        <w:spacing w:before="156" w:beforeLines="50" w:after="50" w:line="460" w:lineRule="exact"/>
        <w:rPr>
          <w:rFonts w:eastAsia="仿宋"/>
          <w:sz w:val="30"/>
          <w:szCs w:val="30"/>
        </w:rPr>
      </w:pPr>
      <w:r>
        <w:rPr>
          <w:rFonts w:hAnsi="仿宋" w:eastAsia="仿宋"/>
          <w:sz w:val="30"/>
          <w:szCs w:val="30"/>
        </w:rPr>
        <w:t>授权代表签名：</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r>
        <w:rPr>
          <w:rFonts w:eastAsia="仿宋"/>
          <w:sz w:val="30"/>
          <w:szCs w:val="30"/>
        </w:rPr>
        <w:t xml:space="preserve">  </w:t>
      </w:r>
    </w:p>
    <w:p w14:paraId="61724863">
      <w:pPr>
        <w:snapToGrid w:val="0"/>
        <w:spacing w:before="156" w:beforeLines="50" w:after="50" w:line="460" w:lineRule="exact"/>
        <w:rPr>
          <w:rFonts w:eastAsia="仿宋"/>
          <w:sz w:val="30"/>
          <w:szCs w:val="30"/>
        </w:rPr>
      </w:pPr>
      <w:r>
        <w:rPr>
          <w:rFonts w:hAnsi="仿宋" w:eastAsia="仿宋"/>
          <w:sz w:val="30"/>
          <w:szCs w:val="30"/>
        </w:rPr>
        <w:t>授权代表身份证号码：</w:t>
      </w:r>
      <w:r>
        <w:rPr>
          <w:rFonts w:eastAsia="仿宋"/>
          <w:sz w:val="30"/>
          <w:szCs w:val="30"/>
          <w:u w:val="single"/>
        </w:rPr>
        <w:t xml:space="preserve">                         </w:t>
      </w:r>
      <w:r>
        <w:rPr>
          <w:rFonts w:eastAsia="仿宋"/>
          <w:sz w:val="30"/>
          <w:szCs w:val="30"/>
        </w:rPr>
        <w:t xml:space="preserve"> </w:t>
      </w:r>
    </w:p>
    <w:p w14:paraId="64A4F645">
      <w:pPr>
        <w:snapToGrid w:val="0"/>
        <w:spacing w:before="156" w:beforeLines="50" w:after="50" w:line="460" w:lineRule="exact"/>
        <w:rPr>
          <w:rFonts w:eastAsia="仿宋"/>
          <w:sz w:val="30"/>
          <w:szCs w:val="30"/>
        </w:rPr>
      </w:pPr>
      <w:r>
        <w:rPr>
          <w:rFonts w:hAnsi="仿宋" w:eastAsia="仿宋"/>
          <w:sz w:val="30"/>
          <w:szCs w:val="30"/>
        </w:rPr>
        <w:t>授权代表联系手机：</w:t>
      </w:r>
      <w:r>
        <w:rPr>
          <w:rFonts w:eastAsia="仿宋"/>
          <w:sz w:val="30"/>
          <w:szCs w:val="30"/>
          <w:u w:val="single"/>
        </w:rPr>
        <w:t xml:space="preserve">                         </w:t>
      </w:r>
      <w:r>
        <w:rPr>
          <w:rFonts w:eastAsia="仿宋"/>
          <w:sz w:val="30"/>
          <w:szCs w:val="30"/>
        </w:rPr>
        <w:t xml:space="preserve"> </w:t>
      </w:r>
    </w:p>
    <w:p w14:paraId="3079306A">
      <w:pPr>
        <w:snapToGrid w:val="0"/>
        <w:spacing w:before="156" w:beforeLines="50" w:after="50" w:line="460" w:lineRule="exact"/>
        <w:rPr>
          <w:rFonts w:eastAsia="仿宋"/>
          <w:sz w:val="30"/>
          <w:szCs w:val="30"/>
        </w:rPr>
      </w:pPr>
      <w:r>
        <w:rPr>
          <w:rFonts w:hAnsi="仿宋" w:eastAsia="仿宋"/>
          <w:sz w:val="30"/>
          <w:szCs w:val="30"/>
        </w:rPr>
        <w:t>法定代表人签名（或签名章）：</w:t>
      </w:r>
      <w:r>
        <w:rPr>
          <w:rFonts w:eastAsia="仿宋"/>
          <w:sz w:val="30"/>
          <w:szCs w:val="30"/>
          <w:u w:val="single"/>
        </w:rPr>
        <w:t xml:space="preserve">         </w:t>
      </w:r>
      <w:r>
        <w:rPr>
          <w:rFonts w:eastAsia="仿宋"/>
          <w:sz w:val="30"/>
          <w:szCs w:val="30"/>
        </w:rPr>
        <w:t xml:space="preserve">   </w:t>
      </w:r>
      <w:r>
        <w:rPr>
          <w:rFonts w:hAnsi="仿宋" w:eastAsia="仿宋"/>
          <w:sz w:val="30"/>
          <w:szCs w:val="30"/>
        </w:rPr>
        <w:t>职务：</w:t>
      </w:r>
      <w:r>
        <w:rPr>
          <w:rFonts w:eastAsia="仿宋"/>
          <w:sz w:val="30"/>
          <w:szCs w:val="30"/>
          <w:u w:val="single"/>
        </w:rPr>
        <w:t xml:space="preserve">           </w:t>
      </w:r>
    </w:p>
    <w:p w14:paraId="10DD5665">
      <w:pPr>
        <w:snapToGrid w:val="0"/>
        <w:spacing w:before="156" w:beforeLines="50" w:after="50" w:line="460" w:lineRule="exact"/>
        <w:rPr>
          <w:rFonts w:eastAsia="仿宋"/>
          <w:sz w:val="30"/>
          <w:szCs w:val="30"/>
        </w:rPr>
      </w:pPr>
    </w:p>
    <w:p w14:paraId="05532817">
      <w:pPr>
        <w:snapToGrid w:val="0"/>
        <w:spacing w:before="156" w:beforeLines="50" w:after="50" w:line="460" w:lineRule="exact"/>
        <w:rPr>
          <w:rFonts w:eastAsia="仿宋"/>
          <w:sz w:val="30"/>
          <w:szCs w:val="30"/>
        </w:rPr>
      </w:pPr>
      <w:r>
        <w:rPr>
          <w:rFonts w:eastAsia="仿宋"/>
          <w:sz w:val="30"/>
          <w:szCs w:val="30"/>
        </w:rPr>
        <w:t xml:space="preserve">                                     </w:t>
      </w:r>
    </w:p>
    <w:p w14:paraId="72FB65D2">
      <w:pPr>
        <w:snapToGrid w:val="0"/>
        <w:spacing w:before="156" w:beforeLines="50" w:after="50" w:line="460" w:lineRule="exact"/>
        <w:ind w:firstLine="6150" w:firstLineChars="2050"/>
        <w:rPr>
          <w:rFonts w:eastAsia="仿宋"/>
          <w:sz w:val="30"/>
          <w:szCs w:val="30"/>
        </w:rPr>
      </w:pPr>
    </w:p>
    <w:p w14:paraId="110E579F">
      <w:pPr>
        <w:snapToGrid w:val="0"/>
        <w:spacing w:before="156" w:beforeLines="50" w:after="50" w:line="460" w:lineRule="exact"/>
        <w:rPr>
          <w:rFonts w:eastAsia="仿宋"/>
          <w:sz w:val="30"/>
          <w:szCs w:val="30"/>
          <w:u w:val="single"/>
        </w:rPr>
      </w:pPr>
      <w:r>
        <w:rPr>
          <w:rFonts w:hAnsi="仿宋" w:eastAsia="仿宋"/>
          <w:sz w:val="30"/>
          <w:szCs w:val="30"/>
        </w:rPr>
        <w:t>供应商全称（公章）：</w:t>
      </w:r>
      <w:r>
        <w:rPr>
          <w:rFonts w:eastAsia="仿宋"/>
          <w:sz w:val="30"/>
          <w:szCs w:val="30"/>
          <w:u w:val="single"/>
        </w:rPr>
        <w:t xml:space="preserve">           </w:t>
      </w:r>
      <w:r>
        <w:rPr>
          <w:rFonts w:eastAsia="仿宋"/>
          <w:sz w:val="30"/>
          <w:szCs w:val="30"/>
        </w:rPr>
        <w:t xml:space="preserve">         </w:t>
      </w:r>
      <w:r>
        <w:rPr>
          <w:rFonts w:hAnsi="仿宋" w:eastAsia="仿宋"/>
          <w:sz w:val="30"/>
          <w:szCs w:val="30"/>
        </w:rPr>
        <w:t>日</w:t>
      </w:r>
      <w:r>
        <w:rPr>
          <w:rFonts w:eastAsia="仿宋"/>
          <w:sz w:val="30"/>
          <w:szCs w:val="30"/>
        </w:rPr>
        <w:t xml:space="preserve">  </w:t>
      </w:r>
      <w:r>
        <w:rPr>
          <w:rFonts w:hAnsi="仿宋" w:eastAsia="仿宋"/>
          <w:sz w:val="30"/>
          <w:szCs w:val="30"/>
        </w:rPr>
        <w:t>期：</w:t>
      </w:r>
      <w:r>
        <w:rPr>
          <w:rFonts w:eastAsia="仿宋"/>
          <w:sz w:val="30"/>
          <w:szCs w:val="30"/>
          <w:u w:val="single"/>
        </w:rPr>
        <w:t xml:space="preserve">     </w:t>
      </w:r>
    </w:p>
    <w:p w14:paraId="6BC8BBEB">
      <w:pPr>
        <w:pStyle w:val="36"/>
        <w:spacing w:line="360" w:lineRule="auto"/>
        <w:jc w:val="both"/>
        <w:rPr>
          <w:sz w:val="21"/>
          <w:szCs w:val="21"/>
        </w:rPr>
      </w:pPr>
    </w:p>
    <w:p w14:paraId="3C6B5CEB">
      <w:pPr>
        <w:pStyle w:val="36"/>
        <w:spacing w:line="360" w:lineRule="auto"/>
        <w:jc w:val="both"/>
        <w:rPr>
          <w:sz w:val="21"/>
          <w:szCs w:val="21"/>
        </w:rPr>
      </w:pPr>
    </w:p>
    <w:p w14:paraId="28E2E129">
      <w:pPr>
        <w:pStyle w:val="36"/>
        <w:spacing w:line="360" w:lineRule="auto"/>
        <w:jc w:val="both"/>
        <w:rPr>
          <w:sz w:val="21"/>
          <w:szCs w:val="21"/>
        </w:rPr>
      </w:pPr>
    </w:p>
    <w:p w14:paraId="153478DE">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rPr>
        <w:t>4</w:t>
      </w:r>
      <w:r>
        <w:rPr>
          <w:rFonts w:hAnsi="仿宋" w:eastAsia="仿宋"/>
          <w:sz w:val="30"/>
          <w:szCs w:val="30"/>
        </w:rPr>
        <w:t>：</w:t>
      </w:r>
    </w:p>
    <w:p w14:paraId="4B0AC8A8">
      <w:pPr>
        <w:jc w:val="center"/>
        <w:rPr>
          <w:b/>
          <w:sz w:val="36"/>
          <w:szCs w:val="36"/>
        </w:rPr>
      </w:pPr>
      <w:r>
        <w:rPr>
          <w:b/>
          <w:sz w:val="36"/>
          <w:szCs w:val="36"/>
        </w:rPr>
        <w:t>技术响应表</w:t>
      </w:r>
    </w:p>
    <w:p w14:paraId="1881D9BF">
      <w:pPr>
        <w:rPr>
          <w:sz w:val="32"/>
          <w:szCs w:val="32"/>
          <w:u w:val="single"/>
        </w:rPr>
      </w:pPr>
      <w:r>
        <w:rPr>
          <w:sz w:val="32"/>
          <w:szCs w:val="32"/>
        </w:rPr>
        <w:t>供应商全称（公章）：</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5"/>
        <w:gridCol w:w="3430"/>
        <w:gridCol w:w="1956"/>
      </w:tblGrid>
      <w:tr w14:paraId="181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DE27AD5">
            <w:pPr>
              <w:jc w:val="center"/>
              <w:rPr>
                <w:rFonts w:asciiTheme="minorEastAsia" w:hAnsiTheme="minorEastAsia" w:eastAsiaTheme="minorEastAsia"/>
                <w:b/>
                <w:sz w:val="28"/>
                <w:szCs w:val="28"/>
              </w:rPr>
            </w:pPr>
            <w:r>
              <w:rPr>
                <w:rFonts w:asciiTheme="minorEastAsia" w:hAnsiTheme="minorEastAsia" w:eastAsiaTheme="minorEastAsia"/>
                <w:b/>
                <w:sz w:val="28"/>
                <w:szCs w:val="28"/>
              </w:rPr>
              <w:t>采购文件要求</w:t>
            </w: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7FEDE97">
            <w:pPr>
              <w:jc w:val="center"/>
              <w:rPr>
                <w:rFonts w:asciiTheme="minorEastAsia" w:hAnsiTheme="minorEastAsia" w:eastAsiaTheme="minorEastAsia"/>
                <w:b/>
                <w:sz w:val="28"/>
                <w:szCs w:val="28"/>
              </w:rPr>
            </w:pPr>
            <w:r>
              <w:rPr>
                <w:rFonts w:asciiTheme="minorEastAsia" w:hAnsiTheme="minorEastAsia" w:eastAsiaTheme="minorEastAsia"/>
                <w:b/>
                <w:sz w:val="28"/>
                <w:szCs w:val="28"/>
              </w:rPr>
              <w:t>响应情况</w:t>
            </w: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FDEDAB2">
            <w:pPr>
              <w:jc w:val="center"/>
              <w:rPr>
                <w:rFonts w:asciiTheme="minorEastAsia" w:hAnsiTheme="minorEastAsia" w:eastAsiaTheme="minorEastAsia"/>
                <w:b/>
                <w:sz w:val="28"/>
                <w:szCs w:val="28"/>
              </w:rPr>
            </w:pPr>
            <w:r>
              <w:rPr>
                <w:rFonts w:asciiTheme="minorEastAsia" w:hAnsiTheme="minorEastAsia" w:eastAsiaTheme="minorEastAsia"/>
                <w:b/>
                <w:sz w:val="28"/>
                <w:szCs w:val="28"/>
              </w:rPr>
              <w:t>偏离情况</w:t>
            </w:r>
          </w:p>
        </w:tc>
      </w:tr>
      <w:tr w14:paraId="00098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463C012">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3E52FE82">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A8C579C">
            <w:pPr>
              <w:jc w:val="center"/>
              <w:rPr>
                <w:rFonts w:asciiTheme="minorEastAsia" w:hAnsiTheme="minorEastAsia" w:eastAsiaTheme="minorEastAsia"/>
                <w:b/>
                <w:sz w:val="28"/>
                <w:szCs w:val="28"/>
              </w:rPr>
            </w:pPr>
          </w:p>
        </w:tc>
      </w:tr>
      <w:tr w14:paraId="3D269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634447E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F7D057D">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36422105">
            <w:pPr>
              <w:jc w:val="center"/>
              <w:rPr>
                <w:rFonts w:asciiTheme="minorEastAsia" w:hAnsiTheme="minorEastAsia" w:eastAsiaTheme="minorEastAsia"/>
                <w:b/>
                <w:sz w:val="28"/>
                <w:szCs w:val="28"/>
              </w:rPr>
            </w:pPr>
          </w:p>
        </w:tc>
      </w:tr>
      <w:tr w14:paraId="32EFB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0CAA1F1">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52734CE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BF28EE1">
            <w:pPr>
              <w:jc w:val="center"/>
              <w:rPr>
                <w:rFonts w:asciiTheme="minorEastAsia" w:hAnsiTheme="minorEastAsia" w:eastAsiaTheme="minorEastAsia"/>
                <w:b/>
                <w:sz w:val="28"/>
                <w:szCs w:val="28"/>
              </w:rPr>
            </w:pPr>
          </w:p>
        </w:tc>
      </w:tr>
      <w:tr w14:paraId="5890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5C440C4">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25C67C1">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B989115">
            <w:pPr>
              <w:jc w:val="center"/>
              <w:rPr>
                <w:rFonts w:asciiTheme="minorEastAsia" w:hAnsiTheme="minorEastAsia" w:eastAsiaTheme="minorEastAsia"/>
                <w:b/>
                <w:sz w:val="28"/>
                <w:szCs w:val="28"/>
              </w:rPr>
            </w:pPr>
          </w:p>
        </w:tc>
      </w:tr>
      <w:tr w14:paraId="00348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7362FEC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EF63F7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7792160F">
            <w:pPr>
              <w:jc w:val="center"/>
              <w:rPr>
                <w:rFonts w:asciiTheme="minorEastAsia" w:hAnsiTheme="minorEastAsia" w:eastAsiaTheme="minorEastAsia"/>
                <w:b/>
                <w:sz w:val="28"/>
                <w:szCs w:val="28"/>
              </w:rPr>
            </w:pPr>
          </w:p>
        </w:tc>
      </w:tr>
      <w:tr w14:paraId="58CB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885B1DB">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07E62603">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1E83EDB">
            <w:pPr>
              <w:jc w:val="center"/>
              <w:rPr>
                <w:rFonts w:asciiTheme="minorEastAsia" w:hAnsiTheme="minorEastAsia" w:eastAsiaTheme="minorEastAsia"/>
                <w:b/>
                <w:sz w:val="28"/>
                <w:szCs w:val="28"/>
              </w:rPr>
            </w:pPr>
          </w:p>
        </w:tc>
      </w:tr>
      <w:tr w14:paraId="32D7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2484D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1283793C">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1DC9C221">
            <w:pPr>
              <w:jc w:val="center"/>
              <w:rPr>
                <w:rFonts w:asciiTheme="minorEastAsia" w:hAnsiTheme="minorEastAsia" w:eastAsiaTheme="minorEastAsia"/>
                <w:b/>
                <w:sz w:val="28"/>
                <w:szCs w:val="28"/>
              </w:rPr>
            </w:pPr>
          </w:p>
        </w:tc>
      </w:tr>
      <w:tr w14:paraId="0488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4CFC68B7">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296B496">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ED77BDE">
            <w:pPr>
              <w:jc w:val="center"/>
              <w:rPr>
                <w:rFonts w:asciiTheme="minorEastAsia" w:hAnsiTheme="minorEastAsia" w:eastAsiaTheme="minorEastAsia"/>
                <w:b/>
                <w:sz w:val="28"/>
                <w:szCs w:val="28"/>
              </w:rPr>
            </w:pPr>
          </w:p>
        </w:tc>
      </w:tr>
      <w:tr w14:paraId="092E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0A2FCFCC">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3B1C47E">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2E40B1C2">
            <w:pPr>
              <w:jc w:val="center"/>
              <w:rPr>
                <w:rFonts w:asciiTheme="minorEastAsia" w:hAnsiTheme="minorEastAsia" w:eastAsiaTheme="minorEastAsia"/>
                <w:b/>
                <w:sz w:val="28"/>
                <w:szCs w:val="28"/>
              </w:rPr>
            </w:pPr>
          </w:p>
        </w:tc>
      </w:tr>
      <w:tr w14:paraId="26E1A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13A8FCF">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21642B65">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5CC193E5">
            <w:pPr>
              <w:jc w:val="center"/>
              <w:rPr>
                <w:rFonts w:asciiTheme="minorEastAsia" w:hAnsiTheme="minorEastAsia" w:eastAsiaTheme="minorEastAsia"/>
                <w:b/>
                <w:sz w:val="28"/>
                <w:szCs w:val="28"/>
              </w:rPr>
            </w:pPr>
          </w:p>
        </w:tc>
      </w:tr>
      <w:tr w14:paraId="2E1D3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55D990C6">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65AB5ABA">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09B90D78">
            <w:pPr>
              <w:jc w:val="center"/>
              <w:rPr>
                <w:rFonts w:asciiTheme="minorEastAsia" w:hAnsiTheme="minorEastAsia" w:eastAsiaTheme="minorEastAsia"/>
                <w:b/>
                <w:sz w:val="28"/>
                <w:szCs w:val="28"/>
              </w:rPr>
            </w:pPr>
          </w:p>
        </w:tc>
      </w:tr>
      <w:tr w14:paraId="70ED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5" w:type="dxa"/>
            <w:tcBorders>
              <w:top w:val="single" w:color="000000" w:sz="4" w:space="0"/>
              <w:left w:val="single" w:color="000000" w:sz="4" w:space="0"/>
              <w:bottom w:val="single" w:color="000000" w:sz="4" w:space="0"/>
              <w:right w:val="single" w:color="000000" w:sz="4" w:space="0"/>
            </w:tcBorders>
            <w:shd w:val="clear" w:color="auto" w:fill="auto"/>
          </w:tcPr>
          <w:p w14:paraId="2AEC46B5">
            <w:pPr>
              <w:jc w:val="center"/>
              <w:rPr>
                <w:rFonts w:asciiTheme="minorEastAsia" w:hAnsiTheme="minorEastAsia" w:eastAsiaTheme="minorEastAsia"/>
                <w:b/>
                <w:sz w:val="28"/>
                <w:szCs w:val="28"/>
              </w:rPr>
            </w:pPr>
          </w:p>
        </w:tc>
        <w:tc>
          <w:tcPr>
            <w:tcW w:w="3430" w:type="dxa"/>
            <w:tcBorders>
              <w:top w:val="single" w:color="000000" w:sz="4" w:space="0"/>
              <w:left w:val="single" w:color="000000" w:sz="4" w:space="0"/>
              <w:bottom w:val="single" w:color="000000" w:sz="4" w:space="0"/>
              <w:right w:val="single" w:color="000000" w:sz="4" w:space="0"/>
            </w:tcBorders>
            <w:shd w:val="clear" w:color="auto" w:fill="auto"/>
          </w:tcPr>
          <w:p w14:paraId="4BB4C694">
            <w:pPr>
              <w:jc w:val="center"/>
              <w:rPr>
                <w:rFonts w:asciiTheme="minorEastAsia" w:hAnsiTheme="minorEastAsia" w:eastAsiaTheme="minorEastAsia"/>
                <w:b/>
                <w:sz w:val="28"/>
                <w:szCs w:val="28"/>
              </w:rPr>
            </w:pPr>
          </w:p>
        </w:tc>
        <w:tc>
          <w:tcPr>
            <w:tcW w:w="1956" w:type="dxa"/>
            <w:tcBorders>
              <w:top w:val="single" w:color="000000" w:sz="4" w:space="0"/>
              <w:left w:val="single" w:color="000000" w:sz="4" w:space="0"/>
              <w:bottom w:val="single" w:color="000000" w:sz="4" w:space="0"/>
              <w:right w:val="single" w:color="000000" w:sz="4" w:space="0"/>
            </w:tcBorders>
            <w:shd w:val="clear" w:color="auto" w:fill="auto"/>
          </w:tcPr>
          <w:p w14:paraId="6ACCF402">
            <w:pPr>
              <w:jc w:val="center"/>
              <w:rPr>
                <w:rFonts w:asciiTheme="minorEastAsia" w:hAnsiTheme="minorEastAsia" w:eastAsiaTheme="minorEastAsia"/>
                <w:b/>
                <w:sz w:val="28"/>
                <w:szCs w:val="28"/>
              </w:rPr>
            </w:pPr>
          </w:p>
        </w:tc>
      </w:tr>
    </w:tbl>
    <w:p w14:paraId="186E6084">
      <w:pPr>
        <w:rPr>
          <w:sz w:val="32"/>
          <w:szCs w:val="32"/>
          <w:u w:val="single"/>
        </w:rPr>
      </w:pPr>
    </w:p>
    <w:p w14:paraId="37E35406">
      <w:pPr>
        <w:rPr>
          <w:sz w:val="32"/>
          <w:szCs w:val="32"/>
        </w:rPr>
      </w:pPr>
    </w:p>
    <w:p w14:paraId="17DEC5CA">
      <w:pPr>
        <w:rPr>
          <w:sz w:val="32"/>
          <w:szCs w:val="32"/>
          <w:u w:val="single"/>
        </w:rPr>
      </w:pPr>
      <w:r>
        <w:rPr>
          <w:sz w:val="32"/>
          <w:szCs w:val="32"/>
        </w:rPr>
        <w:t>授权代表签名及手机：</w:t>
      </w:r>
      <w:r>
        <w:rPr>
          <w:sz w:val="32"/>
          <w:szCs w:val="32"/>
          <w:u w:val="single"/>
        </w:rPr>
        <w:t xml:space="preserve">                 </w:t>
      </w:r>
    </w:p>
    <w:p w14:paraId="74EFFAEF">
      <w:pPr>
        <w:rPr>
          <w:sz w:val="32"/>
          <w:szCs w:val="32"/>
          <w:u w:val="single"/>
        </w:rPr>
      </w:pPr>
      <w:r>
        <w:rPr>
          <w:sz w:val="32"/>
          <w:szCs w:val="32"/>
        </w:rPr>
        <w:t>日期：</w:t>
      </w:r>
      <w:r>
        <w:rPr>
          <w:sz w:val="32"/>
          <w:szCs w:val="32"/>
          <w:u w:val="single"/>
        </w:rPr>
        <w:t xml:space="preserve">                   </w:t>
      </w:r>
    </w:p>
    <w:p w14:paraId="1F758379">
      <w:pPr>
        <w:pStyle w:val="36"/>
        <w:spacing w:line="360" w:lineRule="auto"/>
        <w:jc w:val="both"/>
        <w:rPr>
          <w:sz w:val="21"/>
          <w:szCs w:val="21"/>
        </w:rPr>
      </w:pPr>
    </w:p>
    <w:p w14:paraId="75BD35E8">
      <w:pPr>
        <w:pStyle w:val="36"/>
        <w:spacing w:line="360" w:lineRule="auto"/>
        <w:jc w:val="both"/>
        <w:rPr>
          <w:rFonts w:hAnsi="宋体"/>
          <w:sz w:val="21"/>
          <w:szCs w:val="21"/>
        </w:rPr>
      </w:pPr>
      <w:r>
        <w:rPr>
          <w:sz w:val="21"/>
          <w:szCs w:val="21"/>
        </w:rPr>
        <w:t>说明：</w:t>
      </w:r>
      <w:r>
        <w:rPr>
          <w:rFonts w:hAnsi="宋体"/>
          <w:sz w:val="21"/>
          <w:szCs w:val="21"/>
        </w:rPr>
        <w:t>①</w:t>
      </w:r>
      <w:r>
        <w:rPr>
          <w:sz w:val="21"/>
          <w:szCs w:val="21"/>
        </w:rPr>
        <w:t>采购文件要求列第一行填写项目名称，以下填写</w:t>
      </w:r>
      <w:r>
        <w:rPr>
          <w:rFonts w:hint="eastAsia"/>
          <w:b/>
          <w:sz w:val="21"/>
          <w:szCs w:val="21"/>
        </w:rPr>
        <w:t>总体</w:t>
      </w:r>
      <w:r>
        <w:rPr>
          <w:b/>
          <w:sz w:val="21"/>
          <w:szCs w:val="21"/>
        </w:rPr>
        <w:t>要求和</w:t>
      </w:r>
      <w:r>
        <w:rPr>
          <w:rFonts w:hint="eastAsia"/>
          <w:b/>
          <w:sz w:val="21"/>
          <w:szCs w:val="21"/>
        </w:rPr>
        <w:t>采购内容</w:t>
      </w:r>
      <w:r>
        <w:rPr>
          <w:b/>
          <w:sz w:val="21"/>
          <w:szCs w:val="21"/>
        </w:rPr>
        <w:t>技术要求</w:t>
      </w:r>
      <w:r>
        <w:rPr>
          <w:sz w:val="21"/>
          <w:szCs w:val="21"/>
        </w:rPr>
        <w:t>。</w:t>
      </w:r>
      <w:r>
        <w:rPr>
          <w:rFonts w:hAnsi="宋体"/>
          <w:sz w:val="21"/>
          <w:szCs w:val="21"/>
        </w:rPr>
        <w:t>②响应情况列</w:t>
      </w:r>
      <w:r>
        <w:rPr>
          <w:rFonts w:hint="eastAsia" w:hAnsi="宋体"/>
          <w:b/>
          <w:sz w:val="21"/>
          <w:szCs w:val="21"/>
        </w:rPr>
        <w:t>如实</w:t>
      </w:r>
      <w:r>
        <w:rPr>
          <w:rFonts w:hAnsi="宋体"/>
          <w:b/>
          <w:sz w:val="21"/>
          <w:szCs w:val="21"/>
        </w:rPr>
        <w:t>填写</w:t>
      </w:r>
      <w:r>
        <w:rPr>
          <w:rFonts w:hAnsi="宋体"/>
          <w:sz w:val="21"/>
          <w:szCs w:val="21"/>
        </w:rPr>
        <w:t>项目响应情况。③注明</w:t>
      </w:r>
      <w:r>
        <w:rPr>
          <w:sz w:val="21"/>
          <w:szCs w:val="21"/>
        </w:rPr>
        <w:t>“</w:t>
      </w:r>
      <w:r>
        <w:rPr>
          <w:rFonts w:hAnsi="宋体"/>
          <w:sz w:val="21"/>
          <w:szCs w:val="21"/>
        </w:rPr>
        <w:t>正偏离</w:t>
      </w:r>
      <w:r>
        <w:rPr>
          <w:sz w:val="21"/>
          <w:szCs w:val="21"/>
        </w:rPr>
        <w:t>”</w:t>
      </w:r>
      <w:r>
        <w:rPr>
          <w:rFonts w:hAnsi="宋体"/>
          <w:sz w:val="21"/>
          <w:szCs w:val="21"/>
        </w:rPr>
        <w:t>、</w:t>
      </w:r>
      <w:r>
        <w:rPr>
          <w:sz w:val="21"/>
          <w:szCs w:val="21"/>
        </w:rPr>
        <w:t>“</w:t>
      </w:r>
      <w:r>
        <w:rPr>
          <w:rFonts w:hAnsi="宋体"/>
          <w:sz w:val="21"/>
          <w:szCs w:val="21"/>
        </w:rPr>
        <w:t>负偏离</w:t>
      </w:r>
      <w:r>
        <w:rPr>
          <w:sz w:val="21"/>
          <w:szCs w:val="21"/>
        </w:rPr>
        <w:t>”</w:t>
      </w:r>
      <w:r>
        <w:rPr>
          <w:rFonts w:hAnsi="宋体"/>
          <w:sz w:val="21"/>
          <w:szCs w:val="21"/>
        </w:rPr>
        <w:t>或</w:t>
      </w:r>
      <w:r>
        <w:rPr>
          <w:sz w:val="21"/>
          <w:szCs w:val="21"/>
        </w:rPr>
        <w:t>“</w:t>
      </w:r>
      <w:r>
        <w:rPr>
          <w:rFonts w:hAnsi="宋体"/>
          <w:sz w:val="21"/>
          <w:szCs w:val="21"/>
        </w:rPr>
        <w:t>无偏离</w:t>
      </w:r>
      <w:r>
        <w:rPr>
          <w:sz w:val="21"/>
          <w:szCs w:val="21"/>
        </w:rPr>
        <w:t>”</w:t>
      </w:r>
      <w:r>
        <w:rPr>
          <w:rFonts w:hAnsi="宋体"/>
          <w:sz w:val="21"/>
          <w:szCs w:val="21"/>
        </w:rPr>
        <w:t>。</w:t>
      </w:r>
    </w:p>
    <w:p w14:paraId="57D5142A">
      <w:pPr>
        <w:snapToGrid w:val="0"/>
        <w:spacing w:before="156" w:beforeLines="50" w:after="50" w:line="460" w:lineRule="exact"/>
        <w:rPr>
          <w:rFonts w:hAnsi="仿宋" w:eastAsia="仿宋"/>
          <w:sz w:val="30"/>
          <w:szCs w:val="30"/>
        </w:rPr>
      </w:pPr>
    </w:p>
    <w:p w14:paraId="5580130B">
      <w:pPr>
        <w:snapToGrid w:val="0"/>
        <w:spacing w:before="156" w:beforeLines="50" w:after="50" w:line="460" w:lineRule="exact"/>
        <w:rPr>
          <w:rFonts w:eastAsia="仿宋"/>
          <w:sz w:val="30"/>
          <w:szCs w:val="30"/>
        </w:rPr>
      </w:pPr>
      <w:r>
        <w:rPr>
          <w:rFonts w:hAnsi="仿宋" w:eastAsia="仿宋"/>
          <w:sz w:val="30"/>
          <w:szCs w:val="30"/>
        </w:rPr>
        <w:t>附件</w:t>
      </w:r>
      <w:r>
        <w:rPr>
          <w:rFonts w:hint="eastAsia" w:hAnsi="仿宋" w:eastAsia="仿宋"/>
          <w:sz w:val="30"/>
          <w:szCs w:val="30"/>
          <w:lang w:val="en-US" w:eastAsia="zh-CN"/>
        </w:rPr>
        <w:t>5</w:t>
      </w:r>
      <w:r>
        <w:rPr>
          <w:rFonts w:hAnsi="仿宋" w:eastAsia="仿宋"/>
          <w:sz w:val="30"/>
          <w:szCs w:val="30"/>
        </w:rPr>
        <w:t>：</w:t>
      </w:r>
    </w:p>
    <w:p w14:paraId="7AB7356C">
      <w:pPr>
        <w:jc w:val="center"/>
        <w:rPr>
          <w:b/>
          <w:sz w:val="36"/>
          <w:szCs w:val="36"/>
        </w:rPr>
      </w:pPr>
      <w:r>
        <w:rPr>
          <w:b/>
          <w:sz w:val="36"/>
          <w:szCs w:val="36"/>
        </w:rPr>
        <w:t>报价明细表</w:t>
      </w:r>
    </w:p>
    <w:p w14:paraId="0A223CDE">
      <w:pPr>
        <w:rPr>
          <w:sz w:val="32"/>
          <w:szCs w:val="32"/>
          <w:u w:val="single"/>
        </w:rPr>
      </w:pPr>
      <w:r>
        <w:rPr>
          <w:sz w:val="32"/>
          <w:szCs w:val="32"/>
        </w:rPr>
        <w:t>供应商全称：</w:t>
      </w:r>
      <w:r>
        <w:rPr>
          <w:sz w:val="32"/>
          <w:szCs w:val="32"/>
          <w:u w:val="single"/>
        </w:rPr>
        <w:t xml:space="preserve">                        </w:t>
      </w:r>
    </w:p>
    <w:p w14:paraId="7CC31A1E">
      <w:pPr>
        <w:rPr>
          <w:sz w:val="32"/>
          <w:szCs w:val="32"/>
          <w:u w:val="single"/>
        </w:rPr>
      </w:pPr>
      <w:r>
        <w:rPr>
          <w:sz w:val="32"/>
          <w:szCs w:val="32"/>
        </w:rPr>
        <w:t>项目编号：</w:t>
      </w:r>
      <w:r>
        <w:rPr>
          <w:sz w:val="32"/>
          <w:szCs w:val="32"/>
          <w:u w:val="single"/>
        </w:rPr>
        <w:t xml:space="preserve">                          </w:t>
      </w:r>
    </w:p>
    <w:tbl>
      <w:tblPr>
        <w:tblStyle w:val="18"/>
        <w:tblW w:w="8931"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10"/>
        <w:gridCol w:w="2693"/>
        <w:gridCol w:w="1384"/>
        <w:gridCol w:w="1451"/>
      </w:tblGrid>
      <w:tr w14:paraId="62CF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7C35E8F">
            <w:pPr>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项目</w:t>
            </w:r>
            <w:r>
              <w:rPr>
                <w:rFonts w:asciiTheme="minorEastAsia" w:hAnsiTheme="minorEastAsia" w:eastAsiaTheme="minorEastAsia"/>
                <w:b/>
                <w:sz w:val="28"/>
                <w:szCs w:val="28"/>
              </w:rPr>
              <w:t>名称</w:t>
            </w: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3CA0CA">
            <w:pPr>
              <w:jc w:val="center"/>
              <w:rPr>
                <w:rFonts w:asciiTheme="minorEastAsia" w:hAnsiTheme="minorEastAsia" w:eastAsiaTheme="minorEastAsia"/>
                <w:b/>
                <w:sz w:val="28"/>
                <w:szCs w:val="28"/>
              </w:rPr>
            </w:pPr>
            <w:r>
              <w:rPr>
                <w:rFonts w:asciiTheme="minorEastAsia" w:hAnsiTheme="minorEastAsia" w:eastAsiaTheme="minorEastAsia"/>
                <w:b/>
                <w:sz w:val="28"/>
                <w:szCs w:val="28"/>
              </w:rPr>
              <w:t>数量</w:t>
            </w:r>
            <w:r>
              <w:rPr>
                <w:rFonts w:hint="eastAsia" w:asciiTheme="minorEastAsia" w:hAnsiTheme="minorEastAsia" w:eastAsiaTheme="minorEastAsia"/>
                <w:b/>
                <w:sz w:val="28"/>
                <w:szCs w:val="28"/>
              </w:rPr>
              <w:t>及单位</w:t>
            </w: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34BA2A63">
            <w:pPr>
              <w:jc w:val="center"/>
              <w:rPr>
                <w:rFonts w:asciiTheme="minorEastAsia" w:hAnsiTheme="minorEastAsia" w:eastAsiaTheme="minorEastAsia"/>
                <w:b/>
                <w:sz w:val="28"/>
                <w:szCs w:val="28"/>
              </w:rPr>
            </w:pPr>
            <w:r>
              <w:rPr>
                <w:rFonts w:asciiTheme="minorEastAsia" w:hAnsiTheme="minorEastAsia" w:eastAsiaTheme="minorEastAsia"/>
                <w:b/>
                <w:sz w:val="28"/>
                <w:szCs w:val="28"/>
              </w:rPr>
              <w:t>单价（元）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4A96242C">
            <w:pPr>
              <w:jc w:val="center"/>
              <w:rPr>
                <w:rFonts w:asciiTheme="minorEastAsia" w:hAnsiTheme="minorEastAsia" w:eastAsiaTheme="minorEastAsia"/>
                <w:b/>
                <w:sz w:val="28"/>
                <w:szCs w:val="28"/>
              </w:rPr>
            </w:pPr>
            <w:r>
              <w:rPr>
                <w:rFonts w:asciiTheme="minorEastAsia" w:hAnsiTheme="minorEastAsia" w:eastAsiaTheme="minorEastAsia"/>
                <w:b/>
                <w:sz w:val="28"/>
                <w:szCs w:val="28"/>
              </w:rPr>
              <w:t>总价（元）</w:t>
            </w:r>
          </w:p>
        </w:tc>
      </w:tr>
      <w:tr w14:paraId="62D0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265480B7">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3C5623BA">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1832B223">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6A20D2F2">
            <w:pPr>
              <w:rPr>
                <w:rFonts w:asciiTheme="minorEastAsia" w:hAnsiTheme="minorEastAsia" w:eastAsiaTheme="minorEastAsia"/>
                <w:sz w:val="32"/>
                <w:szCs w:val="32"/>
              </w:rPr>
            </w:pPr>
          </w:p>
        </w:tc>
      </w:tr>
      <w:tr w14:paraId="4C27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3" w:type="dxa"/>
            <w:gridSpan w:val="2"/>
            <w:tcBorders>
              <w:top w:val="single" w:color="000000" w:sz="4" w:space="0"/>
              <w:left w:val="single" w:color="000000" w:sz="4" w:space="0"/>
              <w:bottom w:val="single" w:color="000000" w:sz="4" w:space="0"/>
              <w:right w:val="single" w:color="000000" w:sz="4" w:space="0"/>
            </w:tcBorders>
            <w:shd w:val="clear" w:color="auto" w:fill="auto"/>
          </w:tcPr>
          <w:p w14:paraId="7A12A5A5">
            <w:pPr>
              <w:rPr>
                <w:rFonts w:asciiTheme="minorEastAsia" w:hAnsiTheme="minorEastAsia" w:eastAsiaTheme="minorEastAsia"/>
                <w:sz w:val="32"/>
                <w:szCs w:val="32"/>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Pr>
          <w:p w14:paraId="560F87A1">
            <w:pPr>
              <w:rPr>
                <w:rFonts w:asciiTheme="minorEastAsia" w:hAnsiTheme="minorEastAsia" w:eastAsiaTheme="minorEastAsia"/>
                <w:sz w:val="32"/>
                <w:szCs w:val="32"/>
              </w:rPr>
            </w:pPr>
          </w:p>
        </w:tc>
        <w:tc>
          <w:tcPr>
            <w:tcW w:w="1384" w:type="dxa"/>
            <w:tcBorders>
              <w:top w:val="single" w:color="000000" w:sz="4" w:space="0"/>
              <w:left w:val="single" w:color="000000" w:sz="4" w:space="0"/>
              <w:bottom w:val="single" w:color="000000" w:sz="4" w:space="0"/>
              <w:right w:val="single" w:color="000000" w:sz="4" w:space="0"/>
            </w:tcBorders>
            <w:shd w:val="clear" w:color="auto" w:fill="auto"/>
          </w:tcPr>
          <w:p w14:paraId="70F3EA45">
            <w:pPr>
              <w:rPr>
                <w:rFonts w:asciiTheme="minorEastAsia" w:hAnsiTheme="minorEastAsia" w:eastAsiaTheme="minorEastAsia"/>
                <w:sz w:val="32"/>
                <w:szCs w:val="32"/>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tcPr>
          <w:p w14:paraId="55EC0052">
            <w:pPr>
              <w:rPr>
                <w:rFonts w:asciiTheme="minorEastAsia" w:hAnsiTheme="minorEastAsia" w:eastAsiaTheme="minorEastAsia"/>
                <w:sz w:val="32"/>
                <w:szCs w:val="32"/>
              </w:rPr>
            </w:pPr>
          </w:p>
        </w:tc>
      </w:tr>
      <w:tr w14:paraId="12F1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1" w:type="dxa"/>
            <w:gridSpan w:val="5"/>
            <w:tcBorders>
              <w:top w:val="single" w:color="000000" w:sz="4" w:space="0"/>
              <w:left w:val="single" w:color="000000" w:sz="4" w:space="0"/>
              <w:bottom w:val="single" w:color="000000" w:sz="4" w:space="0"/>
              <w:right w:val="single" w:color="000000" w:sz="4" w:space="0"/>
            </w:tcBorders>
            <w:shd w:val="clear" w:color="auto" w:fill="auto"/>
          </w:tcPr>
          <w:p w14:paraId="1DA8F2E0">
            <w:pPr>
              <w:rPr>
                <w:rFonts w:asciiTheme="minorEastAsia" w:hAnsiTheme="minorEastAsia" w:eastAsiaTheme="minorEastAsia"/>
                <w:sz w:val="28"/>
                <w:szCs w:val="28"/>
                <w:u w:val="single"/>
              </w:rPr>
            </w:pPr>
            <w:r>
              <w:rPr>
                <w:rFonts w:asciiTheme="minorEastAsia" w:hAnsiTheme="minorEastAsia" w:eastAsiaTheme="minorEastAsia"/>
                <w:sz w:val="28"/>
                <w:szCs w:val="28"/>
              </w:rPr>
              <w:t>合计金额大写：</w:t>
            </w:r>
            <w:r>
              <w:rPr>
                <w:rFonts w:asciiTheme="minorEastAsia" w:hAnsiTheme="minorEastAsia" w:eastAsiaTheme="minorEastAsia"/>
                <w:sz w:val="28"/>
                <w:szCs w:val="28"/>
                <w:u w:val="single"/>
              </w:rPr>
              <w:t xml:space="preserve">               </w:t>
            </w:r>
            <w:r>
              <w:rPr>
                <w:rFonts w:asciiTheme="minorEastAsia" w:hAnsiTheme="minorEastAsia" w:eastAsiaTheme="minorEastAsia"/>
                <w:sz w:val="28"/>
                <w:szCs w:val="28"/>
              </w:rPr>
              <w:t xml:space="preserve">   小写：￥</w:t>
            </w:r>
            <w:r>
              <w:rPr>
                <w:rFonts w:asciiTheme="minorEastAsia" w:hAnsiTheme="minorEastAsia" w:eastAsiaTheme="minorEastAsia"/>
                <w:sz w:val="28"/>
                <w:szCs w:val="28"/>
                <w:u w:val="single"/>
              </w:rPr>
              <w:t xml:space="preserve">              </w:t>
            </w:r>
          </w:p>
        </w:tc>
      </w:tr>
      <w:tr w14:paraId="3E3B6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3" w:type="dxa"/>
            <w:tcBorders>
              <w:top w:val="single" w:color="000000" w:sz="4" w:space="0"/>
              <w:left w:val="single" w:color="000000" w:sz="4" w:space="0"/>
              <w:bottom w:val="single" w:color="000000" w:sz="4" w:space="0"/>
              <w:right w:val="single" w:color="000000" w:sz="4" w:space="0"/>
            </w:tcBorders>
            <w:shd w:val="clear" w:color="auto" w:fill="auto"/>
          </w:tcPr>
          <w:p w14:paraId="0B65F232">
            <w:pPr>
              <w:jc w:val="center"/>
              <w:rPr>
                <w:rFonts w:asciiTheme="minorEastAsia" w:hAnsiTheme="minorEastAsia" w:eastAsiaTheme="minorEastAsia"/>
                <w:sz w:val="28"/>
                <w:szCs w:val="28"/>
              </w:rPr>
            </w:pPr>
          </w:p>
          <w:p w14:paraId="22BB624B">
            <w:pPr>
              <w:jc w:val="center"/>
              <w:rPr>
                <w:rFonts w:asciiTheme="minorEastAsia" w:hAnsiTheme="minorEastAsia" w:eastAsiaTheme="minorEastAsia"/>
                <w:sz w:val="28"/>
                <w:szCs w:val="28"/>
              </w:rPr>
            </w:pPr>
          </w:p>
          <w:p w14:paraId="3DD4D4E4">
            <w:pPr>
              <w:jc w:val="center"/>
              <w:rPr>
                <w:rFonts w:asciiTheme="minorEastAsia" w:hAnsiTheme="minorEastAsia" w:eastAsiaTheme="minorEastAsia"/>
                <w:sz w:val="28"/>
                <w:szCs w:val="28"/>
              </w:rPr>
            </w:pPr>
          </w:p>
          <w:p w14:paraId="72F43857">
            <w:pPr>
              <w:jc w:val="center"/>
              <w:rPr>
                <w:rFonts w:asciiTheme="minorEastAsia" w:hAnsiTheme="minorEastAsia" w:eastAsiaTheme="minorEastAsia"/>
                <w:sz w:val="28"/>
                <w:szCs w:val="28"/>
              </w:rPr>
            </w:pPr>
            <w:r>
              <w:rPr>
                <w:rFonts w:asciiTheme="minorEastAsia" w:hAnsiTheme="minorEastAsia" w:eastAsiaTheme="minorEastAsia"/>
                <w:sz w:val="28"/>
                <w:szCs w:val="28"/>
              </w:rPr>
              <w:t>备</w:t>
            </w:r>
          </w:p>
          <w:p w14:paraId="1A89A673">
            <w:pPr>
              <w:jc w:val="center"/>
              <w:rPr>
                <w:rFonts w:asciiTheme="minorEastAsia" w:hAnsiTheme="minorEastAsia" w:eastAsiaTheme="minorEastAsia"/>
                <w:sz w:val="28"/>
                <w:szCs w:val="28"/>
              </w:rPr>
            </w:pPr>
          </w:p>
          <w:p w14:paraId="587E1524">
            <w:pPr>
              <w:jc w:val="center"/>
              <w:rPr>
                <w:rFonts w:asciiTheme="minorEastAsia" w:hAnsiTheme="minorEastAsia" w:eastAsiaTheme="minorEastAsia"/>
                <w:sz w:val="28"/>
                <w:szCs w:val="28"/>
              </w:rPr>
            </w:pPr>
            <w:r>
              <w:rPr>
                <w:rFonts w:asciiTheme="minorEastAsia" w:hAnsiTheme="minorEastAsia" w:eastAsiaTheme="minorEastAsia"/>
                <w:sz w:val="28"/>
                <w:szCs w:val="28"/>
              </w:rPr>
              <w:t>注</w:t>
            </w:r>
          </w:p>
          <w:p w14:paraId="28CE66C7">
            <w:pPr>
              <w:jc w:val="center"/>
              <w:rPr>
                <w:rFonts w:asciiTheme="minorEastAsia" w:hAnsiTheme="minorEastAsia" w:eastAsiaTheme="minorEastAsia"/>
                <w:sz w:val="28"/>
                <w:szCs w:val="28"/>
              </w:rPr>
            </w:pPr>
          </w:p>
          <w:p w14:paraId="77DEDC2E">
            <w:pPr>
              <w:jc w:val="center"/>
              <w:rPr>
                <w:rFonts w:asciiTheme="minorEastAsia" w:hAnsiTheme="minorEastAsia" w:eastAsiaTheme="minorEastAsia"/>
                <w:sz w:val="28"/>
                <w:szCs w:val="28"/>
              </w:rPr>
            </w:pPr>
          </w:p>
          <w:p w14:paraId="6728CDA9">
            <w:pPr>
              <w:jc w:val="center"/>
              <w:rPr>
                <w:rFonts w:asciiTheme="minorEastAsia" w:hAnsiTheme="minorEastAsia" w:eastAsiaTheme="minorEastAsia"/>
                <w:sz w:val="28"/>
                <w:szCs w:val="28"/>
              </w:rPr>
            </w:pPr>
          </w:p>
        </w:tc>
        <w:tc>
          <w:tcPr>
            <w:tcW w:w="7938" w:type="dxa"/>
            <w:gridSpan w:val="4"/>
            <w:tcBorders>
              <w:top w:val="single" w:color="000000" w:sz="4" w:space="0"/>
              <w:left w:val="single" w:color="000000" w:sz="4" w:space="0"/>
              <w:bottom w:val="single" w:color="000000" w:sz="4" w:space="0"/>
              <w:right w:val="single" w:color="000000" w:sz="4" w:space="0"/>
            </w:tcBorders>
            <w:shd w:val="clear" w:color="auto" w:fill="auto"/>
          </w:tcPr>
          <w:p w14:paraId="46ED2163">
            <w:pPr>
              <w:rPr>
                <w:rFonts w:asciiTheme="minorEastAsia" w:hAnsiTheme="minorEastAsia" w:eastAsiaTheme="minorEastAsia"/>
                <w:sz w:val="28"/>
                <w:szCs w:val="28"/>
              </w:rPr>
            </w:pPr>
            <w:r>
              <w:rPr>
                <w:rFonts w:asciiTheme="minorEastAsia" w:hAnsiTheme="minorEastAsia" w:eastAsiaTheme="minorEastAsia"/>
                <w:sz w:val="28"/>
                <w:szCs w:val="28"/>
              </w:rPr>
              <w:t>1、此表应按项目的明细情况列项填表，在填写时，如上表不适合本项目的实际情况，可在确保响应明细内容完整的情况下，根据上表格式自行划表填写。</w:t>
            </w:r>
          </w:p>
          <w:p w14:paraId="72D7A5FF">
            <w:pPr>
              <w:rPr>
                <w:rFonts w:asciiTheme="minorEastAsia" w:hAnsiTheme="minorEastAsia" w:eastAsiaTheme="minorEastAsia"/>
                <w:sz w:val="28"/>
                <w:szCs w:val="28"/>
              </w:rPr>
            </w:pPr>
            <w:r>
              <w:rPr>
                <w:rFonts w:asciiTheme="minorEastAsia" w:hAnsiTheme="minorEastAsia" w:eastAsiaTheme="minorEastAsia"/>
                <w:sz w:val="28"/>
                <w:szCs w:val="28"/>
              </w:rPr>
              <w:t>2、报价要求：项目费用包括项目实施所需的工程费、工时费、服务费、运输费、安装费调试费、税费及其他一切费用。</w:t>
            </w:r>
          </w:p>
          <w:p w14:paraId="56C38565">
            <w:pPr>
              <w:rPr>
                <w:rFonts w:asciiTheme="minorEastAsia" w:hAnsiTheme="minorEastAsia" w:eastAsiaTheme="minorEastAsia"/>
                <w:sz w:val="28"/>
                <w:szCs w:val="28"/>
              </w:rPr>
            </w:pPr>
            <w:r>
              <w:rPr>
                <w:rFonts w:asciiTheme="minorEastAsia" w:hAnsiTheme="minorEastAsia" w:eastAsiaTheme="minorEastAsia"/>
                <w:sz w:val="28"/>
                <w:szCs w:val="28"/>
              </w:rPr>
              <w:t>3、报价中不允许出现报价优惠等字样，合计总价应与明细报价汇总相等。</w:t>
            </w:r>
          </w:p>
          <w:p w14:paraId="524C3B4A">
            <w:pPr>
              <w:rPr>
                <w:rFonts w:asciiTheme="minorEastAsia" w:hAnsiTheme="minorEastAsia" w:eastAsiaTheme="minorEastAsia"/>
                <w:sz w:val="28"/>
                <w:szCs w:val="28"/>
              </w:rPr>
            </w:pPr>
          </w:p>
        </w:tc>
      </w:tr>
    </w:tbl>
    <w:p w14:paraId="38BA0135">
      <w:pPr>
        <w:rPr>
          <w:sz w:val="32"/>
          <w:szCs w:val="32"/>
        </w:rPr>
      </w:pPr>
    </w:p>
    <w:p w14:paraId="71DAD5E0">
      <w:pPr>
        <w:rPr>
          <w:sz w:val="32"/>
          <w:szCs w:val="32"/>
          <w:u w:val="single"/>
        </w:rPr>
      </w:pPr>
      <w:r>
        <w:rPr>
          <w:sz w:val="32"/>
          <w:szCs w:val="32"/>
        </w:rPr>
        <w:t>授权代表签名：</w:t>
      </w:r>
      <w:r>
        <w:rPr>
          <w:sz w:val="32"/>
          <w:szCs w:val="32"/>
          <w:u w:val="single"/>
        </w:rPr>
        <w:t xml:space="preserve">                 </w:t>
      </w:r>
    </w:p>
    <w:p w14:paraId="2AA4C35C">
      <w:pPr>
        <w:rPr>
          <w:sz w:val="32"/>
          <w:szCs w:val="32"/>
          <w:u w:val="single"/>
        </w:rPr>
      </w:pPr>
      <w:r>
        <w:rPr>
          <w:sz w:val="32"/>
          <w:szCs w:val="32"/>
        </w:rPr>
        <w:t>日期：</w:t>
      </w:r>
      <w:r>
        <w:rPr>
          <w:sz w:val="32"/>
          <w:szCs w:val="32"/>
          <w:u w:val="single"/>
        </w:rPr>
        <w:t xml:space="preserve">                   </w:t>
      </w:r>
    </w:p>
    <w:p w14:paraId="0A11313E">
      <w:pPr>
        <w:rPr>
          <w:szCs w:val="22"/>
        </w:rPr>
      </w:pPr>
    </w:p>
    <w:p w14:paraId="46320E15">
      <w:pPr>
        <w:rPr>
          <w:szCs w:val="22"/>
        </w:rPr>
      </w:pPr>
    </w:p>
    <w:p w14:paraId="0CA5DBF6">
      <w:pPr>
        <w:rPr>
          <w:szCs w:val="22"/>
        </w:rPr>
      </w:pPr>
    </w:p>
    <w:p w14:paraId="08E5B4EC">
      <w:pPr>
        <w:pStyle w:val="16"/>
      </w:pPr>
      <w:bookmarkStart w:id="12" w:name="_Toc186548466"/>
      <w:r>
        <w:rPr>
          <w:rFonts w:hint="eastAsia"/>
        </w:rPr>
        <w:t>第四章</w:t>
      </w:r>
      <w:r>
        <w:rPr>
          <w:rFonts w:hint="eastAsia"/>
        </w:rPr>
        <w:tab/>
      </w:r>
      <w:r>
        <w:rPr>
          <w:rFonts w:hint="eastAsia"/>
        </w:rPr>
        <w:t>合同主要条款</w:t>
      </w:r>
      <w:bookmarkEnd w:id="12"/>
    </w:p>
    <w:p w14:paraId="066EAD6F">
      <w:pPr>
        <w:jc w:val="center"/>
        <w:rPr>
          <w:rFonts w:hint="eastAsia" w:ascii="楷体_GB2312" w:eastAsia="楷体_GB2312"/>
          <w:b/>
          <w:bCs/>
          <w:sz w:val="28"/>
          <w:szCs w:val="28"/>
        </w:rPr>
      </w:pPr>
      <w:r>
        <w:rPr>
          <w:rFonts w:hint="eastAsia" w:ascii="楷体_GB2312" w:eastAsia="楷体_GB2312"/>
          <w:b/>
          <w:bCs/>
          <w:sz w:val="28"/>
          <w:szCs w:val="28"/>
          <w:lang w:val="en-US" w:eastAsia="zh-CN"/>
        </w:rPr>
        <w:t>信息项目</w:t>
      </w:r>
      <w:r>
        <w:rPr>
          <w:rFonts w:hint="eastAsia" w:ascii="楷体_GB2312" w:eastAsia="楷体_GB2312"/>
          <w:b/>
          <w:bCs/>
          <w:sz w:val="28"/>
          <w:szCs w:val="28"/>
        </w:rPr>
        <w:t>采购合同</w:t>
      </w:r>
    </w:p>
    <w:p w14:paraId="39F79713">
      <w:pPr>
        <w:jc w:val="center"/>
        <w:rPr>
          <w:rFonts w:hint="eastAsia" w:ascii="楷体_GB2312" w:eastAsia="楷体_GB2312"/>
          <w:b/>
          <w:bCs/>
          <w:color w:val="FF0000"/>
          <w:sz w:val="28"/>
          <w:szCs w:val="28"/>
          <w:lang w:eastAsia="zh-CN"/>
        </w:rPr>
      </w:pPr>
      <w:r>
        <w:rPr>
          <w:rFonts w:hint="eastAsia" w:ascii="楷体_GB2312" w:eastAsia="楷体_GB2312"/>
          <w:b/>
          <w:bCs/>
          <w:color w:val="FF0000"/>
          <w:sz w:val="28"/>
          <w:szCs w:val="28"/>
          <w:lang w:eastAsia="zh-CN"/>
        </w:rPr>
        <w:t>(最终以双方签字盖章的文本为准)</w:t>
      </w:r>
    </w:p>
    <w:p w14:paraId="4167E86A">
      <w:pPr>
        <w:jc w:val="center"/>
        <w:rPr>
          <w:b/>
          <w:bCs/>
          <w:szCs w:val="21"/>
        </w:rPr>
      </w:pPr>
    </w:p>
    <w:p w14:paraId="6118E31B">
      <w:pPr>
        <w:ind w:left="-540" w:leftChars="-257"/>
        <w:rPr>
          <w:rFonts w:hint="eastAsia" w:ascii="新宋体" w:hAnsi="新宋体" w:eastAsia="新宋体"/>
          <w:szCs w:val="21"/>
          <w:u w:val="single"/>
          <w:lang w:val="en-US" w:eastAsia="zh-CN"/>
        </w:rPr>
      </w:pPr>
      <w:r>
        <w:rPr>
          <w:rFonts w:hint="eastAsia" w:ascii="新宋体" w:hAnsi="新宋体" w:eastAsia="新宋体"/>
          <w:szCs w:val="21"/>
        </w:rPr>
        <w:t>合同编号：</w:t>
      </w:r>
    </w:p>
    <w:p w14:paraId="7C1ADEE1">
      <w:pPr>
        <w:ind w:left="-540" w:leftChars="-257"/>
        <w:rPr>
          <w:rFonts w:ascii="新宋体" w:hAnsi="新宋体" w:eastAsia="新宋体"/>
          <w:szCs w:val="21"/>
        </w:rPr>
      </w:pPr>
      <w:r>
        <w:rPr>
          <w:rFonts w:hint="eastAsia" w:ascii="新宋体" w:hAnsi="新宋体" w:eastAsia="新宋体"/>
          <w:szCs w:val="21"/>
        </w:rPr>
        <w:t>甲方（采购人）：</w:t>
      </w:r>
      <w:r>
        <w:rPr>
          <w:rFonts w:hint="eastAsia" w:ascii="新宋体" w:hAnsi="新宋体" w:eastAsia="新宋体"/>
          <w:szCs w:val="21"/>
          <w:u w:val="single"/>
        </w:rPr>
        <w:t xml:space="preserve">    浙江大学医学院附属妇产科医院  </w:t>
      </w:r>
    </w:p>
    <w:p w14:paraId="4D191013">
      <w:pPr>
        <w:ind w:left="-540" w:leftChars="-257" w:right="-512" w:rightChars="-244"/>
        <w:rPr>
          <w:rFonts w:ascii="新宋体" w:hAnsi="新宋体" w:eastAsia="新宋体"/>
          <w:szCs w:val="21"/>
        </w:rPr>
      </w:pPr>
      <w:r>
        <w:rPr>
          <w:rFonts w:hint="eastAsia" w:ascii="新宋体" w:hAnsi="新宋体" w:eastAsia="新宋体"/>
          <w:szCs w:val="21"/>
        </w:rPr>
        <w:t>乙方（供应商）：</w:t>
      </w:r>
      <w:r>
        <w:rPr>
          <w:rFonts w:hint="eastAsia" w:ascii="新宋体" w:hAnsi="新宋体" w:eastAsia="新宋体"/>
          <w:szCs w:val="21"/>
          <w:u w:val="single"/>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u w:val="single"/>
          <w:lang w:val="en-US" w:eastAsia="zh-CN"/>
        </w:rPr>
        <w:t xml:space="preserve">                </w:t>
      </w:r>
      <w:r>
        <w:rPr>
          <w:rFonts w:hint="eastAsia" w:ascii="新宋体" w:hAnsi="新宋体" w:eastAsia="新宋体"/>
          <w:b/>
          <w:bCs/>
          <w:szCs w:val="21"/>
          <w:u w:val="single"/>
        </w:rPr>
        <w:t xml:space="preserve">    </w:t>
      </w:r>
      <w:r>
        <w:rPr>
          <w:rFonts w:hint="eastAsia" w:ascii="新宋体" w:hAnsi="新宋体" w:eastAsia="新宋体"/>
          <w:b/>
          <w:bCs/>
          <w:szCs w:val="21"/>
        </w:rPr>
        <w:t xml:space="preserve">                            </w:t>
      </w:r>
    </w:p>
    <w:p w14:paraId="136C00F0">
      <w:pPr>
        <w:ind w:left="-540" w:leftChars="-257" w:right="-512" w:rightChars="-244" w:firstLine="420" w:firstLineChars="200"/>
        <w:rPr>
          <w:rFonts w:ascii="新宋体" w:hAnsi="新宋体" w:eastAsia="新宋体"/>
          <w:szCs w:val="21"/>
        </w:rPr>
      </w:pPr>
    </w:p>
    <w:p w14:paraId="37597D64">
      <w:pPr>
        <w:ind w:left="-540" w:leftChars="-257" w:right="-512" w:rightChars="-244" w:firstLine="420" w:firstLineChars="200"/>
        <w:rPr>
          <w:rFonts w:hint="eastAsia" w:ascii="新宋体" w:hAnsi="新宋体" w:eastAsia="新宋体"/>
          <w:szCs w:val="21"/>
        </w:rPr>
      </w:pPr>
      <w:r>
        <w:rPr>
          <w:rFonts w:hint="eastAsia" w:ascii="新宋体" w:hAnsi="新宋体" w:eastAsia="新宋体"/>
          <w:szCs w:val="21"/>
        </w:rPr>
        <w:t>根据《中华人民共和国民法典》等有关规定，经双方友好协商，签订本合同，其中</w:t>
      </w:r>
      <w:r>
        <w:rPr>
          <w:rFonts w:hint="eastAsia" w:ascii="新宋体" w:hAnsi="新宋体" w:eastAsia="新宋体"/>
          <w:szCs w:val="21"/>
          <w:lang w:val="en-US" w:eastAsia="zh-CN"/>
        </w:rPr>
        <w:t>产品</w:t>
      </w:r>
      <w:r>
        <w:rPr>
          <w:rFonts w:hint="eastAsia" w:ascii="新宋体" w:hAnsi="新宋体" w:eastAsia="新宋体"/>
          <w:szCs w:val="21"/>
        </w:rPr>
        <w:t>的配置清单作为本合同组成部分，具有相同的法律效应。</w:t>
      </w:r>
    </w:p>
    <w:p w14:paraId="19E3FAD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一、采购内容及合同价格</w:t>
      </w:r>
    </w:p>
    <w:p w14:paraId="2F6ADF43">
      <w:pPr>
        <w:ind w:left="-540" w:leftChars="-257" w:right="-512" w:rightChars="-244" w:firstLine="420" w:firstLineChars="200"/>
        <w:rPr>
          <w:rFonts w:hint="eastAsia" w:ascii="新宋体" w:hAnsi="新宋体" w:eastAsia="新宋体"/>
          <w:szCs w:val="21"/>
        </w:rPr>
      </w:pPr>
    </w:p>
    <w:tbl>
      <w:tblPr>
        <w:tblStyle w:val="18"/>
        <w:tblW w:w="8848" w:type="dxa"/>
        <w:jc w:val="center"/>
        <w:tblLayout w:type="fixed"/>
        <w:tblCellMar>
          <w:top w:w="0" w:type="dxa"/>
          <w:left w:w="108" w:type="dxa"/>
          <w:bottom w:w="0" w:type="dxa"/>
          <w:right w:w="108" w:type="dxa"/>
        </w:tblCellMar>
      </w:tblPr>
      <w:tblGrid>
        <w:gridCol w:w="3559"/>
        <w:gridCol w:w="1547"/>
        <w:gridCol w:w="709"/>
        <w:gridCol w:w="1559"/>
        <w:gridCol w:w="1474"/>
      </w:tblGrid>
      <w:tr w14:paraId="5E774D4B">
        <w:tblPrEx>
          <w:tblCellMar>
            <w:top w:w="0" w:type="dxa"/>
            <w:left w:w="108" w:type="dxa"/>
            <w:bottom w:w="0" w:type="dxa"/>
            <w:right w:w="108" w:type="dxa"/>
          </w:tblCellMar>
        </w:tblPrEx>
        <w:trPr>
          <w:trHeight w:val="300" w:hRule="atLeast"/>
          <w:jc w:val="center"/>
        </w:trPr>
        <w:tc>
          <w:tcPr>
            <w:tcW w:w="3559" w:type="dxa"/>
            <w:tcBorders>
              <w:top w:val="single" w:color="auto" w:sz="8" w:space="0"/>
              <w:left w:val="single" w:color="auto" w:sz="8" w:space="0"/>
              <w:bottom w:val="single" w:color="auto" w:sz="8" w:space="0"/>
              <w:right w:val="single" w:color="auto" w:sz="8" w:space="0"/>
            </w:tcBorders>
            <w:shd w:val="clear" w:color="auto" w:fill="auto"/>
            <w:vAlign w:val="center"/>
          </w:tcPr>
          <w:p w14:paraId="15AA9EC7">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服务项目</w:t>
            </w:r>
          </w:p>
        </w:tc>
        <w:tc>
          <w:tcPr>
            <w:tcW w:w="1547" w:type="dxa"/>
            <w:tcBorders>
              <w:top w:val="single" w:color="auto" w:sz="8" w:space="0"/>
              <w:left w:val="nil"/>
              <w:bottom w:val="single" w:color="auto" w:sz="8" w:space="0"/>
              <w:right w:val="single" w:color="auto" w:sz="8" w:space="0"/>
            </w:tcBorders>
            <w:shd w:val="clear" w:color="auto" w:fill="auto"/>
            <w:vAlign w:val="center"/>
          </w:tcPr>
          <w:p w14:paraId="6A306CCA">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要求说明</w:t>
            </w:r>
          </w:p>
        </w:tc>
        <w:tc>
          <w:tcPr>
            <w:tcW w:w="709" w:type="dxa"/>
            <w:tcBorders>
              <w:top w:val="single" w:color="auto" w:sz="8" w:space="0"/>
              <w:left w:val="nil"/>
              <w:bottom w:val="single" w:color="auto" w:sz="8" w:space="0"/>
              <w:right w:val="single" w:color="auto" w:sz="8" w:space="0"/>
            </w:tcBorders>
            <w:shd w:val="clear" w:color="auto" w:fill="auto"/>
            <w:vAlign w:val="center"/>
          </w:tcPr>
          <w:p w14:paraId="2C9C7673">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数量</w:t>
            </w:r>
          </w:p>
        </w:tc>
        <w:tc>
          <w:tcPr>
            <w:tcW w:w="1559" w:type="dxa"/>
            <w:tcBorders>
              <w:top w:val="single" w:color="auto" w:sz="8" w:space="0"/>
              <w:left w:val="nil"/>
              <w:bottom w:val="single" w:color="auto" w:sz="8" w:space="0"/>
              <w:right w:val="single" w:color="auto" w:sz="8" w:space="0"/>
            </w:tcBorders>
            <w:shd w:val="clear" w:color="auto" w:fill="auto"/>
            <w:vAlign w:val="center"/>
          </w:tcPr>
          <w:p w14:paraId="18BD9130">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单价（元）</w:t>
            </w:r>
          </w:p>
        </w:tc>
        <w:tc>
          <w:tcPr>
            <w:tcW w:w="1474" w:type="dxa"/>
            <w:tcBorders>
              <w:top w:val="single" w:color="auto" w:sz="8" w:space="0"/>
              <w:left w:val="nil"/>
              <w:bottom w:val="single" w:color="auto" w:sz="8" w:space="0"/>
              <w:right w:val="single" w:color="auto" w:sz="8" w:space="0"/>
            </w:tcBorders>
            <w:shd w:val="clear" w:color="auto" w:fill="auto"/>
            <w:vAlign w:val="center"/>
          </w:tcPr>
          <w:p w14:paraId="15617345">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金额（元）</w:t>
            </w:r>
          </w:p>
        </w:tc>
      </w:tr>
      <w:tr w14:paraId="0CF114EC">
        <w:tblPrEx>
          <w:tblCellMar>
            <w:top w:w="0" w:type="dxa"/>
            <w:left w:w="108" w:type="dxa"/>
            <w:bottom w:w="0" w:type="dxa"/>
            <w:right w:w="108" w:type="dxa"/>
          </w:tblCellMar>
        </w:tblPrEx>
        <w:trPr>
          <w:trHeight w:val="645" w:hRule="atLeast"/>
          <w:jc w:val="center"/>
        </w:trPr>
        <w:tc>
          <w:tcPr>
            <w:tcW w:w="3559" w:type="dxa"/>
            <w:tcBorders>
              <w:top w:val="nil"/>
              <w:left w:val="single" w:color="auto" w:sz="8" w:space="0"/>
              <w:bottom w:val="single" w:color="auto" w:sz="8" w:space="0"/>
              <w:right w:val="single" w:color="auto" w:sz="8" w:space="0"/>
            </w:tcBorders>
            <w:shd w:val="clear" w:color="auto" w:fill="auto"/>
            <w:vAlign w:val="center"/>
          </w:tcPr>
          <w:p w14:paraId="59298EE4">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XXXXXXXXXX（项目名称，如有细项，以附录形式列在最后）</w:t>
            </w:r>
          </w:p>
        </w:tc>
        <w:tc>
          <w:tcPr>
            <w:tcW w:w="1547" w:type="dxa"/>
            <w:tcBorders>
              <w:top w:val="nil"/>
              <w:left w:val="nil"/>
              <w:bottom w:val="single" w:color="auto" w:sz="8" w:space="0"/>
              <w:right w:val="single" w:color="auto" w:sz="8" w:space="0"/>
            </w:tcBorders>
            <w:shd w:val="clear" w:color="auto" w:fill="auto"/>
            <w:vAlign w:val="center"/>
          </w:tcPr>
          <w:p w14:paraId="1C01F0ED">
            <w:pPr>
              <w:widowControl/>
              <w:jc w:val="left"/>
              <w:rPr>
                <w:rFonts w:hint="eastAsia" w:ascii="宋体" w:hAnsi="宋体" w:eastAsia="宋体" w:cs="宋体"/>
                <w:kern w:val="0"/>
                <w:sz w:val="24"/>
                <w:szCs w:val="24"/>
              </w:rPr>
            </w:pPr>
          </w:p>
        </w:tc>
        <w:tc>
          <w:tcPr>
            <w:tcW w:w="709" w:type="dxa"/>
            <w:tcBorders>
              <w:top w:val="nil"/>
              <w:left w:val="nil"/>
              <w:bottom w:val="single" w:color="auto" w:sz="8" w:space="0"/>
              <w:right w:val="single" w:color="auto" w:sz="8" w:space="0"/>
            </w:tcBorders>
            <w:shd w:val="clear" w:color="auto" w:fill="auto"/>
            <w:vAlign w:val="center"/>
          </w:tcPr>
          <w:p w14:paraId="3D569692">
            <w:pPr>
              <w:widowControl/>
              <w:jc w:val="left"/>
              <w:rPr>
                <w:rFonts w:ascii="Times New Roman" w:hAnsi="Times New Roman" w:eastAsia="宋体" w:cs="Times New Roman"/>
                <w:kern w:val="0"/>
                <w:sz w:val="24"/>
                <w:szCs w:val="24"/>
              </w:rPr>
            </w:pPr>
          </w:p>
        </w:tc>
        <w:tc>
          <w:tcPr>
            <w:tcW w:w="1559" w:type="dxa"/>
            <w:tcBorders>
              <w:top w:val="nil"/>
              <w:left w:val="nil"/>
              <w:bottom w:val="single" w:color="auto" w:sz="8" w:space="0"/>
              <w:right w:val="single" w:color="auto" w:sz="8" w:space="0"/>
            </w:tcBorders>
            <w:shd w:val="clear" w:color="auto" w:fill="auto"/>
            <w:vAlign w:val="center"/>
          </w:tcPr>
          <w:p w14:paraId="287B46C7">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c>
          <w:tcPr>
            <w:tcW w:w="1474" w:type="dxa"/>
            <w:tcBorders>
              <w:top w:val="nil"/>
              <w:left w:val="nil"/>
              <w:bottom w:val="single" w:color="auto" w:sz="8" w:space="0"/>
              <w:right w:val="single" w:color="auto" w:sz="8" w:space="0"/>
            </w:tcBorders>
            <w:shd w:val="clear" w:color="auto" w:fill="auto"/>
            <w:vAlign w:val="center"/>
          </w:tcPr>
          <w:p w14:paraId="71CDC1CE">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r w14:paraId="2FF883F9">
        <w:tblPrEx>
          <w:tblCellMar>
            <w:top w:w="0" w:type="dxa"/>
            <w:left w:w="108" w:type="dxa"/>
            <w:bottom w:w="0" w:type="dxa"/>
            <w:right w:w="108" w:type="dxa"/>
          </w:tblCellMar>
        </w:tblPrEx>
        <w:trPr>
          <w:trHeight w:val="330" w:hRule="atLeast"/>
          <w:jc w:val="center"/>
        </w:trPr>
        <w:tc>
          <w:tcPr>
            <w:tcW w:w="7374" w:type="dxa"/>
            <w:gridSpan w:val="4"/>
            <w:tcBorders>
              <w:top w:val="single" w:color="auto" w:sz="4" w:space="0"/>
              <w:left w:val="single" w:color="auto" w:sz="4" w:space="0"/>
              <w:bottom w:val="single" w:color="auto" w:sz="4" w:space="0"/>
              <w:right w:val="single" w:color="auto" w:sz="8" w:space="0"/>
            </w:tcBorders>
            <w:shd w:val="clear" w:color="auto" w:fill="auto"/>
            <w:vAlign w:val="bottom"/>
          </w:tcPr>
          <w:p w14:paraId="48269472">
            <w:pPr>
              <w:widowControl/>
              <w:jc w:val="center"/>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金额总计：</w:t>
            </w:r>
            <w:r>
              <w:rPr>
                <w:rFonts w:ascii="宋体" w:hAnsi="宋体" w:eastAsia="宋体" w:cs="Times New Roman"/>
                <w:bCs/>
                <w:spacing w:val="20"/>
                <w:sz w:val="24"/>
                <w:szCs w:val="24"/>
              </w:rPr>
              <w:t xml:space="preserve"> </w:t>
            </w:r>
            <w:r>
              <w:rPr>
                <w:rFonts w:hint="eastAsia" w:ascii="宋体" w:hAnsi="宋体" w:eastAsia="宋体" w:cs="Times New Roman"/>
                <w:bCs/>
                <w:spacing w:val="20"/>
                <w:sz w:val="24"/>
                <w:szCs w:val="24"/>
              </w:rPr>
              <w:t xml:space="preserve"> </w:t>
            </w:r>
            <w:r>
              <w:rPr>
                <w:rFonts w:ascii="宋体" w:hAnsi="宋体" w:eastAsia="宋体" w:cs="Times New Roman"/>
                <w:bCs/>
                <w:spacing w:val="20"/>
                <w:sz w:val="24"/>
                <w:szCs w:val="24"/>
              </w:rPr>
              <w:t>人民币</w:t>
            </w:r>
            <w:r>
              <w:rPr>
                <w:rFonts w:hint="eastAsia" w:ascii="宋体" w:hAnsi="宋体" w:eastAsia="宋体" w:cs="Times New Roman"/>
                <w:bCs/>
                <w:spacing w:val="20"/>
                <w:sz w:val="24"/>
                <w:szCs w:val="24"/>
                <w:u w:val="single"/>
              </w:rPr>
              <w:t xml:space="preserve">         </w:t>
            </w:r>
            <w:r>
              <w:rPr>
                <w:rFonts w:hint="eastAsia" w:ascii="宋体" w:hAnsi="宋体" w:eastAsia="宋体" w:cs="Times New Roman"/>
                <w:bCs/>
                <w:spacing w:val="20"/>
                <w:sz w:val="24"/>
                <w:szCs w:val="24"/>
              </w:rPr>
              <w:t>元整</w:t>
            </w:r>
          </w:p>
        </w:tc>
        <w:tc>
          <w:tcPr>
            <w:tcW w:w="1474" w:type="dxa"/>
            <w:tcBorders>
              <w:top w:val="nil"/>
              <w:left w:val="nil"/>
              <w:bottom w:val="single" w:color="auto" w:sz="8" w:space="0"/>
              <w:right w:val="single" w:color="auto" w:sz="8" w:space="0"/>
            </w:tcBorders>
            <w:shd w:val="clear" w:color="auto" w:fill="auto"/>
            <w:vAlign w:val="center"/>
          </w:tcPr>
          <w:p w14:paraId="00540D34">
            <w:pPr>
              <w:widowControl/>
              <w:jc w:val="left"/>
              <w:rPr>
                <w:rFonts w:hint="eastAsia" w:ascii="华文宋体" w:hAnsi="华文宋体" w:eastAsia="华文宋体" w:cs="宋体"/>
                <w:kern w:val="0"/>
                <w:sz w:val="24"/>
                <w:szCs w:val="24"/>
              </w:rPr>
            </w:pPr>
            <w:r>
              <w:rPr>
                <w:rFonts w:hint="eastAsia" w:ascii="宋体" w:hAnsi="宋体" w:eastAsia="宋体" w:cs="Times New Roman"/>
                <w:bCs/>
                <w:spacing w:val="20"/>
                <w:sz w:val="24"/>
                <w:szCs w:val="24"/>
              </w:rPr>
              <w:t>￥</w:t>
            </w:r>
          </w:p>
        </w:tc>
      </w:tr>
    </w:tbl>
    <w:p w14:paraId="70D2D6F2">
      <w:pPr>
        <w:adjustRightInd w:val="0"/>
        <w:snapToGrid w:val="0"/>
        <w:spacing w:before="120" w:after="120"/>
        <w:ind w:firstLine="511" w:firstLineChars="213"/>
        <w:jc w:val="right"/>
        <w:rPr>
          <w:rFonts w:ascii="微软雅黑" w:hAnsi="微软雅黑" w:eastAsia="微软雅黑" w:cs="Times New Roman"/>
          <w:sz w:val="24"/>
          <w:szCs w:val="24"/>
          <w:lang w:val="zh-CN"/>
        </w:rPr>
      </w:pPr>
      <w:r>
        <w:rPr>
          <w:rFonts w:ascii="微软雅黑" w:hAnsi="微软雅黑" w:eastAsia="微软雅黑" w:cs="Times New Roman"/>
          <w:sz w:val="24"/>
          <w:szCs w:val="24"/>
          <w:lang w:val="zh-CN"/>
        </w:rPr>
        <w:t xml:space="preserve">金额单位：元 </w:t>
      </w:r>
    </w:p>
    <w:p w14:paraId="15656B59">
      <w:pPr>
        <w:snapToGrid w:val="0"/>
        <w:ind w:left="-840" w:leftChars="-400" w:right="-487" w:rightChars="-232" w:firstLine="420" w:firstLineChars="0"/>
        <w:rPr>
          <w:rFonts w:hint="eastAsia" w:ascii="新宋体" w:hAnsi="新宋体" w:eastAsia="新宋体"/>
          <w:color w:val="FF0000"/>
          <w:szCs w:val="21"/>
          <w:lang w:val="zh-CN"/>
        </w:rPr>
      </w:pPr>
      <w:r>
        <w:rPr>
          <w:rFonts w:hint="eastAsia" w:ascii="新宋体" w:hAnsi="新宋体" w:eastAsia="新宋体"/>
          <w:szCs w:val="21"/>
          <w:lang w:val="zh-CN"/>
        </w:rPr>
        <w:t>注：1、以上合同总价，</w:t>
      </w:r>
      <w:r>
        <w:rPr>
          <w:rFonts w:hint="eastAsia" w:ascii="新宋体" w:hAnsi="新宋体" w:eastAsia="新宋体"/>
          <w:color w:val="FF0000"/>
          <w:szCs w:val="21"/>
          <w:lang w:val="zh-CN"/>
        </w:rPr>
        <w:t>包含产品到达用户、达到用户要求的使用性能、并能在用户要求的期限内正常使用所需的一切费用。</w:t>
      </w:r>
    </w:p>
    <w:p w14:paraId="4489C8D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ab/>
      </w:r>
      <w:r>
        <w:rPr>
          <w:rFonts w:hint="eastAsia" w:ascii="新宋体" w:hAnsi="新宋体" w:eastAsia="新宋体"/>
          <w:szCs w:val="21"/>
          <w:lang w:val="zh-CN"/>
        </w:rPr>
        <w:t xml:space="preserve">  2、招标文件、投标文件与本合同具有同等法律效力。</w:t>
      </w:r>
    </w:p>
    <w:p w14:paraId="5F73D8CC">
      <w:pPr>
        <w:snapToGrid w:val="0"/>
        <w:ind w:left="-420" w:leftChars="-400" w:right="-487" w:rightChars="-232" w:hanging="420" w:hangingChars="200"/>
        <w:rPr>
          <w:rFonts w:hint="eastAsia" w:ascii="新宋体" w:hAnsi="新宋体" w:eastAsia="新宋体"/>
          <w:szCs w:val="21"/>
        </w:rPr>
      </w:pPr>
    </w:p>
    <w:p w14:paraId="5FCED58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二、技术资料</w:t>
      </w:r>
    </w:p>
    <w:p w14:paraId="58C8A6D9">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1.乙方应按招标文件规定的时间，向甲方提供全部合法有效技术资料。</w:t>
      </w:r>
    </w:p>
    <w:p w14:paraId="0080F383">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48FC1BB8">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三、知识产权</w:t>
      </w:r>
    </w:p>
    <w:p w14:paraId="24D20F9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乙方应保证所提供的货物或其任何一部分包括软件等，均不会侵犯任何第三方的知识产权。任何第三方对本合同标的主张知识产权的，均由乙方承担全部责任。甲方先行承担责任的，有权向乙方追偿。</w:t>
      </w:r>
    </w:p>
    <w:p w14:paraId="2C1470A5">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四、产权担保</w:t>
      </w:r>
    </w:p>
    <w:p w14:paraId="41A1B9E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乙方保证所交付的</w:t>
      </w:r>
      <w:r>
        <w:rPr>
          <w:rFonts w:hint="eastAsia" w:ascii="新宋体" w:hAnsi="新宋体" w:eastAsia="新宋体"/>
          <w:szCs w:val="21"/>
          <w:lang w:val="en-US" w:eastAsia="zh-CN"/>
        </w:rPr>
        <w:t>产品</w:t>
      </w:r>
      <w:r>
        <w:rPr>
          <w:rFonts w:hint="eastAsia" w:ascii="新宋体" w:hAnsi="新宋体" w:eastAsia="新宋体"/>
          <w:szCs w:val="21"/>
          <w:lang w:val="zh-CN"/>
        </w:rPr>
        <w:t>所有权，在交付之时，完全属于乙方且无任何抵押、查封等产权瑕疵。</w:t>
      </w:r>
    </w:p>
    <w:p w14:paraId="73AD86A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五、转包或分包</w:t>
      </w:r>
    </w:p>
    <w:p w14:paraId="7CCC4F09">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rPr>
        <w:t>本合同范围的货物，应由乙方直接供应，不得转让他人供应，否则，甲方有权解除合同并追究乙方的违约责任。</w:t>
      </w:r>
    </w:p>
    <w:p w14:paraId="52B00FA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六、质保或维保周期</w:t>
      </w:r>
    </w:p>
    <w:p w14:paraId="1592CB0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项目终验合格后质保 壹 年。</w:t>
      </w:r>
    </w:p>
    <w:p w14:paraId="15380501">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七、交货期、交货方式及地点</w:t>
      </w:r>
    </w:p>
    <w:p w14:paraId="5B8668F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1. 交货期：</w:t>
      </w:r>
    </w:p>
    <w:p w14:paraId="3E449C2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本合同签订之日起</w:t>
      </w:r>
      <w:r>
        <w:rPr>
          <w:rFonts w:hint="eastAsia" w:ascii="新宋体" w:hAnsi="新宋体" w:eastAsia="新宋体"/>
          <w:szCs w:val="21"/>
        </w:rPr>
        <w:t>XX（工作日/月）</w:t>
      </w:r>
      <w:r>
        <w:rPr>
          <w:rFonts w:hint="eastAsia" w:ascii="新宋体" w:hAnsi="新宋体" w:eastAsia="新宋体"/>
          <w:szCs w:val="21"/>
          <w:lang w:val="zh-CN"/>
        </w:rPr>
        <w:t>内，乙方将产品/服务交付到甲方指定地点。</w:t>
      </w:r>
    </w:p>
    <w:p w14:paraId="2773C47C">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2. 交货方式及地点：</w:t>
      </w:r>
    </w:p>
    <w:p w14:paraId="4472A146">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乙方将产品交付到甲方指定地点，并实施安装，确保可用。</w:t>
      </w:r>
    </w:p>
    <w:p w14:paraId="3FB593A2">
      <w:pPr>
        <w:snapToGrid w:val="0"/>
        <w:ind w:left="-420" w:leftChars="-400" w:right="-487" w:rightChars="-232" w:hanging="420" w:hangingChars="200"/>
        <w:rPr>
          <w:rFonts w:hint="eastAsia" w:ascii="新宋体" w:hAnsi="新宋体" w:eastAsia="新宋体"/>
          <w:szCs w:val="21"/>
          <w:lang w:val="en-US" w:eastAsia="zh-CN"/>
        </w:rPr>
      </w:pPr>
    </w:p>
    <w:p w14:paraId="48AFB997">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en-US" w:eastAsia="zh-CN"/>
        </w:rPr>
        <w:t>八</w:t>
      </w:r>
      <w:r>
        <w:rPr>
          <w:rFonts w:hint="eastAsia" w:ascii="新宋体" w:hAnsi="新宋体" w:eastAsia="新宋体"/>
          <w:szCs w:val="21"/>
        </w:rPr>
        <w:t>、付款方式：</w:t>
      </w:r>
      <w:r>
        <w:rPr>
          <w:rFonts w:hint="eastAsia" w:ascii="新宋体" w:hAnsi="新宋体" w:eastAsia="新宋体"/>
          <w:szCs w:val="21"/>
          <w:lang w:val="zh-CN"/>
        </w:rPr>
        <w:t>甲方采用银行转帐或电汇方式将款项汇入乙方指定账户，付款时间如下：</w:t>
      </w:r>
    </w:p>
    <w:p w14:paraId="2F3DD78E">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1.</w:t>
      </w:r>
      <w:r>
        <w:rPr>
          <w:rFonts w:hint="eastAsia" w:ascii="新宋体" w:hAnsi="新宋体" w:eastAsia="新宋体"/>
          <w:szCs w:val="21"/>
        </w:rPr>
        <w:t>本合同签订之日起，在收到乙方开具的正式票据的3个月内，甲方向乙方指定账户支付项目款的30 %，即人民币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F4E6936">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2.</w:t>
      </w:r>
      <w:r>
        <w:rPr>
          <w:rFonts w:hint="eastAsia" w:ascii="新宋体" w:hAnsi="新宋体" w:eastAsia="新宋体"/>
          <w:szCs w:val="21"/>
        </w:rPr>
        <w:t xml:space="preserve">按照项目进度安排，在初验合格后，收到乙方开具的正式票据的3个月内，甲方向乙方支付项目款的30%，即人民币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48F9286B">
      <w:pPr>
        <w:snapToGrid w:val="0"/>
        <w:ind w:left="-420" w:leftChars="-400" w:right="-487" w:rightChars="-232" w:hanging="420" w:hangingChars="200"/>
        <w:rPr>
          <w:rFonts w:hint="eastAsia" w:ascii="新宋体" w:hAnsi="新宋体" w:eastAsia="新宋体"/>
          <w:szCs w:val="21"/>
        </w:rPr>
      </w:pPr>
      <w:r>
        <w:rPr>
          <w:rFonts w:hint="eastAsia" w:ascii="新宋体" w:hAnsi="新宋体" w:eastAsia="新宋体"/>
          <w:szCs w:val="21"/>
          <w:lang w:val="en-US" w:eastAsia="zh-CN"/>
        </w:rPr>
        <w:t>3.</w:t>
      </w:r>
      <w:r>
        <w:rPr>
          <w:rFonts w:hint="eastAsia" w:ascii="新宋体" w:hAnsi="新宋体" w:eastAsia="新宋体"/>
          <w:szCs w:val="21"/>
        </w:rPr>
        <w:t>终验合格且经甲方书面认可后</w:t>
      </w:r>
      <w:bookmarkStart w:id="13" w:name="_Hlk180564210"/>
      <w:r>
        <w:rPr>
          <w:rFonts w:hint="eastAsia" w:ascii="新宋体" w:hAnsi="新宋体" w:eastAsia="新宋体"/>
          <w:szCs w:val="21"/>
        </w:rPr>
        <w:t>，收到乙方开具的正式票据的3个月内，</w:t>
      </w:r>
      <w:bookmarkEnd w:id="13"/>
      <w:r>
        <w:rPr>
          <w:rFonts w:hint="eastAsia" w:ascii="新宋体" w:hAnsi="新宋体" w:eastAsia="新宋体"/>
          <w:szCs w:val="21"/>
        </w:rPr>
        <w:t>甲方向乙方支付项目款的40%余款，即人民币</w:t>
      </w:r>
      <w:r>
        <w:rPr>
          <w:rFonts w:hint="eastAsia" w:ascii="新宋体" w:hAnsi="新宋体" w:eastAsia="新宋体"/>
          <w:szCs w:val="21"/>
          <w:lang w:val="en-US" w:eastAsia="zh-CN"/>
        </w:rPr>
        <w:t xml:space="preserve"> </w:t>
      </w:r>
      <w:r>
        <w:rPr>
          <w:rFonts w:hint="eastAsia" w:ascii="新宋体" w:hAnsi="新宋体" w:eastAsia="新宋体"/>
          <w:szCs w:val="21"/>
          <w:u w:val="single"/>
        </w:rPr>
        <w:t xml:space="preserve">大写：        </w:t>
      </w:r>
      <w:r>
        <w:rPr>
          <w:rFonts w:hint="eastAsia" w:ascii="新宋体" w:hAnsi="新宋体" w:eastAsia="新宋体"/>
          <w:szCs w:val="21"/>
        </w:rPr>
        <w:t>，小写：人民币</w:t>
      </w:r>
      <w:r>
        <w:rPr>
          <w:rFonts w:hint="eastAsia" w:ascii="新宋体" w:hAnsi="新宋体" w:eastAsia="新宋体"/>
          <w:szCs w:val="21"/>
          <w:u w:val="single"/>
        </w:rPr>
        <w:t xml:space="preserve">            </w:t>
      </w:r>
      <w:r>
        <w:rPr>
          <w:rFonts w:hint="eastAsia" w:ascii="新宋体" w:hAnsi="新宋体" w:eastAsia="新宋体"/>
          <w:szCs w:val="21"/>
        </w:rPr>
        <w:t>元。</w:t>
      </w:r>
    </w:p>
    <w:p w14:paraId="63FC523F">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九、税费</w:t>
      </w:r>
    </w:p>
    <w:p w14:paraId="60915D0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本合同执行中相关的一切税费均由乙方负担。</w:t>
      </w:r>
    </w:p>
    <w:p w14:paraId="4FD611F5">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十、各方职责</w:t>
      </w:r>
    </w:p>
    <w:p w14:paraId="64836FB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1、甲方职责：</w:t>
      </w:r>
    </w:p>
    <w:p w14:paraId="13E86463">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甲方应向乙方提供采购内容所需要的技术资料和数据，参与整个项目的全过程，协助配合乙方做好需求调研、方案设计及现场等工作，对各项业务的需求报告及时确认。</w:t>
      </w:r>
    </w:p>
    <w:p w14:paraId="1536361F">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确保有专人负责软件的使用和管理，确保设施运行环境（包括计算机、打印机及相关硬件设备）的安全，为软件正常运行提供保障。</w:t>
      </w:r>
    </w:p>
    <w:p w14:paraId="33D5D376">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在乙方进行维护与技术支持时，根据乙方要求，指定配合工作的员工，提供必要的设备,配合检查软件系统运行是否正常。</w:t>
      </w:r>
    </w:p>
    <w:p w14:paraId="5CD94812">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2、乙方职责：</w:t>
      </w:r>
    </w:p>
    <w:p w14:paraId="006C1F8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乙方承诺按照本合同约定的服务内容和服务进度向甲方提供合格的服务，并做好项目管理，指定项目负责人。</w:t>
      </w:r>
    </w:p>
    <w:p w14:paraId="24AA6F0E">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 xml:space="preserve">乙方保证提供的技术资料具有科学性，正确性，简明性，可操作性和规范性。乙方须进行必要的技术指导，并保证甲方能正确、安全、有效的使用服务成果。 </w:t>
      </w:r>
    </w:p>
    <w:p w14:paraId="4C957E77">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乙方保证派驻甲方的人员遵守甲方的有关制度、工作纪律和规定，乙方服务人员应在甲方规定的工作场地范围内工作。</w:t>
      </w:r>
    </w:p>
    <w:p w14:paraId="11E455C1">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乙方在履行合同过程中，对甲方的信息数据、软件源代码、有关文档保密，未经审批不得向第三方泄露，若有违反，经查证后根据情节轻重扣减合同款。</w:t>
      </w:r>
    </w:p>
    <w:p w14:paraId="4CFE4266">
      <w:pPr>
        <w:snapToGrid w:val="0"/>
        <w:ind w:left="-840" w:leftChars="-400" w:right="-487" w:rightChars="-232" w:firstLine="420" w:firstLineChars="0"/>
        <w:rPr>
          <w:rFonts w:hint="eastAsia" w:ascii="新宋体" w:hAnsi="新宋体" w:eastAsia="新宋体"/>
          <w:szCs w:val="21"/>
          <w:lang w:val="zh-CN" w:eastAsia="zh-CN"/>
        </w:rPr>
      </w:pPr>
    </w:p>
    <w:p w14:paraId="3EE99DE1">
      <w:pPr>
        <w:numPr>
          <w:ilvl w:val="0"/>
          <w:numId w:val="0"/>
        </w:numPr>
        <w:snapToGrid w:val="0"/>
        <w:ind w:left="-1260" w:leftChars="-6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十一、项目内容说明</w:t>
      </w:r>
    </w:p>
    <w:p w14:paraId="212425E5">
      <w:pPr>
        <w:numPr>
          <w:ilvl w:val="0"/>
          <w:numId w:val="0"/>
        </w:num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(XXXXXXXXXXXXXXXXXXXXXXXXXXXXXXXXXXXXXXXXXXXXXXXX,简要说明，内容过多请放在后面附录中）</w:t>
      </w:r>
    </w:p>
    <w:p w14:paraId="38DCCBDC">
      <w:pPr>
        <w:numPr>
          <w:ilvl w:val="0"/>
          <w:numId w:val="0"/>
        </w:numPr>
        <w:snapToGrid w:val="0"/>
        <w:ind w:left="-1260" w:leftChars="-600" w:right="-487" w:rightChars="-232" w:firstLine="420" w:firstLineChars="0"/>
        <w:rPr>
          <w:rFonts w:hint="eastAsia" w:ascii="新宋体" w:hAnsi="新宋体" w:eastAsia="新宋体"/>
          <w:szCs w:val="21"/>
        </w:rPr>
      </w:pPr>
      <w:r>
        <w:rPr>
          <w:rFonts w:hint="eastAsia" w:ascii="新宋体" w:hAnsi="新宋体" w:eastAsia="新宋体"/>
          <w:szCs w:val="21"/>
          <w:lang w:val="zh-CN"/>
        </w:rPr>
        <w:t>十</w:t>
      </w:r>
      <w:r>
        <w:rPr>
          <w:rFonts w:hint="eastAsia" w:ascii="新宋体" w:hAnsi="新宋体" w:eastAsia="新宋体"/>
          <w:szCs w:val="21"/>
          <w:lang w:val="en-US" w:eastAsia="zh-CN"/>
        </w:rPr>
        <w:t>二</w:t>
      </w:r>
      <w:r>
        <w:rPr>
          <w:rFonts w:hint="eastAsia" w:ascii="新宋体" w:hAnsi="新宋体" w:eastAsia="新宋体"/>
          <w:szCs w:val="21"/>
          <w:lang w:val="zh-CN"/>
        </w:rPr>
        <w:t>、</w:t>
      </w:r>
      <w:r>
        <w:rPr>
          <w:rFonts w:hint="eastAsia" w:ascii="新宋体" w:hAnsi="新宋体" w:eastAsia="新宋体"/>
          <w:szCs w:val="21"/>
          <w:lang w:val="en-US" w:eastAsia="zh-CN"/>
        </w:rPr>
        <w:t>项目</w:t>
      </w:r>
      <w:r>
        <w:rPr>
          <w:rFonts w:hint="eastAsia" w:ascii="新宋体" w:hAnsi="新宋体" w:eastAsia="新宋体"/>
          <w:szCs w:val="21"/>
        </w:rPr>
        <w:t>验收：</w:t>
      </w:r>
    </w:p>
    <w:p w14:paraId="3C9ED99C">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1.乙方根据约定服务范围与内容提供技术资料和数据，确保能让甲方正常使用，完成服务内容后可提出验收，甲方需在十个工作日内验收。</w:t>
      </w:r>
    </w:p>
    <w:p w14:paraId="384698C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2. 验收前，乙方应对产品作出全面检查和对验收文件进行整理，并列出清单，拟订验收报告交与甲方。</w:t>
      </w:r>
    </w:p>
    <w:p w14:paraId="792E418D">
      <w:pPr>
        <w:snapToGrid w:val="0"/>
        <w:ind w:left="-840" w:leftChars="-400" w:right="-487" w:rightChars="-232" w:firstLine="420" w:firstLineChars="0"/>
        <w:rPr>
          <w:rFonts w:hint="eastAsia" w:ascii="新宋体" w:hAnsi="新宋体" w:eastAsia="新宋体"/>
          <w:szCs w:val="21"/>
          <w:lang w:val="zh-CN" w:eastAsia="zh-CN"/>
        </w:rPr>
      </w:pPr>
      <w:r>
        <w:rPr>
          <w:rFonts w:hint="eastAsia" w:ascii="新宋体" w:hAnsi="新宋体" w:eastAsia="新宋体"/>
          <w:szCs w:val="21"/>
          <w:lang w:val="zh-CN" w:eastAsia="zh-CN"/>
        </w:rPr>
        <w:t>3. 甲方根据合同约定审查项目完成情况，直到符合技术要求，甲方才做最终验收。</w:t>
      </w:r>
    </w:p>
    <w:p w14:paraId="55734A82">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eastAsia="zh-CN"/>
        </w:rPr>
        <w:t>4. 验收时乙方必须在现场，验收完毕后十五个工作日内作出验收结果报告；验收费用由乙方负责。</w:t>
      </w:r>
    </w:p>
    <w:p w14:paraId="780ED60F">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十三、服务质量考核</w:t>
      </w:r>
    </w:p>
    <w:p w14:paraId="4C040563">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乙方须严格</w:t>
      </w:r>
      <w:r>
        <w:rPr>
          <w:rFonts w:hint="eastAsia" w:ascii="新宋体" w:hAnsi="新宋体" w:eastAsia="新宋体"/>
          <w:szCs w:val="21"/>
        </w:rPr>
        <w:t>按照合同</w:t>
      </w:r>
      <w:r>
        <w:rPr>
          <w:rFonts w:hint="eastAsia" w:ascii="新宋体" w:hAnsi="新宋体" w:eastAsia="新宋体"/>
          <w:szCs w:val="21"/>
          <w:lang w:val="zh-CN"/>
        </w:rPr>
        <w:t>要求</w:t>
      </w:r>
      <w:r>
        <w:rPr>
          <w:rFonts w:hint="eastAsia" w:ascii="新宋体" w:hAnsi="新宋体" w:eastAsia="新宋体"/>
          <w:szCs w:val="21"/>
        </w:rPr>
        <w:t>提供技术</w:t>
      </w:r>
      <w:r>
        <w:rPr>
          <w:rFonts w:hint="eastAsia" w:ascii="新宋体" w:hAnsi="新宋体" w:eastAsia="新宋体"/>
          <w:szCs w:val="21"/>
          <w:lang w:val="zh-CN"/>
        </w:rPr>
        <w:t>服务。为了</w:t>
      </w:r>
      <w:r>
        <w:rPr>
          <w:rFonts w:hint="eastAsia" w:ascii="新宋体" w:hAnsi="新宋体" w:eastAsia="新宋体"/>
          <w:szCs w:val="21"/>
        </w:rPr>
        <w:t>确保</w:t>
      </w:r>
      <w:r>
        <w:rPr>
          <w:rFonts w:hint="eastAsia" w:ascii="新宋体" w:hAnsi="新宋体" w:eastAsia="新宋体"/>
          <w:szCs w:val="21"/>
          <w:lang w:val="zh-CN"/>
        </w:rPr>
        <w:t>服务</w:t>
      </w:r>
      <w:r>
        <w:rPr>
          <w:rFonts w:hint="eastAsia" w:ascii="新宋体" w:hAnsi="新宋体" w:eastAsia="新宋体"/>
          <w:szCs w:val="21"/>
        </w:rPr>
        <w:t>工作</w:t>
      </w:r>
      <w:r>
        <w:rPr>
          <w:rFonts w:hint="eastAsia" w:ascii="新宋体" w:hAnsi="新宋体" w:eastAsia="新宋体"/>
          <w:szCs w:val="21"/>
          <w:lang w:val="zh-CN"/>
        </w:rPr>
        <w:t>得到有效监督，保证服务质量，</w:t>
      </w:r>
      <w:r>
        <w:rPr>
          <w:rFonts w:hint="eastAsia" w:ascii="新宋体" w:hAnsi="新宋体" w:eastAsia="新宋体"/>
          <w:szCs w:val="21"/>
        </w:rPr>
        <w:t>甲方按照合同要求</w:t>
      </w:r>
      <w:r>
        <w:rPr>
          <w:rFonts w:hint="eastAsia" w:ascii="新宋体" w:hAnsi="新宋体" w:eastAsia="新宋体"/>
          <w:szCs w:val="21"/>
          <w:lang w:val="zh-CN"/>
        </w:rPr>
        <w:t>对乙方的服务进行考核</w:t>
      </w:r>
      <w:r>
        <w:rPr>
          <w:rFonts w:hint="eastAsia" w:ascii="新宋体" w:hAnsi="新宋体" w:eastAsia="新宋体"/>
          <w:szCs w:val="21"/>
        </w:rPr>
        <w:t>评价</w:t>
      </w:r>
      <w:r>
        <w:rPr>
          <w:rFonts w:hint="eastAsia" w:ascii="新宋体" w:hAnsi="新宋体" w:eastAsia="新宋体"/>
          <w:szCs w:val="21"/>
          <w:lang w:val="zh-CN"/>
        </w:rPr>
        <w:t>，并</w:t>
      </w:r>
      <w:r>
        <w:rPr>
          <w:rFonts w:hint="eastAsia" w:ascii="新宋体" w:hAnsi="新宋体" w:eastAsia="新宋体"/>
          <w:szCs w:val="21"/>
        </w:rPr>
        <w:t>约定如下</w:t>
      </w:r>
      <w:r>
        <w:rPr>
          <w:rFonts w:hint="eastAsia" w:ascii="新宋体" w:hAnsi="新宋体" w:eastAsia="新宋体"/>
          <w:szCs w:val="21"/>
          <w:lang w:val="zh-CN"/>
        </w:rPr>
        <w:t>：</w:t>
      </w:r>
    </w:p>
    <w:p w14:paraId="504C86DE">
      <w:pPr>
        <w:snapToGrid w:val="0"/>
        <w:ind w:left="-840" w:leftChars="-400" w:right="-487" w:rightChars="-232" w:firstLine="420" w:firstLineChars="0"/>
        <w:rPr>
          <w:rFonts w:hint="eastAsia" w:ascii="新宋体" w:hAnsi="新宋体" w:eastAsia="新宋体"/>
          <w:szCs w:val="21"/>
        </w:rPr>
      </w:pPr>
      <w:r>
        <w:rPr>
          <w:rFonts w:hint="eastAsia" w:ascii="新宋体" w:hAnsi="新宋体" w:eastAsia="新宋体"/>
          <w:szCs w:val="21"/>
          <w:lang w:val="zh-CN"/>
        </w:rPr>
        <w:t>1、</w:t>
      </w:r>
      <w:r>
        <w:rPr>
          <w:rFonts w:hint="eastAsia" w:ascii="新宋体" w:hAnsi="新宋体" w:eastAsia="新宋体"/>
          <w:szCs w:val="21"/>
        </w:rPr>
        <w:t>维保服务到期或项目终验前，</w:t>
      </w:r>
      <w:r>
        <w:rPr>
          <w:rFonts w:hint="eastAsia" w:ascii="新宋体" w:hAnsi="新宋体" w:eastAsia="新宋体"/>
          <w:szCs w:val="21"/>
          <w:lang w:val="zh-CN"/>
        </w:rPr>
        <w:t>甲方</w:t>
      </w:r>
      <w:r>
        <w:rPr>
          <w:rFonts w:hint="eastAsia" w:ascii="新宋体" w:hAnsi="新宋体" w:eastAsia="新宋体"/>
          <w:szCs w:val="21"/>
        </w:rPr>
        <w:t>根据服务内容要求</w:t>
      </w:r>
      <w:r>
        <w:rPr>
          <w:rFonts w:hint="eastAsia" w:ascii="新宋体" w:hAnsi="新宋体" w:eastAsia="新宋体"/>
          <w:szCs w:val="21"/>
          <w:lang w:val="zh-CN"/>
        </w:rPr>
        <w:t>对乙方实行</w:t>
      </w:r>
      <w:r>
        <w:rPr>
          <w:rFonts w:hint="eastAsia" w:ascii="新宋体" w:hAnsi="新宋体" w:eastAsia="新宋体"/>
          <w:szCs w:val="21"/>
        </w:rPr>
        <w:t>评分</w:t>
      </w:r>
      <w:r>
        <w:rPr>
          <w:rFonts w:hint="eastAsia" w:ascii="新宋体" w:hAnsi="新宋体" w:eastAsia="新宋体"/>
          <w:szCs w:val="21"/>
          <w:lang w:val="zh-CN"/>
        </w:rPr>
        <w:t>，评分结果作为衡量服务质量的依据。</w:t>
      </w:r>
      <w:r>
        <w:rPr>
          <w:rFonts w:hint="eastAsia" w:ascii="新宋体" w:hAnsi="新宋体" w:eastAsia="新宋体"/>
          <w:szCs w:val="21"/>
        </w:rPr>
        <w:t>评分</w:t>
      </w:r>
      <w:r>
        <w:rPr>
          <w:rFonts w:hint="eastAsia" w:ascii="新宋体" w:hAnsi="新宋体" w:eastAsia="新宋体"/>
          <w:szCs w:val="21"/>
          <w:lang w:val="zh-CN"/>
        </w:rPr>
        <w:t>等级分为非常满意、满意、一般、不满意四档。如考核为“非常满意”或“满意”，不扣服务费</w:t>
      </w:r>
      <w:r>
        <w:rPr>
          <w:rFonts w:hint="eastAsia" w:ascii="新宋体" w:hAnsi="新宋体" w:eastAsia="新宋体"/>
          <w:szCs w:val="21"/>
        </w:rPr>
        <w:t>。</w:t>
      </w:r>
      <w:r>
        <w:rPr>
          <w:rFonts w:hint="eastAsia" w:ascii="新宋体" w:hAnsi="新宋体" w:eastAsia="新宋体"/>
          <w:szCs w:val="21"/>
          <w:lang w:val="zh-CN"/>
        </w:rPr>
        <w:t>如考核为“一般”，可扣除合同款的百分之五</w:t>
      </w:r>
      <w:r>
        <w:rPr>
          <w:rFonts w:hint="eastAsia" w:ascii="新宋体" w:hAnsi="新宋体" w:eastAsia="新宋体"/>
          <w:szCs w:val="21"/>
        </w:rPr>
        <w:t>。</w:t>
      </w:r>
    </w:p>
    <w:p w14:paraId="4E85898C">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考核为‘不满意’的，甲方有权解除合同，同时乙方应向甲方支付合同总价百分之五的违约金，同时退回甲方已支付的全部款项。由此产生的一切损失和费用由乙方承担。</w:t>
      </w:r>
    </w:p>
    <w:p w14:paraId="69B7F416">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2、若因乙方人员操作失误造成系统瘫痪超过一个工作日的，医院有权一次扣除合同金额的百分之五。对蓄意破坏信息系统设施或泄密的，一经查证，医院有权即时终止合同，涉案人员移交司法机关依法处理。</w:t>
      </w:r>
    </w:p>
    <w:p w14:paraId="4CB1D181">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3、因</w:t>
      </w:r>
      <w:r>
        <w:rPr>
          <w:rFonts w:hint="eastAsia" w:ascii="新宋体" w:hAnsi="新宋体" w:eastAsia="新宋体"/>
          <w:szCs w:val="21"/>
        </w:rPr>
        <w:t>服务考核评价</w:t>
      </w:r>
      <w:r>
        <w:rPr>
          <w:rFonts w:hint="eastAsia" w:ascii="新宋体" w:hAnsi="新宋体" w:eastAsia="新宋体"/>
          <w:szCs w:val="21"/>
          <w:lang w:val="zh-CN"/>
        </w:rPr>
        <w:t>而发生的扣罚款项，经双方项目负责人签字确认，交由医院财务部在服务款中扣除。</w:t>
      </w:r>
    </w:p>
    <w:p w14:paraId="638EB01D">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十四、违约责任</w:t>
      </w:r>
    </w:p>
    <w:p w14:paraId="4611A0C9">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乙方无正当理由逾期履行合同的，自逾期之日起，向甲方每日偿付合同总价万分之五的违约金；乙方无正当理由逾期30日不能交货的，应向甲方支付合同总价百分之五的违约金；乙方无正当理由逾期三个月不能交货的，应向甲方支付合同总价百分之十五的违约金；乙方无正当理由逾期六个月不能交货的，甲方有权解除合同，同时乙方应向甲方支付合同总价百分之三十的违约金，同时退回甲方已支付全部款项。如造成甲方损失超过违约金的，超出部分由乙方继续承担赔偿责任。</w:t>
      </w:r>
    </w:p>
    <w:p w14:paraId="0F863990">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甲方无正当理由逾期支付货款的，应向乙方每日偿付合同总价万分之五的违约金。甲方无正当理由而拒收货物、拒付货款的，应向乙方偿付合同总价百分之五的违约金。</w:t>
      </w:r>
    </w:p>
    <w:p w14:paraId="386E10BB">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十五、不可抗力事件处理</w:t>
      </w:r>
    </w:p>
    <w:p w14:paraId="1D038F7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合同有效期内，任何一方因不可抗力事件导致不能履行合同，则合同履行期可延长，其延长期与不可抗力影响期相同。</w:t>
      </w:r>
    </w:p>
    <w:p w14:paraId="67B39FF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 不可抗力事件发生后，应立即通知对方，并寄送有关权威机构出具的证明。</w:t>
      </w:r>
    </w:p>
    <w:p w14:paraId="5D59C1E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 不可抗力事件延续120天以上，双方应通过友好协商，确定是否继续履行合同。</w:t>
      </w:r>
    </w:p>
    <w:p w14:paraId="2DCB686A">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十六、诉讼</w:t>
      </w:r>
    </w:p>
    <w:p w14:paraId="53D3C605">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双方在执行合同中所发生的一切争议，应通过协商解决。如协商不成，可向甲方所在地法院起诉。</w:t>
      </w:r>
    </w:p>
    <w:p w14:paraId="67EBCAB4">
      <w:pPr>
        <w:snapToGrid w:val="0"/>
        <w:ind w:left="-420" w:leftChars="-400" w:right="-487" w:rightChars="-232" w:hanging="420" w:hangingChars="200"/>
        <w:rPr>
          <w:rFonts w:hint="eastAsia" w:ascii="新宋体" w:hAnsi="新宋体" w:eastAsia="新宋体"/>
          <w:szCs w:val="21"/>
          <w:lang w:val="zh-CN"/>
        </w:rPr>
      </w:pPr>
      <w:r>
        <w:rPr>
          <w:rFonts w:hint="eastAsia" w:ascii="新宋体" w:hAnsi="新宋体" w:eastAsia="新宋体"/>
          <w:szCs w:val="21"/>
          <w:lang w:val="zh-CN"/>
        </w:rPr>
        <w:t>十七、合同生效及其它</w:t>
      </w:r>
    </w:p>
    <w:p w14:paraId="4711161F">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1. 合同经甲、乙双方签字并加盖单位公章后生效。</w:t>
      </w:r>
    </w:p>
    <w:p w14:paraId="5106318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2.本合同未尽事宜，遵照《中华人民共和国民法典》有关规定执行。</w:t>
      </w:r>
    </w:p>
    <w:p w14:paraId="725BF004">
      <w:pPr>
        <w:snapToGrid w:val="0"/>
        <w:ind w:left="-840" w:leftChars="-400" w:right="-487" w:rightChars="-232" w:firstLine="420" w:firstLineChars="0"/>
        <w:rPr>
          <w:rFonts w:hint="eastAsia" w:ascii="新宋体" w:hAnsi="新宋体" w:eastAsia="新宋体"/>
          <w:szCs w:val="21"/>
          <w:lang w:val="zh-CN"/>
        </w:rPr>
      </w:pPr>
      <w:r>
        <w:rPr>
          <w:rFonts w:hint="eastAsia" w:ascii="新宋体" w:hAnsi="新宋体" w:eastAsia="新宋体"/>
          <w:szCs w:val="21"/>
          <w:lang w:val="zh-CN"/>
        </w:rPr>
        <w:t>3.本合同一式贰份，具有同等法律效力，甲、乙双方各执壹份。</w:t>
      </w:r>
    </w:p>
    <w:p w14:paraId="14E68B65">
      <w:pPr>
        <w:snapToGrid w:val="0"/>
        <w:ind w:left="-420" w:leftChars="-400" w:right="-487" w:rightChars="-232" w:hanging="420" w:hangingChars="200"/>
        <w:rPr>
          <w:rFonts w:hint="eastAsia" w:ascii="新宋体" w:hAnsi="新宋体" w:eastAsia="新宋体"/>
          <w:szCs w:val="21"/>
        </w:rPr>
      </w:pPr>
    </w:p>
    <w:p w14:paraId="1F4E3BF4">
      <w:pPr>
        <w:widowControl/>
        <w:jc w:val="left"/>
        <w:rPr>
          <w:rFonts w:ascii="新宋体" w:hAnsi="新宋体" w:eastAsia="新宋体"/>
          <w:szCs w:val="21"/>
          <w:u w:val="single"/>
        </w:rPr>
      </w:pPr>
      <w:r>
        <w:rPr>
          <w:rFonts w:ascii="新宋体" w:hAnsi="新宋体" w:eastAsia="新宋体"/>
          <w:szCs w:val="21"/>
          <w:u w:val="single"/>
        </w:rPr>
        <w:br w:type="page"/>
      </w:r>
    </w:p>
    <w:p w14:paraId="1B5FC8B4">
      <w:pPr>
        <w:spacing w:line="340" w:lineRule="exact"/>
        <w:ind w:left="-120" w:right="-512" w:rightChars="-244"/>
        <w:rPr>
          <w:rFonts w:ascii="新宋体" w:hAnsi="新宋体" w:eastAsia="新宋体"/>
          <w:szCs w:val="21"/>
          <w:u w:val="single"/>
        </w:rPr>
      </w:pPr>
    </w:p>
    <w:tbl>
      <w:tblPr>
        <w:tblStyle w:val="18"/>
        <w:tblpPr w:leftFromText="180" w:rightFromText="180" w:vertAnchor="text" w:horzAnchor="margin" w:tblpXSpec="center" w:tblpY="64"/>
        <w:tblW w:w="10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6"/>
        <w:gridCol w:w="5116"/>
      </w:tblGrid>
      <w:tr w14:paraId="31C6E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5256" w:type="dxa"/>
            <w:vAlign w:val="center"/>
          </w:tcPr>
          <w:p w14:paraId="038572AE">
            <w:pPr>
              <w:rPr>
                <w:rFonts w:ascii="新宋体" w:hAnsi="新宋体" w:eastAsia="新宋体"/>
                <w:szCs w:val="21"/>
              </w:rPr>
            </w:pPr>
            <w:r>
              <w:rPr>
                <w:rFonts w:hint="eastAsia" w:ascii="新宋体" w:hAnsi="新宋体" w:eastAsia="新宋体"/>
                <w:szCs w:val="21"/>
              </w:rPr>
              <w:t xml:space="preserve">甲方单位：浙江大学医学院附属妇产科医院 </w:t>
            </w:r>
          </w:p>
        </w:tc>
        <w:tc>
          <w:tcPr>
            <w:tcW w:w="5116" w:type="dxa"/>
            <w:vAlign w:val="center"/>
          </w:tcPr>
          <w:p w14:paraId="1E14F31A">
            <w:pPr>
              <w:rPr>
                <w:rFonts w:ascii="新宋体" w:hAnsi="新宋体" w:eastAsia="新宋体"/>
                <w:szCs w:val="21"/>
              </w:rPr>
            </w:pPr>
            <w:r>
              <w:rPr>
                <w:rFonts w:hint="eastAsia" w:ascii="新宋体" w:hAnsi="新宋体" w:eastAsia="新宋体"/>
                <w:szCs w:val="21"/>
              </w:rPr>
              <w:t>乙方单位：</w:t>
            </w:r>
          </w:p>
        </w:tc>
      </w:tr>
      <w:tr w14:paraId="7D82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5256" w:type="dxa"/>
            <w:vAlign w:val="center"/>
          </w:tcPr>
          <w:p w14:paraId="19D7861C">
            <w:pPr>
              <w:rPr>
                <w:rFonts w:ascii="新宋体" w:hAnsi="新宋体" w:eastAsia="新宋体"/>
                <w:szCs w:val="21"/>
              </w:rPr>
            </w:pPr>
            <w:r>
              <w:rPr>
                <w:rFonts w:hint="eastAsia" w:ascii="新宋体" w:hAnsi="新宋体" w:eastAsia="新宋体"/>
                <w:szCs w:val="21"/>
              </w:rPr>
              <w:t>地址： 浙江省杭州市上城区学士路1号浙大附属妇产科医院</w:t>
            </w:r>
          </w:p>
        </w:tc>
        <w:tc>
          <w:tcPr>
            <w:tcW w:w="5116" w:type="dxa"/>
            <w:vAlign w:val="center"/>
          </w:tcPr>
          <w:p w14:paraId="61DFE913">
            <w:pPr>
              <w:rPr>
                <w:rFonts w:ascii="新宋体" w:hAnsi="新宋体" w:eastAsia="新宋体"/>
                <w:szCs w:val="21"/>
              </w:rPr>
            </w:pPr>
            <w:r>
              <w:rPr>
                <w:rFonts w:hint="eastAsia" w:ascii="新宋体" w:hAnsi="新宋体" w:eastAsia="新宋体"/>
                <w:szCs w:val="21"/>
              </w:rPr>
              <w:t>地址：</w:t>
            </w:r>
          </w:p>
        </w:tc>
      </w:tr>
      <w:tr w14:paraId="01AA3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5256" w:type="dxa"/>
            <w:vAlign w:val="center"/>
          </w:tcPr>
          <w:p w14:paraId="5CCB7CC5">
            <w:pPr>
              <w:rPr>
                <w:rFonts w:ascii="新宋体" w:hAnsi="新宋体" w:eastAsia="新宋体"/>
                <w:szCs w:val="21"/>
              </w:rPr>
            </w:pPr>
            <w:r>
              <w:rPr>
                <w:rFonts w:hint="eastAsia" w:ascii="新宋体" w:hAnsi="新宋体" w:eastAsia="新宋体"/>
                <w:szCs w:val="21"/>
              </w:rPr>
              <w:t>电话：0571-87061501</w:t>
            </w:r>
          </w:p>
        </w:tc>
        <w:tc>
          <w:tcPr>
            <w:tcW w:w="5116" w:type="dxa"/>
            <w:vAlign w:val="center"/>
          </w:tcPr>
          <w:p w14:paraId="4FB00A13">
            <w:pPr>
              <w:rPr>
                <w:rFonts w:ascii="新宋体" w:hAnsi="新宋体" w:eastAsia="新宋体"/>
                <w:szCs w:val="21"/>
              </w:rPr>
            </w:pPr>
            <w:r>
              <w:rPr>
                <w:rFonts w:hint="eastAsia" w:ascii="新宋体" w:hAnsi="新宋体" w:eastAsia="新宋体"/>
                <w:szCs w:val="21"/>
              </w:rPr>
              <w:t>电话及手机：</w:t>
            </w:r>
          </w:p>
        </w:tc>
      </w:tr>
      <w:tr w14:paraId="668DB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5256" w:type="dxa"/>
            <w:vAlign w:val="center"/>
          </w:tcPr>
          <w:p w14:paraId="09C5A66B">
            <w:pPr>
              <w:rPr>
                <w:rFonts w:ascii="新宋体" w:hAnsi="新宋体" w:eastAsia="新宋体"/>
                <w:szCs w:val="21"/>
              </w:rPr>
            </w:pPr>
          </w:p>
        </w:tc>
        <w:tc>
          <w:tcPr>
            <w:tcW w:w="5116" w:type="dxa"/>
            <w:vAlign w:val="center"/>
          </w:tcPr>
          <w:p w14:paraId="1367E858">
            <w:pPr>
              <w:rPr>
                <w:rFonts w:ascii="新宋体" w:hAnsi="新宋体" w:eastAsia="新宋体"/>
                <w:szCs w:val="21"/>
              </w:rPr>
            </w:pPr>
            <w:r>
              <w:rPr>
                <w:rFonts w:hint="eastAsia" w:ascii="新宋体" w:hAnsi="新宋体" w:eastAsia="新宋体"/>
                <w:szCs w:val="21"/>
              </w:rPr>
              <w:t>开户行：</w:t>
            </w:r>
          </w:p>
        </w:tc>
      </w:tr>
      <w:tr w14:paraId="32034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5256" w:type="dxa"/>
            <w:vAlign w:val="center"/>
          </w:tcPr>
          <w:p w14:paraId="50A0FD4B">
            <w:pPr>
              <w:rPr>
                <w:rFonts w:ascii="新宋体" w:hAnsi="新宋体" w:eastAsia="新宋体"/>
                <w:szCs w:val="21"/>
              </w:rPr>
            </w:pPr>
            <w:r>
              <w:rPr>
                <w:rFonts w:hint="eastAsia" w:ascii="新宋体" w:hAnsi="新宋体" w:eastAsia="新宋体"/>
                <w:szCs w:val="21"/>
              </w:rPr>
              <w:t xml:space="preserve">邮编： </w:t>
            </w:r>
            <w:r>
              <w:rPr>
                <w:rFonts w:ascii="新宋体" w:hAnsi="新宋体" w:eastAsia="新宋体"/>
                <w:szCs w:val="21"/>
              </w:rPr>
              <w:t>310006</w:t>
            </w:r>
          </w:p>
        </w:tc>
        <w:tc>
          <w:tcPr>
            <w:tcW w:w="5116" w:type="dxa"/>
            <w:vAlign w:val="center"/>
          </w:tcPr>
          <w:p w14:paraId="2D416475">
            <w:pPr>
              <w:rPr>
                <w:rFonts w:ascii="新宋体" w:hAnsi="新宋体" w:eastAsia="新宋体"/>
                <w:szCs w:val="21"/>
              </w:rPr>
            </w:pPr>
            <w:r>
              <w:rPr>
                <w:rFonts w:hint="eastAsia" w:ascii="新宋体" w:hAnsi="新宋体" w:eastAsia="新宋体"/>
                <w:szCs w:val="21"/>
              </w:rPr>
              <w:t xml:space="preserve">开户账号：  </w:t>
            </w:r>
          </w:p>
        </w:tc>
      </w:tr>
      <w:tr w14:paraId="0FBF3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5256" w:type="dxa"/>
            <w:vAlign w:val="center"/>
          </w:tcPr>
          <w:p w14:paraId="44850162">
            <w:pPr>
              <w:rPr>
                <w:rFonts w:ascii="新宋体" w:hAnsi="新宋体" w:eastAsia="新宋体"/>
                <w:szCs w:val="21"/>
              </w:rPr>
            </w:pPr>
            <w:r>
              <w:rPr>
                <w:rFonts w:hint="eastAsia" w:ascii="新宋体" w:hAnsi="新宋体" w:eastAsia="新宋体"/>
                <w:szCs w:val="21"/>
              </w:rPr>
              <w:t>法定（授权）代表人：</w:t>
            </w:r>
          </w:p>
        </w:tc>
        <w:tc>
          <w:tcPr>
            <w:tcW w:w="5116" w:type="dxa"/>
            <w:vAlign w:val="center"/>
          </w:tcPr>
          <w:p w14:paraId="78FE7870">
            <w:pPr>
              <w:rPr>
                <w:rFonts w:ascii="新宋体" w:hAnsi="新宋体" w:eastAsia="新宋体"/>
                <w:szCs w:val="21"/>
              </w:rPr>
            </w:pPr>
            <w:r>
              <w:rPr>
                <w:rFonts w:hint="eastAsia" w:ascii="新宋体" w:hAnsi="新宋体" w:eastAsia="新宋体"/>
                <w:szCs w:val="21"/>
              </w:rPr>
              <w:t>法定（授权）代表人：</w:t>
            </w:r>
          </w:p>
        </w:tc>
      </w:tr>
      <w:tr w14:paraId="49DD8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5256" w:type="dxa"/>
            <w:vAlign w:val="center"/>
          </w:tcPr>
          <w:p w14:paraId="2DBEB29A">
            <w:pPr>
              <w:rPr>
                <w:rFonts w:ascii="新宋体" w:hAnsi="新宋体" w:eastAsia="新宋体"/>
                <w:szCs w:val="21"/>
              </w:rPr>
            </w:pPr>
            <w:r>
              <w:rPr>
                <w:rFonts w:hint="eastAsia" w:ascii="新宋体" w:hAnsi="新宋体" w:eastAsia="新宋体"/>
                <w:szCs w:val="21"/>
              </w:rPr>
              <w:t>甲方签订时间：</w:t>
            </w:r>
          </w:p>
        </w:tc>
        <w:tc>
          <w:tcPr>
            <w:tcW w:w="5116" w:type="dxa"/>
            <w:vAlign w:val="center"/>
          </w:tcPr>
          <w:p w14:paraId="3E598316">
            <w:pPr>
              <w:rPr>
                <w:rFonts w:ascii="新宋体" w:hAnsi="新宋体" w:eastAsia="新宋体"/>
                <w:szCs w:val="21"/>
              </w:rPr>
            </w:pPr>
            <w:r>
              <w:rPr>
                <w:rFonts w:hint="eastAsia" w:ascii="新宋体" w:hAnsi="新宋体" w:eastAsia="新宋体"/>
                <w:szCs w:val="21"/>
              </w:rPr>
              <w:t>乙方签订时间：</w:t>
            </w:r>
          </w:p>
        </w:tc>
      </w:tr>
    </w:tbl>
    <w:p w14:paraId="0BD3FA00">
      <w:pPr>
        <w:spacing w:line="340" w:lineRule="exact"/>
        <w:ind w:right="-512" w:rightChars="-244"/>
        <w:rPr>
          <w:rFonts w:ascii="新宋体" w:hAnsi="新宋体" w:eastAsia="新宋体"/>
          <w:szCs w:val="21"/>
        </w:rPr>
      </w:pPr>
      <w:r>
        <w:rPr>
          <w:rFonts w:hint="eastAsia" w:ascii="新宋体" w:hAnsi="新宋体" w:eastAsia="新宋体"/>
          <w:szCs w:val="21"/>
        </w:rPr>
        <w:t>附件：1、</w:t>
      </w:r>
      <w:r>
        <w:rPr>
          <w:rFonts w:hint="eastAsia" w:ascii="新宋体" w:hAnsi="新宋体" w:eastAsia="新宋体"/>
          <w:szCs w:val="21"/>
          <w:lang w:val="en-US" w:eastAsia="zh-CN"/>
        </w:rPr>
        <w:t>产品</w:t>
      </w:r>
      <w:r>
        <w:rPr>
          <w:rFonts w:hint="eastAsia" w:ascii="新宋体" w:hAnsi="新宋体" w:eastAsia="新宋体"/>
          <w:szCs w:val="21"/>
        </w:rPr>
        <w:t>配置清单</w:t>
      </w:r>
    </w:p>
    <w:p w14:paraId="6A314C7A">
      <w:pPr>
        <w:spacing w:line="340" w:lineRule="exact"/>
        <w:ind w:right="-512" w:rightChars="-244"/>
        <w:rPr>
          <w:rFonts w:ascii="新宋体" w:hAnsi="新宋体" w:eastAsia="新宋体"/>
          <w:szCs w:val="21"/>
        </w:rPr>
      </w:pPr>
    </w:p>
    <w:p w14:paraId="1D3C5407"/>
    <w:p w14:paraId="1AC16221">
      <w:pPr>
        <w:rPr>
          <w:b/>
          <w:bCs/>
          <w:sz w:val="32"/>
        </w:rPr>
      </w:pPr>
    </w:p>
    <w:p w14:paraId="3C907572">
      <w:pPr>
        <w:pStyle w:val="36"/>
        <w:spacing w:line="360" w:lineRule="auto"/>
        <w:jc w:val="both"/>
        <w:rPr>
          <w:rFonts w:hAnsi="宋体"/>
          <w:sz w:val="21"/>
          <w:szCs w:val="21"/>
        </w:rPr>
      </w:pPr>
    </w:p>
    <w:p w14:paraId="117939A4">
      <w:pPr>
        <w:pStyle w:val="36"/>
        <w:spacing w:line="360" w:lineRule="auto"/>
        <w:jc w:val="both"/>
        <w:rPr>
          <w:rFonts w:hAnsi="宋体"/>
          <w:sz w:val="21"/>
          <w:szCs w:val="21"/>
        </w:rPr>
      </w:pPr>
    </w:p>
    <w:p w14:paraId="748391C5">
      <w:pPr>
        <w:pStyle w:val="36"/>
        <w:spacing w:line="360" w:lineRule="auto"/>
        <w:jc w:val="both"/>
        <w:rPr>
          <w:rFonts w:hAnsi="宋体"/>
          <w:sz w:val="21"/>
          <w:szCs w:val="21"/>
        </w:rPr>
      </w:pPr>
    </w:p>
    <w:p w14:paraId="74DEF6C3">
      <w:pPr>
        <w:pStyle w:val="36"/>
        <w:spacing w:line="360" w:lineRule="auto"/>
        <w:jc w:val="both"/>
        <w:rPr>
          <w:sz w:val="21"/>
          <w:szCs w:val="21"/>
        </w:rPr>
      </w:pPr>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JEHOPL+TimesNewRomanPS">
    <w:altName w:val="宋体"/>
    <w:panose1 w:val="00000000000000000000"/>
    <w:charset w:val="86"/>
    <w:family w:val="roman"/>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1B310">
    <w:pPr>
      <w:pStyle w:val="11"/>
      <w:jc w:val="center"/>
    </w:pPr>
  </w:p>
  <w:p w14:paraId="2D49BDB5">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4240255"/>
      <w:docPartObj>
        <w:docPartGallery w:val="autotext"/>
      </w:docPartObj>
    </w:sdtPr>
    <w:sdtContent>
      <w:p w14:paraId="43D992C7">
        <w:pPr>
          <w:pStyle w:val="11"/>
          <w:jc w:val="center"/>
        </w:pPr>
        <w:r>
          <w:fldChar w:fldCharType="begin"/>
        </w:r>
        <w:r>
          <w:instrText xml:space="preserve">PAGE   \* MERGEFORMAT</w:instrText>
        </w:r>
        <w:r>
          <w:fldChar w:fldCharType="separate"/>
        </w:r>
        <w:r>
          <w:rPr>
            <w:lang w:val="zh-CN"/>
          </w:rPr>
          <w:t>-</w:t>
        </w:r>
        <w:r>
          <w:t xml:space="preserve"> 14 -</w:t>
        </w:r>
        <w:r>
          <w:fldChar w:fldCharType="end"/>
        </w:r>
      </w:p>
    </w:sdtContent>
  </w:sdt>
  <w:p w14:paraId="63D49575">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D59DE"/>
    <w:multiLevelType w:val="multilevel"/>
    <w:tmpl w:val="11ED59DE"/>
    <w:lvl w:ilvl="0" w:tentative="0">
      <w:start w:val="1"/>
      <w:numFmt w:val="chineseCountingThousand"/>
      <w:lvlText w:val="%1、"/>
      <w:lvlJc w:val="left"/>
      <w:pPr>
        <w:ind w:left="420" w:hanging="420"/>
      </w:pPr>
      <w:rPr>
        <w:rFonts w:hint="eastAsia"/>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7AE2F6F"/>
    <w:multiLevelType w:val="multilevel"/>
    <w:tmpl w:val="17AE2F6F"/>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D2660D"/>
    <w:multiLevelType w:val="singleLevel"/>
    <w:tmpl w:val="21D2660D"/>
    <w:lvl w:ilvl="0" w:tentative="0">
      <w:start w:val="1"/>
      <w:numFmt w:val="decimal"/>
      <w:lvlText w:val="(%1)"/>
      <w:lvlJc w:val="left"/>
      <w:pPr>
        <w:ind w:left="425" w:hanging="425"/>
      </w:pPr>
      <w:rPr>
        <w:rFonts w:hint="default"/>
      </w:rPr>
    </w:lvl>
  </w:abstractNum>
  <w:abstractNum w:abstractNumId="3">
    <w:nsid w:val="254DB84F"/>
    <w:multiLevelType w:val="singleLevel"/>
    <w:tmpl w:val="254DB84F"/>
    <w:lvl w:ilvl="0" w:tentative="0">
      <w:start w:val="1"/>
      <w:numFmt w:val="decimal"/>
      <w:lvlText w:val="%1."/>
      <w:lvlJc w:val="left"/>
      <w:pPr>
        <w:ind w:left="425" w:hanging="425"/>
      </w:pPr>
      <w:rPr>
        <w:rFonts w:hint="default"/>
      </w:rPr>
    </w:lvl>
  </w:abstractNum>
  <w:abstractNum w:abstractNumId="4">
    <w:nsid w:val="2C130A52"/>
    <w:multiLevelType w:val="multilevel"/>
    <w:tmpl w:val="2C130A52"/>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ACB42E1"/>
    <w:multiLevelType w:val="multilevel"/>
    <w:tmpl w:val="3ACB42E1"/>
    <w:lvl w:ilvl="0" w:tentative="0">
      <w:start w:val="1"/>
      <w:numFmt w:val="decimal"/>
      <w:lvlText w:val="%1"/>
      <w:lvlJc w:val="left"/>
      <w:pPr>
        <w:ind w:left="420" w:hanging="420"/>
      </w:pPr>
      <w:rPr>
        <w:rFonts w:hint="eastAsia" w:cs="Times New Roman"/>
        <w:b/>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ED070F4"/>
    <w:multiLevelType w:val="multilevel"/>
    <w:tmpl w:val="6ED070F4"/>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46F1DD8"/>
    <w:multiLevelType w:val="multilevel"/>
    <w:tmpl w:val="746F1DD8"/>
    <w:lvl w:ilvl="0" w:tentative="0">
      <w:start w:val="1"/>
      <w:numFmt w:val="chineseCountingThousand"/>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num>
  <w:num w:numId="2">
    <w:abstractNumId w:val="7"/>
  </w:num>
  <w:num w:numId="3">
    <w:abstractNumId w:val="0"/>
  </w:num>
  <w:num w:numId="4">
    <w:abstractNumId w:val="1"/>
  </w:num>
  <w:num w:numId="5">
    <w:abstractNumId w:val="5"/>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mNzlmNjMxNmM3ZWZkYmQ3ODBhZGE0N2M5NzFmMWEifQ=="/>
  </w:docVars>
  <w:rsids>
    <w:rsidRoot w:val="00C05BD5"/>
    <w:rsid w:val="00000318"/>
    <w:rsid w:val="00000CCC"/>
    <w:rsid w:val="00002EB5"/>
    <w:rsid w:val="00003653"/>
    <w:rsid w:val="00004888"/>
    <w:rsid w:val="00006F2E"/>
    <w:rsid w:val="00007354"/>
    <w:rsid w:val="0001522E"/>
    <w:rsid w:val="0001525E"/>
    <w:rsid w:val="00015FCC"/>
    <w:rsid w:val="00017807"/>
    <w:rsid w:val="00017E52"/>
    <w:rsid w:val="00020BA1"/>
    <w:rsid w:val="00023C6A"/>
    <w:rsid w:val="00023F2D"/>
    <w:rsid w:val="0002520A"/>
    <w:rsid w:val="00025279"/>
    <w:rsid w:val="00026100"/>
    <w:rsid w:val="00026E97"/>
    <w:rsid w:val="00027E1D"/>
    <w:rsid w:val="000312B3"/>
    <w:rsid w:val="00031E9C"/>
    <w:rsid w:val="00032962"/>
    <w:rsid w:val="00033ACD"/>
    <w:rsid w:val="00034086"/>
    <w:rsid w:val="0003497A"/>
    <w:rsid w:val="00034A50"/>
    <w:rsid w:val="000361C9"/>
    <w:rsid w:val="000370B9"/>
    <w:rsid w:val="000419BF"/>
    <w:rsid w:val="000422C7"/>
    <w:rsid w:val="000461FD"/>
    <w:rsid w:val="000464C0"/>
    <w:rsid w:val="000500D2"/>
    <w:rsid w:val="000534FF"/>
    <w:rsid w:val="0005585E"/>
    <w:rsid w:val="00055F0B"/>
    <w:rsid w:val="000565A1"/>
    <w:rsid w:val="00056DF4"/>
    <w:rsid w:val="000607E0"/>
    <w:rsid w:val="00060EE1"/>
    <w:rsid w:val="00061CA5"/>
    <w:rsid w:val="00061D71"/>
    <w:rsid w:val="00062499"/>
    <w:rsid w:val="00063A49"/>
    <w:rsid w:val="0006462A"/>
    <w:rsid w:val="000656C3"/>
    <w:rsid w:val="00065C48"/>
    <w:rsid w:val="0006609A"/>
    <w:rsid w:val="0006653E"/>
    <w:rsid w:val="0007499E"/>
    <w:rsid w:val="00074B01"/>
    <w:rsid w:val="00075657"/>
    <w:rsid w:val="00076012"/>
    <w:rsid w:val="00076D1B"/>
    <w:rsid w:val="00080F91"/>
    <w:rsid w:val="00081E36"/>
    <w:rsid w:val="000834F7"/>
    <w:rsid w:val="00085FBE"/>
    <w:rsid w:val="0008634C"/>
    <w:rsid w:val="000870AF"/>
    <w:rsid w:val="00090BA3"/>
    <w:rsid w:val="000926FA"/>
    <w:rsid w:val="000954B6"/>
    <w:rsid w:val="000A0BC0"/>
    <w:rsid w:val="000A0ED1"/>
    <w:rsid w:val="000A10E3"/>
    <w:rsid w:val="000A1AC7"/>
    <w:rsid w:val="000A1EFD"/>
    <w:rsid w:val="000B0F9C"/>
    <w:rsid w:val="000B1C48"/>
    <w:rsid w:val="000B4516"/>
    <w:rsid w:val="000B529E"/>
    <w:rsid w:val="000B6E39"/>
    <w:rsid w:val="000C018D"/>
    <w:rsid w:val="000C049D"/>
    <w:rsid w:val="000C06BC"/>
    <w:rsid w:val="000C1A40"/>
    <w:rsid w:val="000C3355"/>
    <w:rsid w:val="000D1899"/>
    <w:rsid w:val="000D395A"/>
    <w:rsid w:val="000D4078"/>
    <w:rsid w:val="000D56B2"/>
    <w:rsid w:val="000D7E28"/>
    <w:rsid w:val="000E1C37"/>
    <w:rsid w:val="000E208C"/>
    <w:rsid w:val="000E38A0"/>
    <w:rsid w:val="000E7E40"/>
    <w:rsid w:val="000F0931"/>
    <w:rsid w:val="000F6D42"/>
    <w:rsid w:val="000F713C"/>
    <w:rsid w:val="000F7B1D"/>
    <w:rsid w:val="001006FF"/>
    <w:rsid w:val="00100DA6"/>
    <w:rsid w:val="00101D20"/>
    <w:rsid w:val="00103A55"/>
    <w:rsid w:val="0010578A"/>
    <w:rsid w:val="001059CE"/>
    <w:rsid w:val="00105D50"/>
    <w:rsid w:val="00105DB9"/>
    <w:rsid w:val="001064EA"/>
    <w:rsid w:val="00106CF2"/>
    <w:rsid w:val="00110410"/>
    <w:rsid w:val="00114084"/>
    <w:rsid w:val="0012134D"/>
    <w:rsid w:val="00123455"/>
    <w:rsid w:val="00123DF8"/>
    <w:rsid w:val="00124F73"/>
    <w:rsid w:val="00126001"/>
    <w:rsid w:val="00127094"/>
    <w:rsid w:val="00131401"/>
    <w:rsid w:val="00131529"/>
    <w:rsid w:val="00131CAB"/>
    <w:rsid w:val="00132B4E"/>
    <w:rsid w:val="00133532"/>
    <w:rsid w:val="00134B45"/>
    <w:rsid w:val="0013597E"/>
    <w:rsid w:val="00135B98"/>
    <w:rsid w:val="00140BCC"/>
    <w:rsid w:val="0014305A"/>
    <w:rsid w:val="0014396A"/>
    <w:rsid w:val="0014434D"/>
    <w:rsid w:val="00145699"/>
    <w:rsid w:val="001474B3"/>
    <w:rsid w:val="00147569"/>
    <w:rsid w:val="001517EA"/>
    <w:rsid w:val="00153429"/>
    <w:rsid w:val="001536BF"/>
    <w:rsid w:val="0015442D"/>
    <w:rsid w:val="00154DCD"/>
    <w:rsid w:val="00154E5F"/>
    <w:rsid w:val="0015603A"/>
    <w:rsid w:val="00161D83"/>
    <w:rsid w:val="00162EE5"/>
    <w:rsid w:val="0016655B"/>
    <w:rsid w:val="00166956"/>
    <w:rsid w:val="00166A6E"/>
    <w:rsid w:val="001735B8"/>
    <w:rsid w:val="00173BC2"/>
    <w:rsid w:val="00174E00"/>
    <w:rsid w:val="00175E54"/>
    <w:rsid w:val="00183DA2"/>
    <w:rsid w:val="00183F71"/>
    <w:rsid w:val="00184286"/>
    <w:rsid w:val="00186063"/>
    <w:rsid w:val="00186AB7"/>
    <w:rsid w:val="00187B4E"/>
    <w:rsid w:val="00190293"/>
    <w:rsid w:val="001915BC"/>
    <w:rsid w:val="00192CB0"/>
    <w:rsid w:val="001945F2"/>
    <w:rsid w:val="0019462E"/>
    <w:rsid w:val="0019533B"/>
    <w:rsid w:val="00196428"/>
    <w:rsid w:val="001A0877"/>
    <w:rsid w:val="001A16DC"/>
    <w:rsid w:val="001A42FB"/>
    <w:rsid w:val="001A477F"/>
    <w:rsid w:val="001A4A98"/>
    <w:rsid w:val="001A6847"/>
    <w:rsid w:val="001B020B"/>
    <w:rsid w:val="001B1935"/>
    <w:rsid w:val="001B474C"/>
    <w:rsid w:val="001B7C87"/>
    <w:rsid w:val="001B7E63"/>
    <w:rsid w:val="001C0D02"/>
    <w:rsid w:val="001C12A0"/>
    <w:rsid w:val="001C31F8"/>
    <w:rsid w:val="001C35E1"/>
    <w:rsid w:val="001C3F3C"/>
    <w:rsid w:val="001C42CB"/>
    <w:rsid w:val="001C5345"/>
    <w:rsid w:val="001C7BC9"/>
    <w:rsid w:val="001C7E5A"/>
    <w:rsid w:val="001D024D"/>
    <w:rsid w:val="001D0253"/>
    <w:rsid w:val="001D0281"/>
    <w:rsid w:val="001D4713"/>
    <w:rsid w:val="001D69AF"/>
    <w:rsid w:val="001E199E"/>
    <w:rsid w:val="001E1EA5"/>
    <w:rsid w:val="001E27E2"/>
    <w:rsid w:val="001E2BBF"/>
    <w:rsid w:val="001E3A60"/>
    <w:rsid w:val="001E6631"/>
    <w:rsid w:val="001E6FF1"/>
    <w:rsid w:val="001E751E"/>
    <w:rsid w:val="001F114C"/>
    <w:rsid w:val="001F29C1"/>
    <w:rsid w:val="001F3001"/>
    <w:rsid w:val="001F508A"/>
    <w:rsid w:val="001F5425"/>
    <w:rsid w:val="002039C7"/>
    <w:rsid w:val="00203BC2"/>
    <w:rsid w:val="00204BA6"/>
    <w:rsid w:val="002079BA"/>
    <w:rsid w:val="00210814"/>
    <w:rsid w:val="00210CA0"/>
    <w:rsid w:val="00210D41"/>
    <w:rsid w:val="002121F4"/>
    <w:rsid w:val="002137B4"/>
    <w:rsid w:val="00215232"/>
    <w:rsid w:val="002159DD"/>
    <w:rsid w:val="00216639"/>
    <w:rsid w:val="0022248C"/>
    <w:rsid w:val="00223DA7"/>
    <w:rsid w:val="00227614"/>
    <w:rsid w:val="00227A2E"/>
    <w:rsid w:val="00230397"/>
    <w:rsid w:val="002303F9"/>
    <w:rsid w:val="0023247F"/>
    <w:rsid w:val="002335CF"/>
    <w:rsid w:val="00233E82"/>
    <w:rsid w:val="00235D10"/>
    <w:rsid w:val="0023627E"/>
    <w:rsid w:val="00236D7A"/>
    <w:rsid w:val="00240590"/>
    <w:rsid w:val="002451DA"/>
    <w:rsid w:val="002473D8"/>
    <w:rsid w:val="0025044E"/>
    <w:rsid w:val="00250DC4"/>
    <w:rsid w:val="00251A93"/>
    <w:rsid w:val="00253AEF"/>
    <w:rsid w:val="00254044"/>
    <w:rsid w:val="00256F68"/>
    <w:rsid w:val="002605AA"/>
    <w:rsid w:val="00260CAE"/>
    <w:rsid w:val="00261D2D"/>
    <w:rsid w:val="00261E37"/>
    <w:rsid w:val="002660AC"/>
    <w:rsid w:val="00266D7D"/>
    <w:rsid w:val="00270CFC"/>
    <w:rsid w:val="002715BD"/>
    <w:rsid w:val="0027398A"/>
    <w:rsid w:val="002741C1"/>
    <w:rsid w:val="0027459D"/>
    <w:rsid w:val="0027512F"/>
    <w:rsid w:val="00275B22"/>
    <w:rsid w:val="00280B0F"/>
    <w:rsid w:val="002816F4"/>
    <w:rsid w:val="00283270"/>
    <w:rsid w:val="00283678"/>
    <w:rsid w:val="00283F6F"/>
    <w:rsid w:val="00284F72"/>
    <w:rsid w:val="002852F6"/>
    <w:rsid w:val="0028743B"/>
    <w:rsid w:val="00290C56"/>
    <w:rsid w:val="0029260D"/>
    <w:rsid w:val="00292844"/>
    <w:rsid w:val="00292D2D"/>
    <w:rsid w:val="00294D9E"/>
    <w:rsid w:val="002959EA"/>
    <w:rsid w:val="0029677A"/>
    <w:rsid w:val="002A0995"/>
    <w:rsid w:val="002A2FAF"/>
    <w:rsid w:val="002A5000"/>
    <w:rsid w:val="002A5FE0"/>
    <w:rsid w:val="002B1BFA"/>
    <w:rsid w:val="002B1FE4"/>
    <w:rsid w:val="002B248A"/>
    <w:rsid w:val="002B249F"/>
    <w:rsid w:val="002B2C51"/>
    <w:rsid w:val="002B2EF7"/>
    <w:rsid w:val="002B3FBF"/>
    <w:rsid w:val="002B456B"/>
    <w:rsid w:val="002B4D82"/>
    <w:rsid w:val="002B5A45"/>
    <w:rsid w:val="002B5DDE"/>
    <w:rsid w:val="002C1CEE"/>
    <w:rsid w:val="002C221F"/>
    <w:rsid w:val="002C36ED"/>
    <w:rsid w:val="002C4F1F"/>
    <w:rsid w:val="002C5036"/>
    <w:rsid w:val="002C5A76"/>
    <w:rsid w:val="002C6BF4"/>
    <w:rsid w:val="002D08D8"/>
    <w:rsid w:val="002D2EFA"/>
    <w:rsid w:val="002D3A67"/>
    <w:rsid w:val="002D4531"/>
    <w:rsid w:val="002D4E15"/>
    <w:rsid w:val="002D502E"/>
    <w:rsid w:val="002E074C"/>
    <w:rsid w:val="002E1AEE"/>
    <w:rsid w:val="002E2175"/>
    <w:rsid w:val="002E44E1"/>
    <w:rsid w:val="002E49B0"/>
    <w:rsid w:val="002E5595"/>
    <w:rsid w:val="002E6671"/>
    <w:rsid w:val="002F06B6"/>
    <w:rsid w:val="002F0D5E"/>
    <w:rsid w:val="002F1869"/>
    <w:rsid w:val="002F3963"/>
    <w:rsid w:val="002F39BB"/>
    <w:rsid w:val="00300E88"/>
    <w:rsid w:val="00301363"/>
    <w:rsid w:val="00301D4C"/>
    <w:rsid w:val="00303338"/>
    <w:rsid w:val="003039F8"/>
    <w:rsid w:val="0030639B"/>
    <w:rsid w:val="003071C0"/>
    <w:rsid w:val="00310097"/>
    <w:rsid w:val="00312092"/>
    <w:rsid w:val="00313D70"/>
    <w:rsid w:val="0031425E"/>
    <w:rsid w:val="0031616D"/>
    <w:rsid w:val="00316A3F"/>
    <w:rsid w:val="00322244"/>
    <w:rsid w:val="00323833"/>
    <w:rsid w:val="0032408B"/>
    <w:rsid w:val="003240B6"/>
    <w:rsid w:val="003261B2"/>
    <w:rsid w:val="003276DD"/>
    <w:rsid w:val="00327792"/>
    <w:rsid w:val="00327EF1"/>
    <w:rsid w:val="00332286"/>
    <w:rsid w:val="00332591"/>
    <w:rsid w:val="003335F3"/>
    <w:rsid w:val="0033521E"/>
    <w:rsid w:val="0033537A"/>
    <w:rsid w:val="00337AA5"/>
    <w:rsid w:val="00340847"/>
    <w:rsid w:val="0034194B"/>
    <w:rsid w:val="00341B85"/>
    <w:rsid w:val="003427D3"/>
    <w:rsid w:val="00342D39"/>
    <w:rsid w:val="0034341A"/>
    <w:rsid w:val="00343664"/>
    <w:rsid w:val="003444D5"/>
    <w:rsid w:val="00344A14"/>
    <w:rsid w:val="00344E2F"/>
    <w:rsid w:val="003453CF"/>
    <w:rsid w:val="003457E2"/>
    <w:rsid w:val="00345E72"/>
    <w:rsid w:val="0035118A"/>
    <w:rsid w:val="003555BC"/>
    <w:rsid w:val="00355937"/>
    <w:rsid w:val="00355E55"/>
    <w:rsid w:val="00357A76"/>
    <w:rsid w:val="0036023C"/>
    <w:rsid w:val="00360497"/>
    <w:rsid w:val="0036139C"/>
    <w:rsid w:val="00361845"/>
    <w:rsid w:val="003631E3"/>
    <w:rsid w:val="003634AD"/>
    <w:rsid w:val="003658A4"/>
    <w:rsid w:val="003712BE"/>
    <w:rsid w:val="003713FE"/>
    <w:rsid w:val="00371F65"/>
    <w:rsid w:val="00373E6C"/>
    <w:rsid w:val="0037405D"/>
    <w:rsid w:val="00374EE1"/>
    <w:rsid w:val="003753EF"/>
    <w:rsid w:val="003758CE"/>
    <w:rsid w:val="00375E40"/>
    <w:rsid w:val="00376F9D"/>
    <w:rsid w:val="003817C6"/>
    <w:rsid w:val="003822CC"/>
    <w:rsid w:val="00387240"/>
    <w:rsid w:val="00392861"/>
    <w:rsid w:val="00393BB8"/>
    <w:rsid w:val="00395635"/>
    <w:rsid w:val="00395820"/>
    <w:rsid w:val="003A15EB"/>
    <w:rsid w:val="003A186C"/>
    <w:rsid w:val="003A3F57"/>
    <w:rsid w:val="003B08E0"/>
    <w:rsid w:val="003B0CA1"/>
    <w:rsid w:val="003B2618"/>
    <w:rsid w:val="003B2725"/>
    <w:rsid w:val="003B36A9"/>
    <w:rsid w:val="003B3A42"/>
    <w:rsid w:val="003B40F4"/>
    <w:rsid w:val="003B4FFD"/>
    <w:rsid w:val="003B53D3"/>
    <w:rsid w:val="003C0106"/>
    <w:rsid w:val="003C17CF"/>
    <w:rsid w:val="003C1F8E"/>
    <w:rsid w:val="003C3A1D"/>
    <w:rsid w:val="003C6BEC"/>
    <w:rsid w:val="003C6C2A"/>
    <w:rsid w:val="003D0D92"/>
    <w:rsid w:val="003D212F"/>
    <w:rsid w:val="003D2907"/>
    <w:rsid w:val="003D329D"/>
    <w:rsid w:val="003D3C26"/>
    <w:rsid w:val="003D3F36"/>
    <w:rsid w:val="003D4E3D"/>
    <w:rsid w:val="003D4ED4"/>
    <w:rsid w:val="003D584A"/>
    <w:rsid w:val="003D6E53"/>
    <w:rsid w:val="003D6E63"/>
    <w:rsid w:val="003E1649"/>
    <w:rsid w:val="003E21E1"/>
    <w:rsid w:val="003E26E3"/>
    <w:rsid w:val="003E2C1F"/>
    <w:rsid w:val="003E2CA9"/>
    <w:rsid w:val="003E3ABC"/>
    <w:rsid w:val="003E6B8B"/>
    <w:rsid w:val="003E7BAF"/>
    <w:rsid w:val="003F1786"/>
    <w:rsid w:val="003F1CA5"/>
    <w:rsid w:val="003F337E"/>
    <w:rsid w:val="003F4BF9"/>
    <w:rsid w:val="003F6398"/>
    <w:rsid w:val="003F7492"/>
    <w:rsid w:val="003F77C2"/>
    <w:rsid w:val="003F7D2D"/>
    <w:rsid w:val="00400A17"/>
    <w:rsid w:val="00400B49"/>
    <w:rsid w:val="00401435"/>
    <w:rsid w:val="00401D19"/>
    <w:rsid w:val="004024CF"/>
    <w:rsid w:val="00404B4A"/>
    <w:rsid w:val="00404DB8"/>
    <w:rsid w:val="00405D6B"/>
    <w:rsid w:val="004063CA"/>
    <w:rsid w:val="00407E99"/>
    <w:rsid w:val="00410B9F"/>
    <w:rsid w:val="00410CD3"/>
    <w:rsid w:val="00411797"/>
    <w:rsid w:val="00413AD2"/>
    <w:rsid w:val="004148F0"/>
    <w:rsid w:val="00416E7B"/>
    <w:rsid w:val="004170DB"/>
    <w:rsid w:val="00420607"/>
    <w:rsid w:val="00421C6C"/>
    <w:rsid w:val="00421DD3"/>
    <w:rsid w:val="00421E32"/>
    <w:rsid w:val="00422650"/>
    <w:rsid w:val="00423882"/>
    <w:rsid w:val="00423CDD"/>
    <w:rsid w:val="004251BF"/>
    <w:rsid w:val="00425B7A"/>
    <w:rsid w:val="00426879"/>
    <w:rsid w:val="00430773"/>
    <w:rsid w:val="00430C45"/>
    <w:rsid w:val="00441231"/>
    <w:rsid w:val="00441C98"/>
    <w:rsid w:val="0044273D"/>
    <w:rsid w:val="00445425"/>
    <w:rsid w:val="004462F0"/>
    <w:rsid w:val="00446E5E"/>
    <w:rsid w:val="00447025"/>
    <w:rsid w:val="0044770D"/>
    <w:rsid w:val="00447EBC"/>
    <w:rsid w:val="004501F8"/>
    <w:rsid w:val="00451BC5"/>
    <w:rsid w:val="004525FE"/>
    <w:rsid w:val="00454CAF"/>
    <w:rsid w:val="00455889"/>
    <w:rsid w:val="004565AC"/>
    <w:rsid w:val="0045663F"/>
    <w:rsid w:val="00456972"/>
    <w:rsid w:val="004572E1"/>
    <w:rsid w:val="00457E81"/>
    <w:rsid w:val="00461F36"/>
    <w:rsid w:val="004626AF"/>
    <w:rsid w:val="00463455"/>
    <w:rsid w:val="00465388"/>
    <w:rsid w:val="00465D71"/>
    <w:rsid w:val="00467A4A"/>
    <w:rsid w:val="004713D9"/>
    <w:rsid w:val="00471495"/>
    <w:rsid w:val="004729B4"/>
    <w:rsid w:val="00472D7E"/>
    <w:rsid w:val="0047417B"/>
    <w:rsid w:val="004763AB"/>
    <w:rsid w:val="00476EA0"/>
    <w:rsid w:val="00477D4B"/>
    <w:rsid w:val="00480383"/>
    <w:rsid w:val="0048104D"/>
    <w:rsid w:val="00481F9D"/>
    <w:rsid w:val="00484490"/>
    <w:rsid w:val="00485497"/>
    <w:rsid w:val="00487196"/>
    <w:rsid w:val="004876C5"/>
    <w:rsid w:val="00490544"/>
    <w:rsid w:val="0049098D"/>
    <w:rsid w:val="00490F4B"/>
    <w:rsid w:val="00490FAA"/>
    <w:rsid w:val="004931C6"/>
    <w:rsid w:val="004948E4"/>
    <w:rsid w:val="004954AE"/>
    <w:rsid w:val="00495EF5"/>
    <w:rsid w:val="00496215"/>
    <w:rsid w:val="004973B6"/>
    <w:rsid w:val="004A0A37"/>
    <w:rsid w:val="004A28A8"/>
    <w:rsid w:val="004A3FA5"/>
    <w:rsid w:val="004A57E5"/>
    <w:rsid w:val="004A7452"/>
    <w:rsid w:val="004A7990"/>
    <w:rsid w:val="004B052D"/>
    <w:rsid w:val="004B5C46"/>
    <w:rsid w:val="004B71F0"/>
    <w:rsid w:val="004C01BA"/>
    <w:rsid w:val="004C0B67"/>
    <w:rsid w:val="004C2E6D"/>
    <w:rsid w:val="004C49E5"/>
    <w:rsid w:val="004C4E08"/>
    <w:rsid w:val="004C620C"/>
    <w:rsid w:val="004C6D01"/>
    <w:rsid w:val="004C6F81"/>
    <w:rsid w:val="004C736B"/>
    <w:rsid w:val="004C7418"/>
    <w:rsid w:val="004D0FA0"/>
    <w:rsid w:val="004D1A50"/>
    <w:rsid w:val="004D1D7D"/>
    <w:rsid w:val="004D1FC9"/>
    <w:rsid w:val="004E1CD3"/>
    <w:rsid w:val="004E2603"/>
    <w:rsid w:val="004E2CCB"/>
    <w:rsid w:val="004E30A9"/>
    <w:rsid w:val="004E3489"/>
    <w:rsid w:val="004E35B2"/>
    <w:rsid w:val="004E7B50"/>
    <w:rsid w:val="004F0C2C"/>
    <w:rsid w:val="004F26A2"/>
    <w:rsid w:val="004F2A5D"/>
    <w:rsid w:val="004F4177"/>
    <w:rsid w:val="004F4BDF"/>
    <w:rsid w:val="00501054"/>
    <w:rsid w:val="005018D3"/>
    <w:rsid w:val="005044B8"/>
    <w:rsid w:val="0050472F"/>
    <w:rsid w:val="00504A0F"/>
    <w:rsid w:val="00506350"/>
    <w:rsid w:val="0050702D"/>
    <w:rsid w:val="00511813"/>
    <w:rsid w:val="00513559"/>
    <w:rsid w:val="005137AA"/>
    <w:rsid w:val="00515813"/>
    <w:rsid w:val="00517AE9"/>
    <w:rsid w:val="00520674"/>
    <w:rsid w:val="00522388"/>
    <w:rsid w:val="00522BAA"/>
    <w:rsid w:val="00524F4E"/>
    <w:rsid w:val="00525DDB"/>
    <w:rsid w:val="00525E90"/>
    <w:rsid w:val="005261CC"/>
    <w:rsid w:val="005263D0"/>
    <w:rsid w:val="005267AF"/>
    <w:rsid w:val="00531057"/>
    <w:rsid w:val="00531368"/>
    <w:rsid w:val="00532FD8"/>
    <w:rsid w:val="005338FD"/>
    <w:rsid w:val="005372BA"/>
    <w:rsid w:val="005377C3"/>
    <w:rsid w:val="0054030E"/>
    <w:rsid w:val="00543A95"/>
    <w:rsid w:val="00544315"/>
    <w:rsid w:val="0054509B"/>
    <w:rsid w:val="005453ED"/>
    <w:rsid w:val="0054577A"/>
    <w:rsid w:val="005460C1"/>
    <w:rsid w:val="0054647C"/>
    <w:rsid w:val="0055011C"/>
    <w:rsid w:val="005505D0"/>
    <w:rsid w:val="00550E7F"/>
    <w:rsid w:val="0055179B"/>
    <w:rsid w:val="00553EE5"/>
    <w:rsid w:val="0055519B"/>
    <w:rsid w:val="0055542A"/>
    <w:rsid w:val="005557DD"/>
    <w:rsid w:val="00556665"/>
    <w:rsid w:val="005647E3"/>
    <w:rsid w:val="0056482B"/>
    <w:rsid w:val="005660C7"/>
    <w:rsid w:val="005660DB"/>
    <w:rsid w:val="00566219"/>
    <w:rsid w:val="0056710D"/>
    <w:rsid w:val="00567642"/>
    <w:rsid w:val="00567EBF"/>
    <w:rsid w:val="00571F7F"/>
    <w:rsid w:val="00572E8D"/>
    <w:rsid w:val="00574294"/>
    <w:rsid w:val="005748F4"/>
    <w:rsid w:val="00574FF5"/>
    <w:rsid w:val="0057516C"/>
    <w:rsid w:val="00575A91"/>
    <w:rsid w:val="00576628"/>
    <w:rsid w:val="00576B33"/>
    <w:rsid w:val="005803A2"/>
    <w:rsid w:val="00581FC6"/>
    <w:rsid w:val="00582E41"/>
    <w:rsid w:val="005849CB"/>
    <w:rsid w:val="005851D0"/>
    <w:rsid w:val="0058785F"/>
    <w:rsid w:val="00590AAE"/>
    <w:rsid w:val="005918CF"/>
    <w:rsid w:val="005935F5"/>
    <w:rsid w:val="00593825"/>
    <w:rsid w:val="00594E78"/>
    <w:rsid w:val="00595CE5"/>
    <w:rsid w:val="00595E4A"/>
    <w:rsid w:val="005A033C"/>
    <w:rsid w:val="005A1AB3"/>
    <w:rsid w:val="005A2394"/>
    <w:rsid w:val="005A2644"/>
    <w:rsid w:val="005A26AD"/>
    <w:rsid w:val="005A3FB4"/>
    <w:rsid w:val="005A41B2"/>
    <w:rsid w:val="005A481D"/>
    <w:rsid w:val="005A5163"/>
    <w:rsid w:val="005A66B6"/>
    <w:rsid w:val="005A7017"/>
    <w:rsid w:val="005B0ADB"/>
    <w:rsid w:val="005B16A8"/>
    <w:rsid w:val="005B1951"/>
    <w:rsid w:val="005B24A7"/>
    <w:rsid w:val="005B27AE"/>
    <w:rsid w:val="005B349A"/>
    <w:rsid w:val="005B3DF7"/>
    <w:rsid w:val="005B58BD"/>
    <w:rsid w:val="005B603B"/>
    <w:rsid w:val="005B60FF"/>
    <w:rsid w:val="005B712F"/>
    <w:rsid w:val="005B79A5"/>
    <w:rsid w:val="005B7A83"/>
    <w:rsid w:val="005C056A"/>
    <w:rsid w:val="005C3449"/>
    <w:rsid w:val="005C420F"/>
    <w:rsid w:val="005C54D4"/>
    <w:rsid w:val="005C6E16"/>
    <w:rsid w:val="005C706D"/>
    <w:rsid w:val="005C7BF8"/>
    <w:rsid w:val="005D0387"/>
    <w:rsid w:val="005D0425"/>
    <w:rsid w:val="005D1CD4"/>
    <w:rsid w:val="005D1D27"/>
    <w:rsid w:val="005D25DD"/>
    <w:rsid w:val="005D3A03"/>
    <w:rsid w:val="005D3B80"/>
    <w:rsid w:val="005D6AB3"/>
    <w:rsid w:val="005D6D46"/>
    <w:rsid w:val="005D6E69"/>
    <w:rsid w:val="005D7E0C"/>
    <w:rsid w:val="005E1353"/>
    <w:rsid w:val="005E27CD"/>
    <w:rsid w:val="005F0825"/>
    <w:rsid w:val="005F0EEF"/>
    <w:rsid w:val="005F2045"/>
    <w:rsid w:val="005F5748"/>
    <w:rsid w:val="005F7584"/>
    <w:rsid w:val="005F7BE5"/>
    <w:rsid w:val="005F7FE5"/>
    <w:rsid w:val="0060256E"/>
    <w:rsid w:val="006038B6"/>
    <w:rsid w:val="00603DF4"/>
    <w:rsid w:val="0060493D"/>
    <w:rsid w:val="006053AA"/>
    <w:rsid w:val="006064FE"/>
    <w:rsid w:val="0060679D"/>
    <w:rsid w:val="006077F3"/>
    <w:rsid w:val="0061119E"/>
    <w:rsid w:val="00613DD4"/>
    <w:rsid w:val="00614091"/>
    <w:rsid w:val="00615E9A"/>
    <w:rsid w:val="0061618B"/>
    <w:rsid w:val="00616573"/>
    <w:rsid w:val="006167D9"/>
    <w:rsid w:val="00620935"/>
    <w:rsid w:val="00620981"/>
    <w:rsid w:val="00621B3B"/>
    <w:rsid w:val="006246AC"/>
    <w:rsid w:val="006258CA"/>
    <w:rsid w:val="006273ED"/>
    <w:rsid w:val="0062758E"/>
    <w:rsid w:val="00630CCF"/>
    <w:rsid w:val="00631088"/>
    <w:rsid w:val="00631F72"/>
    <w:rsid w:val="00632471"/>
    <w:rsid w:val="006329A2"/>
    <w:rsid w:val="00634202"/>
    <w:rsid w:val="00637E50"/>
    <w:rsid w:val="0064233E"/>
    <w:rsid w:val="006424D4"/>
    <w:rsid w:val="00645401"/>
    <w:rsid w:val="006459CD"/>
    <w:rsid w:val="00645A28"/>
    <w:rsid w:val="00651D24"/>
    <w:rsid w:val="00652B87"/>
    <w:rsid w:val="00652DB0"/>
    <w:rsid w:val="006534A2"/>
    <w:rsid w:val="006536F5"/>
    <w:rsid w:val="00653A65"/>
    <w:rsid w:val="00654A4B"/>
    <w:rsid w:val="00655C02"/>
    <w:rsid w:val="00661151"/>
    <w:rsid w:val="00662903"/>
    <w:rsid w:val="00662EBA"/>
    <w:rsid w:val="00663F0B"/>
    <w:rsid w:val="0066531C"/>
    <w:rsid w:val="0066590A"/>
    <w:rsid w:val="0066666D"/>
    <w:rsid w:val="00667CE4"/>
    <w:rsid w:val="0067007F"/>
    <w:rsid w:val="00670BBD"/>
    <w:rsid w:val="00670D91"/>
    <w:rsid w:val="00670FDB"/>
    <w:rsid w:val="006713BC"/>
    <w:rsid w:val="006714FE"/>
    <w:rsid w:val="0067278B"/>
    <w:rsid w:val="00675DCC"/>
    <w:rsid w:val="00677AA2"/>
    <w:rsid w:val="00677B11"/>
    <w:rsid w:val="00682B9B"/>
    <w:rsid w:val="00682D83"/>
    <w:rsid w:val="006833B9"/>
    <w:rsid w:val="006836CC"/>
    <w:rsid w:val="00684FD7"/>
    <w:rsid w:val="006854BC"/>
    <w:rsid w:val="00687343"/>
    <w:rsid w:val="006875E3"/>
    <w:rsid w:val="00690B93"/>
    <w:rsid w:val="0069336D"/>
    <w:rsid w:val="0069421F"/>
    <w:rsid w:val="00694923"/>
    <w:rsid w:val="0069618F"/>
    <w:rsid w:val="0069722B"/>
    <w:rsid w:val="00697AF6"/>
    <w:rsid w:val="00697DB0"/>
    <w:rsid w:val="006A0673"/>
    <w:rsid w:val="006A1768"/>
    <w:rsid w:val="006A2561"/>
    <w:rsid w:val="006A736C"/>
    <w:rsid w:val="006B11A7"/>
    <w:rsid w:val="006B1480"/>
    <w:rsid w:val="006B24C3"/>
    <w:rsid w:val="006B2552"/>
    <w:rsid w:val="006B25E7"/>
    <w:rsid w:val="006B2862"/>
    <w:rsid w:val="006B5EB0"/>
    <w:rsid w:val="006B75B4"/>
    <w:rsid w:val="006C03AF"/>
    <w:rsid w:val="006C040B"/>
    <w:rsid w:val="006C10E0"/>
    <w:rsid w:val="006C19C2"/>
    <w:rsid w:val="006C4291"/>
    <w:rsid w:val="006C7009"/>
    <w:rsid w:val="006C7167"/>
    <w:rsid w:val="006D1051"/>
    <w:rsid w:val="006D1233"/>
    <w:rsid w:val="006D2BBD"/>
    <w:rsid w:val="006D415C"/>
    <w:rsid w:val="006D4702"/>
    <w:rsid w:val="006D581E"/>
    <w:rsid w:val="006D7386"/>
    <w:rsid w:val="006D75E7"/>
    <w:rsid w:val="006E054E"/>
    <w:rsid w:val="006E0CE6"/>
    <w:rsid w:val="006E0E5C"/>
    <w:rsid w:val="006E1798"/>
    <w:rsid w:val="006E235B"/>
    <w:rsid w:val="006E2BD0"/>
    <w:rsid w:val="006E2D1D"/>
    <w:rsid w:val="006F0C73"/>
    <w:rsid w:val="006F4D88"/>
    <w:rsid w:val="006F56A8"/>
    <w:rsid w:val="006F709E"/>
    <w:rsid w:val="00700AB3"/>
    <w:rsid w:val="00701958"/>
    <w:rsid w:val="00701B3F"/>
    <w:rsid w:val="007025FA"/>
    <w:rsid w:val="00702BAE"/>
    <w:rsid w:val="00702CE3"/>
    <w:rsid w:val="007035B8"/>
    <w:rsid w:val="0070400E"/>
    <w:rsid w:val="00704012"/>
    <w:rsid w:val="00704558"/>
    <w:rsid w:val="00704673"/>
    <w:rsid w:val="00706D2C"/>
    <w:rsid w:val="007072BE"/>
    <w:rsid w:val="00707DCB"/>
    <w:rsid w:val="0071081A"/>
    <w:rsid w:val="00710B79"/>
    <w:rsid w:val="00711E37"/>
    <w:rsid w:val="00717652"/>
    <w:rsid w:val="0072016E"/>
    <w:rsid w:val="00722CC3"/>
    <w:rsid w:val="007242E6"/>
    <w:rsid w:val="00724385"/>
    <w:rsid w:val="00724542"/>
    <w:rsid w:val="0072514B"/>
    <w:rsid w:val="00725696"/>
    <w:rsid w:val="0072709C"/>
    <w:rsid w:val="00730995"/>
    <w:rsid w:val="00732633"/>
    <w:rsid w:val="007331D8"/>
    <w:rsid w:val="0073367F"/>
    <w:rsid w:val="00734F3C"/>
    <w:rsid w:val="00735486"/>
    <w:rsid w:val="00736A62"/>
    <w:rsid w:val="0073760A"/>
    <w:rsid w:val="0074076B"/>
    <w:rsid w:val="00741628"/>
    <w:rsid w:val="00741D6B"/>
    <w:rsid w:val="0074258C"/>
    <w:rsid w:val="0074277F"/>
    <w:rsid w:val="00742E58"/>
    <w:rsid w:val="007445A7"/>
    <w:rsid w:val="0074479D"/>
    <w:rsid w:val="00746E6F"/>
    <w:rsid w:val="0074778E"/>
    <w:rsid w:val="007512AB"/>
    <w:rsid w:val="00752074"/>
    <w:rsid w:val="00753582"/>
    <w:rsid w:val="00753CC7"/>
    <w:rsid w:val="00755F97"/>
    <w:rsid w:val="00756C78"/>
    <w:rsid w:val="00756D54"/>
    <w:rsid w:val="007601FF"/>
    <w:rsid w:val="00761B8A"/>
    <w:rsid w:val="00764494"/>
    <w:rsid w:val="00764E04"/>
    <w:rsid w:val="00765D9C"/>
    <w:rsid w:val="00767AC8"/>
    <w:rsid w:val="0077098D"/>
    <w:rsid w:val="007758D5"/>
    <w:rsid w:val="00780D0C"/>
    <w:rsid w:val="00783D29"/>
    <w:rsid w:val="00785693"/>
    <w:rsid w:val="00786209"/>
    <w:rsid w:val="007864AB"/>
    <w:rsid w:val="00786BC8"/>
    <w:rsid w:val="00787C7E"/>
    <w:rsid w:val="00790315"/>
    <w:rsid w:val="0079092F"/>
    <w:rsid w:val="00791071"/>
    <w:rsid w:val="0079109D"/>
    <w:rsid w:val="007912D3"/>
    <w:rsid w:val="00791319"/>
    <w:rsid w:val="0079164C"/>
    <w:rsid w:val="007925AF"/>
    <w:rsid w:val="00792BBF"/>
    <w:rsid w:val="00793748"/>
    <w:rsid w:val="00796BD6"/>
    <w:rsid w:val="0079719D"/>
    <w:rsid w:val="007978B1"/>
    <w:rsid w:val="007A0B1A"/>
    <w:rsid w:val="007A20A7"/>
    <w:rsid w:val="007A21A4"/>
    <w:rsid w:val="007A2D7E"/>
    <w:rsid w:val="007A335D"/>
    <w:rsid w:val="007A4744"/>
    <w:rsid w:val="007A5FC9"/>
    <w:rsid w:val="007A73CA"/>
    <w:rsid w:val="007B0264"/>
    <w:rsid w:val="007B11BF"/>
    <w:rsid w:val="007B1F18"/>
    <w:rsid w:val="007B20DD"/>
    <w:rsid w:val="007B2146"/>
    <w:rsid w:val="007B3697"/>
    <w:rsid w:val="007B36AA"/>
    <w:rsid w:val="007B3FB8"/>
    <w:rsid w:val="007B70E0"/>
    <w:rsid w:val="007C1A8D"/>
    <w:rsid w:val="007C21F1"/>
    <w:rsid w:val="007C5861"/>
    <w:rsid w:val="007C60D0"/>
    <w:rsid w:val="007C6684"/>
    <w:rsid w:val="007C7099"/>
    <w:rsid w:val="007C75DE"/>
    <w:rsid w:val="007D180A"/>
    <w:rsid w:val="007D34ED"/>
    <w:rsid w:val="007D4192"/>
    <w:rsid w:val="007D4292"/>
    <w:rsid w:val="007D781B"/>
    <w:rsid w:val="007D78F4"/>
    <w:rsid w:val="007E17DF"/>
    <w:rsid w:val="007E1DFF"/>
    <w:rsid w:val="007E4D87"/>
    <w:rsid w:val="007E745C"/>
    <w:rsid w:val="007E7ECE"/>
    <w:rsid w:val="007F0273"/>
    <w:rsid w:val="007F227D"/>
    <w:rsid w:val="007F2677"/>
    <w:rsid w:val="007F3625"/>
    <w:rsid w:val="007F367D"/>
    <w:rsid w:val="007F4678"/>
    <w:rsid w:val="007F5765"/>
    <w:rsid w:val="007F5B92"/>
    <w:rsid w:val="007F6871"/>
    <w:rsid w:val="007F77B4"/>
    <w:rsid w:val="007F7FCB"/>
    <w:rsid w:val="00801DB6"/>
    <w:rsid w:val="00804ACB"/>
    <w:rsid w:val="00806168"/>
    <w:rsid w:val="0080745A"/>
    <w:rsid w:val="00810AC9"/>
    <w:rsid w:val="00812700"/>
    <w:rsid w:val="00814176"/>
    <w:rsid w:val="0081497E"/>
    <w:rsid w:val="008159B8"/>
    <w:rsid w:val="00815A34"/>
    <w:rsid w:val="00815D89"/>
    <w:rsid w:val="0081689D"/>
    <w:rsid w:val="00817262"/>
    <w:rsid w:val="0081790B"/>
    <w:rsid w:val="00817D25"/>
    <w:rsid w:val="00820D41"/>
    <w:rsid w:val="00820D9A"/>
    <w:rsid w:val="0082179A"/>
    <w:rsid w:val="008231A4"/>
    <w:rsid w:val="0082537F"/>
    <w:rsid w:val="00825CBE"/>
    <w:rsid w:val="0082709E"/>
    <w:rsid w:val="008279E9"/>
    <w:rsid w:val="0083016D"/>
    <w:rsid w:val="00830725"/>
    <w:rsid w:val="00831267"/>
    <w:rsid w:val="00835EBA"/>
    <w:rsid w:val="008360EC"/>
    <w:rsid w:val="00841336"/>
    <w:rsid w:val="00841D3C"/>
    <w:rsid w:val="008432A3"/>
    <w:rsid w:val="008432F8"/>
    <w:rsid w:val="0084434E"/>
    <w:rsid w:val="00845E60"/>
    <w:rsid w:val="00846355"/>
    <w:rsid w:val="008470EB"/>
    <w:rsid w:val="0085068A"/>
    <w:rsid w:val="00852287"/>
    <w:rsid w:val="008551F8"/>
    <w:rsid w:val="00856F0D"/>
    <w:rsid w:val="00857E40"/>
    <w:rsid w:val="00860FBA"/>
    <w:rsid w:val="00862B43"/>
    <w:rsid w:val="00862B9C"/>
    <w:rsid w:val="00863F05"/>
    <w:rsid w:val="00864857"/>
    <w:rsid w:val="008661CA"/>
    <w:rsid w:val="00866E0D"/>
    <w:rsid w:val="0086773A"/>
    <w:rsid w:val="00870B4D"/>
    <w:rsid w:val="00871691"/>
    <w:rsid w:val="008777A1"/>
    <w:rsid w:val="0088002D"/>
    <w:rsid w:val="008831EF"/>
    <w:rsid w:val="008858B9"/>
    <w:rsid w:val="00886D36"/>
    <w:rsid w:val="00886DF8"/>
    <w:rsid w:val="00886FBB"/>
    <w:rsid w:val="00887397"/>
    <w:rsid w:val="008906DF"/>
    <w:rsid w:val="00890B76"/>
    <w:rsid w:val="00890B78"/>
    <w:rsid w:val="00890CE7"/>
    <w:rsid w:val="008919A2"/>
    <w:rsid w:val="00892426"/>
    <w:rsid w:val="00892AC0"/>
    <w:rsid w:val="00893ACA"/>
    <w:rsid w:val="00893AFB"/>
    <w:rsid w:val="00893BCF"/>
    <w:rsid w:val="00896F22"/>
    <w:rsid w:val="008A00B7"/>
    <w:rsid w:val="008A0778"/>
    <w:rsid w:val="008A530F"/>
    <w:rsid w:val="008A61B0"/>
    <w:rsid w:val="008B1084"/>
    <w:rsid w:val="008B2B93"/>
    <w:rsid w:val="008B2CEE"/>
    <w:rsid w:val="008B434A"/>
    <w:rsid w:val="008B475C"/>
    <w:rsid w:val="008B6F7A"/>
    <w:rsid w:val="008B7987"/>
    <w:rsid w:val="008B7B0E"/>
    <w:rsid w:val="008B7E9B"/>
    <w:rsid w:val="008C0349"/>
    <w:rsid w:val="008C0C90"/>
    <w:rsid w:val="008C1356"/>
    <w:rsid w:val="008C3E65"/>
    <w:rsid w:val="008C5947"/>
    <w:rsid w:val="008C5C7E"/>
    <w:rsid w:val="008D0820"/>
    <w:rsid w:val="008D16D7"/>
    <w:rsid w:val="008D1B21"/>
    <w:rsid w:val="008D38F5"/>
    <w:rsid w:val="008D3CF1"/>
    <w:rsid w:val="008D4BE2"/>
    <w:rsid w:val="008D568A"/>
    <w:rsid w:val="008D61A0"/>
    <w:rsid w:val="008D67C8"/>
    <w:rsid w:val="008D6834"/>
    <w:rsid w:val="008D7CEA"/>
    <w:rsid w:val="008E1391"/>
    <w:rsid w:val="008E2815"/>
    <w:rsid w:val="008E2DD6"/>
    <w:rsid w:val="008E3E2C"/>
    <w:rsid w:val="008E4717"/>
    <w:rsid w:val="008E48DB"/>
    <w:rsid w:val="008E5957"/>
    <w:rsid w:val="008E608F"/>
    <w:rsid w:val="008E7043"/>
    <w:rsid w:val="008F05DA"/>
    <w:rsid w:val="008F0D05"/>
    <w:rsid w:val="008F1015"/>
    <w:rsid w:val="008F10AC"/>
    <w:rsid w:val="008F204D"/>
    <w:rsid w:val="008F20BD"/>
    <w:rsid w:val="008F27C6"/>
    <w:rsid w:val="008F2C2F"/>
    <w:rsid w:val="008F2DBD"/>
    <w:rsid w:val="008F3380"/>
    <w:rsid w:val="008F338B"/>
    <w:rsid w:val="008F4D6D"/>
    <w:rsid w:val="008F60D9"/>
    <w:rsid w:val="008F6C52"/>
    <w:rsid w:val="00900B4A"/>
    <w:rsid w:val="0090196A"/>
    <w:rsid w:val="00903897"/>
    <w:rsid w:val="00903C32"/>
    <w:rsid w:val="00906199"/>
    <w:rsid w:val="009070EB"/>
    <w:rsid w:val="009074F5"/>
    <w:rsid w:val="00910074"/>
    <w:rsid w:val="0091109A"/>
    <w:rsid w:val="009134D2"/>
    <w:rsid w:val="0091372F"/>
    <w:rsid w:val="00914082"/>
    <w:rsid w:val="00914CA6"/>
    <w:rsid w:val="00915CCB"/>
    <w:rsid w:val="00917409"/>
    <w:rsid w:val="0091793D"/>
    <w:rsid w:val="009202BC"/>
    <w:rsid w:val="00920859"/>
    <w:rsid w:val="00923C30"/>
    <w:rsid w:val="00924070"/>
    <w:rsid w:val="00924692"/>
    <w:rsid w:val="009272B7"/>
    <w:rsid w:val="00931E1F"/>
    <w:rsid w:val="00932ABC"/>
    <w:rsid w:val="00933185"/>
    <w:rsid w:val="00934D25"/>
    <w:rsid w:val="00935049"/>
    <w:rsid w:val="00936953"/>
    <w:rsid w:val="00937121"/>
    <w:rsid w:val="009400B9"/>
    <w:rsid w:val="00940DDB"/>
    <w:rsid w:val="00944349"/>
    <w:rsid w:val="009473C3"/>
    <w:rsid w:val="00947869"/>
    <w:rsid w:val="00950FA9"/>
    <w:rsid w:val="0095258C"/>
    <w:rsid w:val="00952865"/>
    <w:rsid w:val="00954C35"/>
    <w:rsid w:val="0095515C"/>
    <w:rsid w:val="00955A02"/>
    <w:rsid w:val="0095684E"/>
    <w:rsid w:val="00957D29"/>
    <w:rsid w:val="00957DA5"/>
    <w:rsid w:val="009606BA"/>
    <w:rsid w:val="00960A64"/>
    <w:rsid w:val="0096127F"/>
    <w:rsid w:val="00961519"/>
    <w:rsid w:val="00961909"/>
    <w:rsid w:val="009630FD"/>
    <w:rsid w:val="00963507"/>
    <w:rsid w:val="0096471D"/>
    <w:rsid w:val="009647B6"/>
    <w:rsid w:val="009662D9"/>
    <w:rsid w:val="0096663B"/>
    <w:rsid w:val="009668D5"/>
    <w:rsid w:val="00966992"/>
    <w:rsid w:val="00967977"/>
    <w:rsid w:val="00971010"/>
    <w:rsid w:val="00971405"/>
    <w:rsid w:val="00971BA6"/>
    <w:rsid w:val="0097220F"/>
    <w:rsid w:val="00972392"/>
    <w:rsid w:val="0097540F"/>
    <w:rsid w:val="0097542C"/>
    <w:rsid w:val="00975A1A"/>
    <w:rsid w:val="0098004D"/>
    <w:rsid w:val="00981C7C"/>
    <w:rsid w:val="00983332"/>
    <w:rsid w:val="00984CB6"/>
    <w:rsid w:val="0098543F"/>
    <w:rsid w:val="00986623"/>
    <w:rsid w:val="00992511"/>
    <w:rsid w:val="00992F79"/>
    <w:rsid w:val="009956B3"/>
    <w:rsid w:val="00996B64"/>
    <w:rsid w:val="00996CA9"/>
    <w:rsid w:val="00996DD5"/>
    <w:rsid w:val="009A15B8"/>
    <w:rsid w:val="009A15D1"/>
    <w:rsid w:val="009A2B2A"/>
    <w:rsid w:val="009A43DD"/>
    <w:rsid w:val="009B6782"/>
    <w:rsid w:val="009B70AE"/>
    <w:rsid w:val="009B77D8"/>
    <w:rsid w:val="009C0AF5"/>
    <w:rsid w:val="009C1155"/>
    <w:rsid w:val="009C16A2"/>
    <w:rsid w:val="009C1791"/>
    <w:rsid w:val="009C3B31"/>
    <w:rsid w:val="009C4F02"/>
    <w:rsid w:val="009D05E5"/>
    <w:rsid w:val="009D1962"/>
    <w:rsid w:val="009D2016"/>
    <w:rsid w:val="009D206C"/>
    <w:rsid w:val="009D295A"/>
    <w:rsid w:val="009D2982"/>
    <w:rsid w:val="009D35A1"/>
    <w:rsid w:val="009D39C7"/>
    <w:rsid w:val="009D44F5"/>
    <w:rsid w:val="009D6BF3"/>
    <w:rsid w:val="009E0569"/>
    <w:rsid w:val="009E0CA8"/>
    <w:rsid w:val="009E27B3"/>
    <w:rsid w:val="009E27BB"/>
    <w:rsid w:val="009E28A1"/>
    <w:rsid w:val="009E45D5"/>
    <w:rsid w:val="009E6A01"/>
    <w:rsid w:val="009E6A1F"/>
    <w:rsid w:val="009E72EB"/>
    <w:rsid w:val="009E7425"/>
    <w:rsid w:val="009E74AE"/>
    <w:rsid w:val="009F0240"/>
    <w:rsid w:val="009F2032"/>
    <w:rsid w:val="009F2F00"/>
    <w:rsid w:val="00A001BD"/>
    <w:rsid w:val="00A00FFA"/>
    <w:rsid w:val="00A019B1"/>
    <w:rsid w:val="00A01D2A"/>
    <w:rsid w:val="00A021E0"/>
    <w:rsid w:val="00A03435"/>
    <w:rsid w:val="00A04171"/>
    <w:rsid w:val="00A041D2"/>
    <w:rsid w:val="00A05700"/>
    <w:rsid w:val="00A06CAD"/>
    <w:rsid w:val="00A07535"/>
    <w:rsid w:val="00A07703"/>
    <w:rsid w:val="00A07F82"/>
    <w:rsid w:val="00A1054F"/>
    <w:rsid w:val="00A11CE6"/>
    <w:rsid w:val="00A129C5"/>
    <w:rsid w:val="00A141DC"/>
    <w:rsid w:val="00A151F9"/>
    <w:rsid w:val="00A15756"/>
    <w:rsid w:val="00A15B21"/>
    <w:rsid w:val="00A15FB9"/>
    <w:rsid w:val="00A17284"/>
    <w:rsid w:val="00A206A7"/>
    <w:rsid w:val="00A21177"/>
    <w:rsid w:val="00A2170D"/>
    <w:rsid w:val="00A21C95"/>
    <w:rsid w:val="00A220B2"/>
    <w:rsid w:val="00A242B3"/>
    <w:rsid w:val="00A24B5E"/>
    <w:rsid w:val="00A262BB"/>
    <w:rsid w:val="00A26863"/>
    <w:rsid w:val="00A316B7"/>
    <w:rsid w:val="00A328F9"/>
    <w:rsid w:val="00A332B8"/>
    <w:rsid w:val="00A33768"/>
    <w:rsid w:val="00A338F8"/>
    <w:rsid w:val="00A376C3"/>
    <w:rsid w:val="00A37CA5"/>
    <w:rsid w:val="00A42F47"/>
    <w:rsid w:val="00A43EA2"/>
    <w:rsid w:val="00A45490"/>
    <w:rsid w:val="00A45B8E"/>
    <w:rsid w:val="00A45CAE"/>
    <w:rsid w:val="00A46138"/>
    <w:rsid w:val="00A46367"/>
    <w:rsid w:val="00A472B7"/>
    <w:rsid w:val="00A50E81"/>
    <w:rsid w:val="00A544DF"/>
    <w:rsid w:val="00A60A3F"/>
    <w:rsid w:val="00A62931"/>
    <w:rsid w:val="00A62E15"/>
    <w:rsid w:val="00A63734"/>
    <w:rsid w:val="00A63B0E"/>
    <w:rsid w:val="00A6401E"/>
    <w:rsid w:val="00A64D74"/>
    <w:rsid w:val="00A667B6"/>
    <w:rsid w:val="00A72431"/>
    <w:rsid w:val="00A72B8D"/>
    <w:rsid w:val="00A77933"/>
    <w:rsid w:val="00A77F78"/>
    <w:rsid w:val="00A81312"/>
    <w:rsid w:val="00A817CE"/>
    <w:rsid w:val="00A82494"/>
    <w:rsid w:val="00A8282E"/>
    <w:rsid w:val="00A84955"/>
    <w:rsid w:val="00A84F78"/>
    <w:rsid w:val="00A850F9"/>
    <w:rsid w:val="00A8568A"/>
    <w:rsid w:val="00A85A0E"/>
    <w:rsid w:val="00A863BF"/>
    <w:rsid w:val="00A86890"/>
    <w:rsid w:val="00A87449"/>
    <w:rsid w:val="00A90001"/>
    <w:rsid w:val="00A901DF"/>
    <w:rsid w:val="00A92DF1"/>
    <w:rsid w:val="00A93190"/>
    <w:rsid w:val="00AA1F17"/>
    <w:rsid w:val="00AA1FC1"/>
    <w:rsid w:val="00AA2D76"/>
    <w:rsid w:val="00AA384D"/>
    <w:rsid w:val="00AA3D84"/>
    <w:rsid w:val="00AA400E"/>
    <w:rsid w:val="00AA6CDB"/>
    <w:rsid w:val="00AA7683"/>
    <w:rsid w:val="00AB0234"/>
    <w:rsid w:val="00AB176A"/>
    <w:rsid w:val="00AB1F10"/>
    <w:rsid w:val="00AB2E3C"/>
    <w:rsid w:val="00AB4DCB"/>
    <w:rsid w:val="00AB502F"/>
    <w:rsid w:val="00AC1099"/>
    <w:rsid w:val="00AC16DB"/>
    <w:rsid w:val="00AC191C"/>
    <w:rsid w:val="00AC2543"/>
    <w:rsid w:val="00AC2EAC"/>
    <w:rsid w:val="00AC3941"/>
    <w:rsid w:val="00AC39E6"/>
    <w:rsid w:val="00AC412C"/>
    <w:rsid w:val="00AC560C"/>
    <w:rsid w:val="00AC58FD"/>
    <w:rsid w:val="00AD0761"/>
    <w:rsid w:val="00AD0874"/>
    <w:rsid w:val="00AD0B43"/>
    <w:rsid w:val="00AD11A6"/>
    <w:rsid w:val="00AD16B8"/>
    <w:rsid w:val="00AD2BBB"/>
    <w:rsid w:val="00AD33FA"/>
    <w:rsid w:val="00AD3E29"/>
    <w:rsid w:val="00AD402B"/>
    <w:rsid w:val="00AD5389"/>
    <w:rsid w:val="00AD78CD"/>
    <w:rsid w:val="00AE10D0"/>
    <w:rsid w:val="00AE176D"/>
    <w:rsid w:val="00AE2AC6"/>
    <w:rsid w:val="00AE2F25"/>
    <w:rsid w:val="00AE3A6A"/>
    <w:rsid w:val="00AE4361"/>
    <w:rsid w:val="00AE5AA1"/>
    <w:rsid w:val="00AE666F"/>
    <w:rsid w:val="00AE76F5"/>
    <w:rsid w:val="00AE78F1"/>
    <w:rsid w:val="00AF0296"/>
    <w:rsid w:val="00AF1D29"/>
    <w:rsid w:val="00AF23D6"/>
    <w:rsid w:val="00AF3705"/>
    <w:rsid w:val="00AF4F08"/>
    <w:rsid w:val="00AF661D"/>
    <w:rsid w:val="00AF6629"/>
    <w:rsid w:val="00AF6C15"/>
    <w:rsid w:val="00B011ED"/>
    <w:rsid w:val="00B012C8"/>
    <w:rsid w:val="00B041B9"/>
    <w:rsid w:val="00B047EE"/>
    <w:rsid w:val="00B048C3"/>
    <w:rsid w:val="00B0520C"/>
    <w:rsid w:val="00B07CCA"/>
    <w:rsid w:val="00B107B1"/>
    <w:rsid w:val="00B10842"/>
    <w:rsid w:val="00B113D2"/>
    <w:rsid w:val="00B14B72"/>
    <w:rsid w:val="00B1577F"/>
    <w:rsid w:val="00B15FC8"/>
    <w:rsid w:val="00B23BA9"/>
    <w:rsid w:val="00B269D6"/>
    <w:rsid w:val="00B26CAB"/>
    <w:rsid w:val="00B27282"/>
    <w:rsid w:val="00B30011"/>
    <w:rsid w:val="00B30C92"/>
    <w:rsid w:val="00B32DB0"/>
    <w:rsid w:val="00B32F6F"/>
    <w:rsid w:val="00B34011"/>
    <w:rsid w:val="00B34985"/>
    <w:rsid w:val="00B358FB"/>
    <w:rsid w:val="00B36D8B"/>
    <w:rsid w:val="00B376DF"/>
    <w:rsid w:val="00B40152"/>
    <w:rsid w:val="00B40552"/>
    <w:rsid w:val="00B41B14"/>
    <w:rsid w:val="00B421A9"/>
    <w:rsid w:val="00B432AF"/>
    <w:rsid w:val="00B43549"/>
    <w:rsid w:val="00B45FC5"/>
    <w:rsid w:val="00B4775A"/>
    <w:rsid w:val="00B51297"/>
    <w:rsid w:val="00B5199F"/>
    <w:rsid w:val="00B519FA"/>
    <w:rsid w:val="00B52EA7"/>
    <w:rsid w:val="00B542FB"/>
    <w:rsid w:val="00B54965"/>
    <w:rsid w:val="00B54C28"/>
    <w:rsid w:val="00B560B3"/>
    <w:rsid w:val="00B56417"/>
    <w:rsid w:val="00B5673C"/>
    <w:rsid w:val="00B56FD5"/>
    <w:rsid w:val="00B60C0C"/>
    <w:rsid w:val="00B61418"/>
    <w:rsid w:val="00B61DE0"/>
    <w:rsid w:val="00B63DBD"/>
    <w:rsid w:val="00B642CB"/>
    <w:rsid w:val="00B66C09"/>
    <w:rsid w:val="00B67BC6"/>
    <w:rsid w:val="00B733E6"/>
    <w:rsid w:val="00B75AE1"/>
    <w:rsid w:val="00B77D9E"/>
    <w:rsid w:val="00B77DDF"/>
    <w:rsid w:val="00B77E2E"/>
    <w:rsid w:val="00B807CC"/>
    <w:rsid w:val="00B80D62"/>
    <w:rsid w:val="00B82440"/>
    <w:rsid w:val="00B84415"/>
    <w:rsid w:val="00B84437"/>
    <w:rsid w:val="00B84789"/>
    <w:rsid w:val="00B86946"/>
    <w:rsid w:val="00B87406"/>
    <w:rsid w:val="00B9022F"/>
    <w:rsid w:val="00B90B62"/>
    <w:rsid w:val="00B90F89"/>
    <w:rsid w:val="00B91D3A"/>
    <w:rsid w:val="00B922C5"/>
    <w:rsid w:val="00B932AF"/>
    <w:rsid w:val="00B942F5"/>
    <w:rsid w:val="00B95A86"/>
    <w:rsid w:val="00B95F1D"/>
    <w:rsid w:val="00B965F2"/>
    <w:rsid w:val="00BA150F"/>
    <w:rsid w:val="00BA1B03"/>
    <w:rsid w:val="00BA390B"/>
    <w:rsid w:val="00BA3F15"/>
    <w:rsid w:val="00BB2BE2"/>
    <w:rsid w:val="00BB3F42"/>
    <w:rsid w:val="00BB69C4"/>
    <w:rsid w:val="00BB6AEB"/>
    <w:rsid w:val="00BC1358"/>
    <w:rsid w:val="00BC1C1B"/>
    <w:rsid w:val="00BC2097"/>
    <w:rsid w:val="00BC3421"/>
    <w:rsid w:val="00BC50CB"/>
    <w:rsid w:val="00BC5887"/>
    <w:rsid w:val="00BC5E1D"/>
    <w:rsid w:val="00BC6849"/>
    <w:rsid w:val="00BC6CA2"/>
    <w:rsid w:val="00BC7818"/>
    <w:rsid w:val="00BD2338"/>
    <w:rsid w:val="00BD241A"/>
    <w:rsid w:val="00BD3291"/>
    <w:rsid w:val="00BD340F"/>
    <w:rsid w:val="00BD4234"/>
    <w:rsid w:val="00BD42A8"/>
    <w:rsid w:val="00BD7213"/>
    <w:rsid w:val="00BD780F"/>
    <w:rsid w:val="00BD7C0F"/>
    <w:rsid w:val="00BD7DF4"/>
    <w:rsid w:val="00BE1376"/>
    <w:rsid w:val="00BE2C9F"/>
    <w:rsid w:val="00BE2F95"/>
    <w:rsid w:val="00BE4CD1"/>
    <w:rsid w:val="00BE7A51"/>
    <w:rsid w:val="00BE7A91"/>
    <w:rsid w:val="00BE7FA0"/>
    <w:rsid w:val="00BF03CC"/>
    <w:rsid w:val="00BF198B"/>
    <w:rsid w:val="00BF1D43"/>
    <w:rsid w:val="00BF33B8"/>
    <w:rsid w:val="00BF4CCD"/>
    <w:rsid w:val="00BF4F3B"/>
    <w:rsid w:val="00BF6F2C"/>
    <w:rsid w:val="00C00756"/>
    <w:rsid w:val="00C00C7D"/>
    <w:rsid w:val="00C00D41"/>
    <w:rsid w:val="00C01C1D"/>
    <w:rsid w:val="00C041E7"/>
    <w:rsid w:val="00C0452E"/>
    <w:rsid w:val="00C046CE"/>
    <w:rsid w:val="00C0531C"/>
    <w:rsid w:val="00C057F6"/>
    <w:rsid w:val="00C05A32"/>
    <w:rsid w:val="00C05BD5"/>
    <w:rsid w:val="00C06A5C"/>
    <w:rsid w:val="00C06AE6"/>
    <w:rsid w:val="00C070AA"/>
    <w:rsid w:val="00C07344"/>
    <w:rsid w:val="00C107F0"/>
    <w:rsid w:val="00C116C3"/>
    <w:rsid w:val="00C12FC1"/>
    <w:rsid w:val="00C13D7D"/>
    <w:rsid w:val="00C15049"/>
    <w:rsid w:val="00C15932"/>
    <w:rsid w:val="00C168F2"/>
    <w:rsid w:val="00C169CA"/>
    <w:rsid w:val="00C204AB"/>
    <w:rsid w:val="00C219AE"/>
    <w:rsid w:val="00C231C0"/>
    <w:rsid w:val="00C25519"/>
    <w:rsid w:val="00C258E9"/>
    <w:rsid w:val="00C25BB8"/>
    <w:rsid w:val="00C26016"/>
    <w:rsid w:val="00C275F3"/>
    <w:rsid w:val="00C30F45"/>
    <w:rsid w:val="00C31571"/>
    <w:rsid w:val="00C317E6"/>
    <w:rsid w:val="00C32616"/>
    <w:rsid w:val="00C32BDC"/>
    <w:rsid w:val="00C33968"/>
    <w:rsid w:val="00C35101"/>
    <w:rsid w:val="00C351F1"/>
    <w:rsid w:val="00C400E3"/>
    <w:rsid w:val="00C40829"/>
    <w:rsid w:val="00C4093D"/>
    <w:rsid w:val="00C42AA3"/>
    <w:rsid w:val="00C43992"/>
    <w:rsid w:val="00C43E57"/>
    <w:rsid w:val="00C43F3C"/>
    <w:rsid w:val="00C46F36"/>
    <w:rsid w:val="00C50D49"/>
    <w:rsid w:val="00C57A96"/>
    <w:rsid w:val="00C60F20"/>
    <w:rsid w:val="00C61021"/>
    <w:rsid w:val="00C6147B"/>
    <w:rsid w:val="00C6204E"/>
    <w:rsid w:val="00C6229C"/>
    <w:rsid w:val="00C628EB"/>
    <w:rsid w:val="00C62A34"/>
    <w:rsid w:val="00C63D6F"/>
    <w:rsid w:val="00C64DDD"/>
    <w:rsid w:val="00C65A6A"/>
    <w:rsid w:val="00C65DD2"/>
    <w:rsid w:val="00C6660F"/>
    <w:rsid w:val="00C67B84"/>
    <w:rsid w:val="00C7209C"/>
    <w:rsid w:val="00C72381"/>
    <w:rsid w:val="00C72CB1"/>
    <w:rsid w:val="00C737CE"/>
    <w:rsid w:val="00C74262"/>
    <w:rsid w:val="00C771B1"/>
    <w:rsid w:val="00C80403"/>
    <w:rsid w:val="00C80619"/>
    <w:rsid w:val="00C824DE"/>
    <w:rsid w:val="00C87891"/>
    <w:rsid w:val="00C879CA"/>
    <w:rsid w:val="00C901E1"/>
    <w:rsid w:val="00C92937"/>
    <w:rsid w:val="00C93C9C"/>
    <w:rsid w:val="00C96F89"/>
    <w:rsid w:val="00C97119"/>
    <w:rsid w:val="00CA2838"/>
    <w:rsid w:val="00CA3EE4"/>
    <w:rsid w:val="00CA55D1"/>
    <w:rsid w:val="00CA6145"/>
    <w:rsid w:val="00CA731E"/>
    <w:rsid w:val="00CB0607"/>
    <w:rsid w:val="00CB0EDE"/>
    <w:rsid w:val="00CB1F96"/>
    <w:rsid w:val="00CB4E33"/>
    <w:rsid w:val="00CB6A1E"/>
    <w:rsid w:val="00CB7D11"/>
    <w:rsid w:val="00CB7DF4"/>
    <w:rsid w:val="00CC0010"/>
    <w:rsid w:val="00CC0261"/>
    <w:rsid w:val="00CC19BA"/>
    <w:rsid w:val="00CC2159"/>
    <w:rsid w:val="00CC3781"/>
    <w:rsid w:val="00CC4457"/>
    <w:rsid w:val="00CC6784"/>
    <w:rsid w:val="00CD1123"/>
    <w:rsid w:val="00CD2007"/>
    <w:rsid w:val="00CD2115"/>
    <w:rsid w:val="00CD2390"/>
    <w:rsid w:val="00CD4835"/>
    <w:rsid w:val="00CD57C8"/>
    <w:rsid w:val="00CD5D50"/>
    <w:rsid w:val="00CD63FD"/>
    <w:rsid w:val="00CD7E56"/>
    <w:rsid w:val="00CE021E"/>
    <w:rsid w:val="00CE198C"/>
    <w:rsid w:val="00CE22E2"/>
    <w:rsid w:val="00CE565F"/>
    <w:rsid w:val="00CE669C"/>
    <w:rsid w:val="00CE6D39"/>
    <w:rsid w:val="00CF15D2"/>
    <w:rsid w:val="00CF24E6"/>
    <w:rsid w:val="00CF6935"/>
    <w:rsid w:val="00CF76A9"/>
    <w:rsid w:val="00CF7BDB"/>
    <w:rsid w:val="00D01747"/>
    <w:rsid w:val="00D01BF0"/>
    <w:rsid w:val="00D024CA"/>
    <w:rsid w:val="00D0288F"/>
    <w:rsid w:val="00D03E5A"/>
    <w:rsid w:val="00D04358"/>
    <w:rsid w:val="00D06839"/>
    <w:rsid w:val="00D112BA"/>
    <w:rsid w:val="00D1264D"/>
    <w:rsid w:val="00D141D6"/>
    <w:rsid w:val="00D16FC5"/>
    <w:rsid w:val="00D219D8"/>
    <w:rsid w:val="00D21C4E"/>
    <w:rsid w:val="00D24271"/>
    <w:rsid w:val="00D245C8"/>
    <w:rsid w:val="00D246C5"/>
    <w:rsid w:val="00D24E7D"/>
    <w:rsid w:val="00D25F4C"/>
    <w:rsid w:val="00D261A5"/>
    <w:rsid w:val="00D27961"/>
    <w:rsid w:val="00D31169"/>
    <w:rsid w:val="00D34150"/>
    <w:rsid w:val="00D368D9"/>
    <w:rsid w:val="00D36A8C"/>
    <w:rsid w:val="00D374AF"/>
    <w:rsid w:val="00D379BC"/>
    <w:rsid w:val="00D40A32"/>
    <w:rsid w:val="00D43ACC"/>
    <w:rsid w:val="00D43BFF"/>
    <w:rsid w:val="00D43F89"/>
    <w:rsid w:val="00D44B5C"/>
    <w:rsid w:val="00D45315"/>
    <w:rsid w:val="00D4539E"/>
    <w:rsid w:val="00D45F7F"/>
    <w:rsid w:val="00D4665A"/>
    <w:rsid w:val="00D50C84"/>
    <w:rsid w:val="00D510A7"/>
    <w:rsid w:val="00D513DE"/>
    <w:rsid w:val="00D52019"/>
    <w:rsid w:val="00D548B1"/>
    <w:rsid w:val="00D55135"/>
    <w:rsid w:val="00D57921"/>
    <w:rsid w:val="00D6243F"/>
    <w:rsid w:val="00D6634E"/>
    <w:rsid w:val="00D666CA"/>
    <w:rsid w:val="00D70379"/>
    <w:rsid w:val="00D70832"/>
    <w:rsid w:val="00D70914"/>
    <w:rsid w:val="00D7122C"/>
    <w:rsid w:val="00D7150E"/>
    <w:rsid w:val="00D7207C"/>
    <w:rsid w:val="00D7294D"/>
    <w:rsid w:val="00D73463"/>
    <w:rsid w:val="00D77EE1"/>
    <w:rsid w:val="00D77FE0"/>
    <w:rsid w:val="00D81C34"/>
    <w:rsid w:val="00D84A04"/>
    <w:rsid w:val="00D84E77"/>
    <w:rsid w:val="00D912AB"/>
    <w:rsid w:val="00D9150F"/>
    <w:rsid w:val="00D91923"/>
    <w:rsid w:val="00D91F26"/>
    <w:rsid w:val="00D93E07"/>
    <w:rsid w:val="00D95850"/>
    <w:rsid w:val="00D97806"/>
    <w:rsid w:val="00DA0278"/>
    <w:rsid w:val="00DA1033"/>
    <w:rsid w:val="00DA33C0"/>
    <w:rsid w:val="00DA4748"/>
    <w:rsid w:val="00DA5746"/>
    <w:rsid w:val="00DA5C3F"/>
    <w:rsid w:val="00DB092C"/>
    <w:rsid w:val="00DB0F19"/>
    <w:rsid w:val="00DB1D49"/>
    <w:rsid w:val="00DB5A98"/>
    <w:rsid w:val="00DB6F02"/>
    <w:rsid w:val="00DB74B1"/>
    <w:rsid w:val="00DC3B66"/>
    <w:rsid w:val="00DC3D40"/>
    <w:rsid w:val="00DC3ECD"/>
    <w:rsid w:val="00DC43F0"/>
    <w:rsid w:val="00DC457B"/>
    <w:rsid w:val="00DC5326"/>
    <w:rsid w:val="00DC5424"/>
    <w:rsid w:val="00DC55B4"/>
    <w:rsid w:val="00DC795A"/>
    <w:rsid w:val="00DD0020"/>
    <w:rsid w:val="00DD002D"/>
    <w:rsid w:val="00DD0E47"/>
    <w:rsid w:val="00DD0ED2"/>
    <w:rsid w:val="00DD1D29"/>
    <w:rsid w:val="00DD1E35"/>
    <w:rsid w:val="00DD2B57"/>
    <w:rsid w:val="00DD3E3B"/>
    <w:rsid w:val="00DD49A5"/>
    <w:rsid w:val="00DD63FB"/>
    <w:rsid w:val="00DD651C"/>
    <w:rsid w:val="00DD7242"/>
    <w:rsid w:val="00DE32BD"/>
    <w:rsid w:val="00DE350D"/>
    <w:rsid w:val="00DE6E44"/>
    <w:rsid w:val="00DE7C95"/>
    <w:rsid w:val="00DE7F3D"/>
    <w:rsid w:val="00DE7F93"/>
    <w:rsid w:val="00DF06C0"/>
    <w:rsid w:val="00DF0D39"/>
    <w:rsid w:val="00DF1710"/>
    <w:rsid w:val="00DF4708"/>
    <w:rsid w:val="00DF56FD"/>
    <w:rsid w:val="00DF70FF"/>
    <w:rsid w:val="00DF7611"/>
    <w:rsid w:val="00DF79FF"/>
    <w:rsid w:val="00E009D6"/>
    <w:rsid w:val="00E020DA"/>
    <w:rsid w:val="00E02816"/>
    <w:rsid w:val="00E02CD6"/>
    <w:rsid w:val="00E06EA6"/>
    <w:rsid w:val="00E079B3"/>
    <w:rsid w:val="00E079F5"/>
    <w:rsid w:val="00E1043A"/>
    <w:rsid w:val="00E10CFB"/>
    <w:rsid w:val="00E1186C"/>
    <w:rsid w:val="00E12002"/>
    <w:rsid w:val="00E14879"/>
    <w:rsid w:val="00E15409"/>
    <w:rsid w:val="00E15975"/>
    <w:rsid w:val="00E15EA1"/>
    <w:rsid w:val="00E16B47"/>
    <w:rsid w:val="00E17D3D"/>
    <w:rsid w:val="00E22677"/>
    <w:rsid w:val="00E22E1C"/>
    <w:rsid w:val="00E2307B"/>
    <w:rsid w:val="00E238CB"/>
    <w:rsid w:val="00E2457E"/>
    <w:rsid w:val="00E252E4"/>
    <w:rsid w:val="00E26095"/>
    <w:rsid w:val="00E260D5"/>
    <w:rsid w:val="00E27B4B"/>
    <w:rsid w:val="00E27BEC"/>
    <w:rsid w:val="00E30F0C"/>
    <w:rsid w:val="00E30F96"/>
    <w:rsid w:val="00E31EA7"/>
    <w:rsid w:val="00E320E7"/>
    <w:rsid w:val="00E34674"/>
    <w:rsid w:val="00E35DBF"/>
    <w:rsid w:val="00E36BDD"/>
    <w:rsid w:val="00E375DB"/>
    <w:rsid w:val="00E402F2"/>
    <w:rsid w:val="00E43C3D"/>
    <w:rsid w:val="00E44581"/>
    <w:rsid w:val="00E460A3"/>
    <w:rsid w:val="00E514CF"/>
    <w:rsid w:val="00E52662"/>
    <w:rsid w:val="00E52DEF"/>
    <w:rsid w:val="00E541AB"/>
    <w:rsid w:val="00E544FA"/>
    <w:rsid w:val="00E612A8"/>
    <w:rsid w:val="00E6176C"/>
    <w:rsid w:val="00E61A68"/>
    <w:rsid w:val="00E6266E"/>
    <w:rsid w:val="00E62F21"/>
    <w:rsid w:val="00E6328C"/>
    <w:rsid w:val="00E64B0A"/>
    <w:rsid w:val="00E65E4B"/>
    <w:rsid w:val="00E673A4"/>
    <w:rsid w:val="00E70CF3"/>
    <w:rsid w:val="00E71324"/>
    <w:rsid w:val="00E713BE"/>
    <w:rsid w:val="00E71820"/>
    <w:rsid w:val="00E71F88"/>
    <w:rsid w:val="00E73886"/>
    <w:rsid w:val="00E744E8"/>
    <w:rsid w:val="00E74D0F"/>
    <w:rsid w:val="00E74FAE"/>
    <w:rsid w:val="00E76612"/>
    <w:rsid w:val="00E7681A"/>
    <w:rsid w:val="00E76FFD"/>
    <w:rsid w:val="00E77589"/>
    <w:rsid w:val="00E80B43"/>
    <w:rsid w:val="00E81405"/>
    <w:rsid w:val="00E817A8"/>
    <w:rsid w:val="00E8236B"/>
    <w:rsid w:val="00E83832"/>
    <w:rsid w:val="00E83992"/>
    <w:rsid w:val="00E83BEF"/>
    <w:rsid w:val="00E83DC8"/>
    <w:rsid w:val="00E84A99"/>
    <w:rsid w:val="00E85804"/>
    <w:rsid w:val="00E91E6C"/>
    <w:rsid w:val="00E9210A"/>
    <w:rsid w:val="00E92162"/>
    <w:rsid w:val="00E92748"/>
    <w:rsid w:val="00E92BD9"/>
    <w:rsid w:val="00E930EE"/>
    <w:rsid w:val="00E93E39"/>
    <w:rsid w:val="00E94397"/>
    <w:rsid w:val="00E96AFE"/>
    <w:rsid w:val="00EA19B2"/>
    <w:rsid w:val="00EA1D67"/>
    <w:rsid w:val="00EA21F5"/>
    <w:rsid w:val="00EA3087"/>
    <w:rsid w:val="00EA364B"/>
    <w:rsid w:val="00EA38F4"/>
    <w:rsid w:val="00EA5C32"/>
    <w:rsid w:val="00EA73BD"/>
    <w:rsid w:val="00EA7CB9"/>
    <w:rsid w:val="00EA7D27"/>
    <w:rsid w:val="00EB0557"/>
    <w:rsid w:val="00EB0F94"/>
    <w:rsid w:val="00EB1512"/>
    <w:rsid w:val="00EB1FF0"/>
    <w:rsid w:val="00EB3DC9"/>
    <w:rsid w:val="00EB4523"/>
    <w:rsid w:val="00EB5E12"/>
    <w:rsid w:val="00EB6226"/>
    <w:rsid w:val="00EC0B68"/>
    <w:rsid w:val="00EC3BD7"/>
    <w:rsid w:val="00EC5339"/>
    <w:rsid w:val="00EC62A8"/>
    <w:rsid w:val="00EC69DF"/>
    <w:rsid w:val="00EC76F4"/>
    <w:rsid w:val="00ED0342"/>
    <w:rsid w:val="00ED06C8"/>
    <w:rsid w:val="00ED0C4D"/>
    <w:rsid w:val="00ED2E85"/>
    <w:rsid w:val="00ED3003"/>
    <w:rsid w:val="00ED68F8"/>
    <w:rsid w:val="00ED6B3B"/>
    <w:rsid w:val="00ED6ED1"/>
    <w:rsid w:val="00ED7E58"/>
    <w:rsid w:val="00EE1053"/>
    <w:rsid w:val="00EE1DE9"/>
    <w:rsid w:val="00EE251E"/>
    <w:rsid w:val="00EE3ABD"/>
    <w:rsid w:val="00EE3D7B"/>
    <w:rsid w:val="00EE4921"/>
    <w:rsid w:val="00EE5600"/>
    <w:rsid w:val="00EE660F"/>
    <w:rsid w:val="00EF0492"/>
    <w:rsid w:val="00EF0FD3"/>
    <w:rsid w:val="00EF13CE"/>
    <w:rsid w:val="00EF1CBC"/>
    <w:rsid w:val="00EF37C4"/>
    <w:rsid w:val="00EF4A80"/>
    <w:rsid w:val="00EF7E02"/>
    <w:rsid w:val="00F004B7"/>
    <w:rsid w:val="00F00621"/>
    <w:rsid w:val="00F010FE"/>
    <w:rsid w:val="00F018DE"/>
    <w:rsid w:val="00F0338F"/>
    <w:rsid w:val="00F03A73"/>
    <w:rsid w:val="00F103CF"/>
    <w:rsid w:val="00F11648"/>
    <w:rsid w:val="00F12781"/>
    <w:rsid w:val="00F12C71"/>
    <w:rsid w:val="00F15F31"/>
    <w:rsid w:val="00F16AA8"/>
    <w:rsid w:val="00F22D55"/>
    <w:rsid w:val="00F230D8"/>
    <w:rsid w:val="00F235CD"/>
    <w:rsid w:val="00F24AB3"/>
    <w:rsid w:val="00F259D0"/>
    <w:rsid w:val="00F2676B"/>
    <w:rsid w:val="00F26FDB"/>
    <w:rsid w:val="00F27CDA"/>
    <w:rsid w:val="00F30414"/>
    <w:rsid w:val="00F30619"/>
    <w:rsid w:val="00F316A1"/>
    <w:rsid w:val="00F332E7"/>
    <w:rsid w:val="00F3373B"/>
    <w:rsid w:val="00F363A5"/>
    <w:rsid w:val="00F36883"/>
    <w:rsid w:val="00F368A9"/>
    <w:rsid w:val="00F3697B"/>
    <w:rsid w:val="00F36FA7"/>
    <w:rsid w:val="00F441C2"/>
    <w:rsid w:val="00F4571C"/>
    <w:rsid w:val="00F46796"/>
    <w:rsid w:val="00F4772D"/>
    <w:rsid w:val="00F477B7"/>
    <w:rsid w:val="00F47C8A"/>
    <w:rsid w:val="00F47D6B"/>
    <w:rsid w:val="00F509F8"/>
    <w:rsid w:val="00F51295"/>
    <w:rsid w:val="00F51FA8"/>
    <w:rsid w:val="00F53B83"/>
    <w:rsid w:val="00F53F71"/>
    <w:rsid w:val="00F541D6"/>
    <w:rsid w:val="00F60DCD"/>
    <w:rsid w:val="00F616F1"/>
    <w:rsid w:val="00F618C9"/>
    <w:rsid w:val="00F61C94"/>
    <w:rsid w:val="00F620B1"/>
    <w:rsid w:val="00F6326F"/>
    <w:rsid w:val="00F6369B"/>
    <w:rsid w:val="00F63B92"/>
    <w:rsid w:val="00F654CA"/>
    <w:rsid w:val="00F66444"/>
    <w:rsid w:val="00F66A88"/>
    <w:rsid w:val="00F675A3"/>
    <w:rsid w:val="00F704DF"/>
    <w:rsid w:val="00F7172E"/>
    <w:rsid w:val="00F76FE6"/>
    <w:rsid w:val="00F77AFD"/>
    <w:rsid w:val="00F77BC6"/>
    <w:rsid w:val="00F77D0A"/>
    <w:rsid w:val="00F809CA"/>
    <w:rsid w:val="00F80B71"/>
    <w:rsid w:val="00F81E18"/>
    <w:rsid w:val="00F82893"/>
    <w:rsid w:val="00F83513"/>
    <w:rsid w:val="00F83AB7"/>
    <w:rsid w:val="00F84586"/>
    <w:rsid w:val="00F85C00"/>
    <w:rsid w:val="00F93617"/>
    <w:rsid w:val="00F93CF7"/>
    <w:rsid w:val="00F944AE"/>
    <w:rsid w:val="00F952D2"/>
    <w:rsid w:val="00F959C4"/>
    <w:rsid w:val="00F95D15"/>
    <w:rsid w:val="00F9692A"/>
    <w:rsid w:val="00FA0BC5"/>
    <w:rsid w:val="00FA2552"/>
    <w:rsid w:val="00FA360F"/>
    <w:rsid w:val="00FA42DA"/>
    <w:rsid w:val="00FA459F"/>
    <w:rsid w:val="00FA50C9"/>
    <w:rsid w:val="00FA563E"/>
    <w:rsid w:val="00FB3679"/>
    <w:rsid w:val="00FB5C1C"/>
    <w:rsid w:val="00FB60EB"/>
    <w:rsid w:val="00FB6240"/>
    <w:rsid w:val="00FB735D"/>
    <w:rsid w:val="00FB74D3"/>
    <w:rsid w:val="00FB7F32"/>
    <w:rsid w:val="00FC01B6"/>
    <w:rsid w:val="00FC0B72"/>
    <w:rsid w:val="00FC0E39"/>
    <w:rsid w:val="00FC199A"/>
    <w:rsid w:val="00FC31CF"/>
    <w:rsid w:val="00FC3B3D"/>
    <w:rsid w:val="00FC4166"/>
    <w:rsid w:val="00FC5F42"/>
    <w:rsid w:val="00FC68EB"/>
    <w:rsid w:val="00FC72A7"/>
    <w:rsid w:val="00FD07EE"/>
    <w:rsid w:val="00FD6A53"/>
    <w:rsid w:val="00FD752F"/>
    <w:rsid w:val="00FD7C8B"/>
    <w:rsid w:val="00FE006A"/>
    <w:rsid w:val="00FE06B7"/>
    <w:rsid w:val="00FE23FF"/>
    <w:rsid w:val="00FE2594"/>
    <w:rsid w:val="00FE286E"/>
    <w:rsid w:val="00FE2CBE"/>
    <w:rsid w:val="00FE3F40"/>
    <w:rsid w:val="00FE5B8F"/>
    <w:rsid w:val="00FE69C7"/>
    <w:rsid w:val="00FE6D14"/>
    <w:rsid w:val="00FE7A1A"/>
    <w:rsid w:val="00FF00D4"/>
    <w:rsid w:val="00FF0149"/>
    <w:rsid w:val="00FF07FA"/>
    <w:rsid w:val="00FF2DC5"/>
    <w:rsid w:val="00FF31DC"/>
    <w:rsid w:val="00FF5A0B"/>
    <w:rsid w:val="00FF78F4"/>
    <w:rsid w:val="00FF7AA4"/>
    <w:rsid w:val="00FF7D54"/>
    <w:rsid w:val="0159126E"/>
    <w:rsid w:val="02811C50"/>
    <w:rsid w:val="02CB7B00"/>
    <w:rsid w:val="03F977BD"/>
    <w:rsid w:val="04154B1B"/>
    <w:rsid w:val="042E69E2"/>
    <w:rsid w:val="04582D83"/>
    <w:rsid w:val="052B1173"/>
    <w:rsid w:val="053C0C8A"/>
    <w:rsid w:val="05FF0420"/>
    <w:rsid w:val="06376942"/>
    <w:rsid w:val="078A03D3"/>
    <w:rsid w:val="079815C8"/>
    <w:rsid w:val="090D306A"/>
    <w:rsid w:val="092071F7"/>
    <w:rsid w:val="098A2D84"/>
    <w:rsid w:val="09B060FC"/>
    <w:rsid w:val="0ADA132B"/>
    <w:rsid w:val="0BE70350"/>
    <w:rsid w:val="0C724374"/>
    <w:rsid w:val="0CB101B0"/>
    <w:rsid w:val="0CEA5470"/>
    <w:rsid w:val="0DD30A2B"/>
    <w:rsid w:val="0E3C7F4D"/>
    <w:rsid w:val="0EAF7832"/>
    <w:rsid w:val="103A048B"/>
    <w:rsid w:val="112B402D"/>
    <w:rsid w:val="11A82642"/>
    <w:rsid w:val="11D84F6D"/>
    <w:rsid w:val="12771554"/>
    <w:rsid w:val="12D04739"/>
    <w:rsid w:val="131E2DE2"/>
    <w:rsid w:val="133D454B"/>
    <w:rsid w:val="13963C5C"/>
    <w:rsid w:val="139F03F6"/>
    <w:rsid w:val="14D56CBC"/>
    <w:rsid w:val="14DA2F92"/>
    <w:rsid w:val="1525798D"/>
    <w:rsid w:val="153B2D0D"/>
    <w:rsid w:val="174E50AD"/>
    <w:rsid w:val="18DE45A6"/>
    <w:rsid w:val="19435583"/>
    <w:rsid w:val="19771B7E"/>
    <w:rsid w:val="1AE06FED"/>
    <w:rsid w:val="1BD866B3"/>
    <w:rsid w:val="1CA0088A"/>
    <w:rsid w:val="1DBF0627"/>
    <w:rsid w:val="1DC32EB5"/>
    <w:rsid w:val="1DCD2970"/>
    <w:rsid w:val="1EB61656"/>
    <w:rsid w:val="1FE04BDC"/>
    <w:rsid w:val="204A184E"/>
    <w:rsid w:val="205D447F"/>
    <w:rsid w:val="20971013"/>
    <w:rsid w:val="21A61FC4"/>
    <w:rsid w:val="220A4192"/>
    <w:rsid w:val="22AC349C"/>
    <w:rsid w:val="22B91715"/>
    <w:rsid w:val="24997A50"/>
    <w:rsid w:val="24D6105D"/>
    <w:rsid w:val="24E567F1"/>
    <w:rsid w:val="263A33A2"/>
    <w:rsid w:val="264F486A"/>
    <w:rsid w:val="27BA3F65"/>
    <w:rsid w:val="281573ED"/>
    <w:rsid w:val="288D1B1B"/>
    <w:rsid w:val="29505072"/>
    <w:rsid w:val="29B42C36"/>
    <w:rsid w:val="2A816FBC"/>
    <w:rsid w:val="2AA05E26"/>
    <w:rsid w:val="2B350611"/>
    <w:rsid w:val="2B836D64"/>
    <w:rsid w:val="2BC96E6C"/>
    <w:rsid w:val="2E1A39AF"/>
    <w:rsid w:val="2E304F81"/>
    <w:rsid w:val="2E374561"/>
    <w:rsid w:val="2EE1627B"/>
    <w:rsid w:val="304070FC"/>
    <w:rsid w:val="30890978"/>
    <w:rsid w:val="32777E7D"/>
    <w:rsid w:val="33453773"/>
    <w:rsid w:val="33DD1D36"/>
    <w:rsid w:val="33F702EF"/>
    <w:rsid w:val="34170D13"/>
    <w:rsid w:val="35C85566"/>
    <w:rsid w:val="369E2CA4"/>
    <w:rsid w:val="37394099"/>
    <w:rsid w:val="382E5B98"/>
    <w:rsid w:val="38547ABE"/>
    <w:rsid w:val="38D1110E"/>
    <w:rsid w:val="39AD3929"/>
    <w:rsid w:val="3A6B1889"/>
    <w:rsid w:val="3A8066BC"/>
    <w:rsid w:val="3A8F302F"/>
    <w:rsid w:val="3B9F1750"/>
    <w:rsid w:val="3BE64ED1"/>
    <w:rsid w:val="3C3C79E8"/>
    <w:rsid w:val="3CBB635D"/>
    <w:rsid w:val="3CC14813"/>
    <w:rsid w:val="3D6562C9"/>
    <w:rsid w:val="3DD1766F"/>
    <w:rsid w:val="3EB05C6A"/>
    <w:rsid w:val="3F00274D"/>
    <w:rsid w:val="3F5039A5"/>
    <w:rsid w:val="3F5E7474"/>
    <w:rsid w:val="40B93AD3"/>
    <w:rsid w:val="40ED0E46"/>
    <w:rsid w:val="41132024"/>
    <w:rsid w:val="426254CD"/>
    <w:rsid w:val="43193DDE"/>
    <w:rsid w:val="43675A04"/>
    <w:rsid w:val="43D877F5"/>
    <w:rsid w:val="43E10162"/>
    <w:rsid w:val="444F611F"/>
    <w:rsid w:val="44760A9D"/>
    <w:rsid w:val="44B4311E"/>
    <w:rsid w:val="44F248E6"/>
    <w:rsid w:val="45CC5137"/>
    <w:rsid w:val="45FF375F"/>
    <w:rsid w:val="46162856"/>
    <w:rsid w:val="46362EF9"/>
    <w:rsid w:val="46EE732F"/>
    <w:rsid w:val="476B0980"/>
    <w:rsid w:val="47CC2624"/>
    <w:rsid w:val="48AB372A"/>
    <w:rsid w:val="48CB3DCC"/>
    <w:rsid w:val="48D569F9"/>
    <w:rsid w:val="498D1081"/>
    <w:rsid w:val="49AA35CE"/>
    <w:rsid w:val="4A5611F5"/>
    <w:rsid w:val="4C8B180D"/>
    <w:rsid w:val="4CA037FA"/>
    <w:rsid w:val="4D0E24D9"/>
    <w:rsid w:val="4D73058E"/>
    <w:rsid w:val="4D7F33D7"/>
    <w:rsid w:val="4E824F2D"/>
    <w:rsid w:val="5085694D"/>
    <w:rsid w:val="509D0B67"/>
    <w:rsid w:val="50DE21C3"/>
    <w:rsid w:val="50E33C7D"/>
    <w:rsid w:val="51172D37"/>
    <w:rsid w:val="51644DBE"/>
    <w:rsid w:val="52685679"/>
    <w:rsid w:val="52A42F98"/>
    <w:rsid w:val="536C659C"/>
    <w:rsid w:val="542B1BC3"/>
    <w:rsid w:val="54B020C8"/>
    <w:rsid w:val="55E262B1"/>
    <w:rsid w:val="55FA2598"/>
    <w:rsid w:val="568B3E88"/>
    <w:rsid w:val="579B178C"/>
    <w:rsid w:val="596A6026"/>
    <w:rsid w:val="599364B0"/>
    <w:rsid w:val="5A492DA3"/>
    <w:rsid w:val="5A6645C8"/>
    <w:rsid w:val="5B912A21"/>
    <w:rsid w:val="5D5F3FD5"/>
    <w:rsid w:val="5D891708"/>
    <w:rsid w:val="5DCC7F73"/>
    <w:rsid w:val="5E0D40E7"/>
    <w:rsid w:val="5E190CDE"/>
    <w:rsid w:val="5E7B5E08"/>
    <w:rsid w:val="5E7D74BF"/>
    <w:rsid w:val="5EA66A16"/>
    <w:rsid w:val="5EC724E8"/>
    <w:rsid w:val="5F543E6A"/>
    <w:rsid w:val="5FE1582B"/>
    <w:rsid w:val="5FE62E42"/>
    <w:rsid w:val="5FF34165"/>
    <w:rsid w:val="60996056"/>
    <w:rsid w:val="61C176C2"/>
    <w:rsid w:val="61DD1805"/>
    <w:rsid w:val="6280132C"/>
    <w:rsid w:val="631A5FB8"/>
    <w:rsid w:val="63400343"/>
    <w:rsid w:val="65794AEE"/>
    <w:rsid w:val="65817895"/>
    <w:rsid w:val="65FC33BF"/>
    <w:rsid w:val="66096397"/>
    <w:rsid w:val="66AD46B9"/>
    <w:rsid w:val="67980EC5"/>
    <w:rsid w:val="680D2FC5"/>
    <w:rsid w:val="69D95C63"/>
    <w:rsid w:val="69E2467A"/>
    <w:rsid w:val="6AB9187F"/>
    <w:rsid w:val="6B737C7F"/>
    <w:rsid w:val="6C1256EA"/>
    <w:rsid w:val="6C134FBF"/>
    <w:rsid w:val="6C14399B"/>
    <w:rsid w:val="6C8934D3"/>
    <w:rsid w:val="6DD703B2"/>
    <w:rsid w:val="6E22686A"/>
    <w:rsid w:val="6EC802E2"/>
    <w:rsid w:val="6EFE3D04"/>
    <w:rsid w:val="6F776FE8"/>
    <w:rsid w:val="709938DD"/>
    <w:rsid w:val="712A6EE7"/>
    <w:rsid w:val="714F6A99"/>
    <w:rsid w:val="7185070D"/>
    <w:rsid w:val="724F1D63"/>
    <w:rsid w:val="73B01345"/>
    <w:rsid w:val="73B726D3"/>
    <w:rsid w:val="74D379E1"/>
    <w:rsid w:val="75410DEE"/>
    <w:rsid w:val="756C46A5"/>
    <w:rsid w:val="76807428"/>
    <w:rsid w:val="76C25A93"/>
    <w:rsid w:val="76EC08E6"/>
    <w:rsid w:val="77AD62C7"/>
    <w:rsid w:val="795B332D"/>
    <w:rsid w:val="7A5213A8"/>
    <w:rsid w:val="7AD41AC7"/>
    <w:rsid w:val="7B486307"/>
    <w:rsid w:val="7C0A19EF"/>
    <w:rsid w:val="7C31689A"/>
    <w:rsid w:val="7C460A98"/>
    <w:rsid w:val="7C8F0691"/>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5"/>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2">
    <w:name w:val="heading 2"/>
    <w:basedOn w:val="1"/>
    <w:next w:val="1"/>
    <w:unhideWhenUsed/>
    <w:qFormat/>
    <w:uiPriority w:val="0"/>
    <w:pPr>
      <w:keepNext/>
      <w:keepLines/>
      <w:outlineLvl w:val="1"/>
    </w:pPr>
    <w:rPr>
      <w:rFonts w:asciiTheme="majorHAnsi" w:hAnsiTheme="majorHAnsi" w:cstheme="majorBidi"/>
      <w:b/>
      <w:bCs/>
      <w:sz w:val="30"/>
      <w:szCs w:val="32"/>
      <w:lang w:eastAsia="ja-JP"/>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before="60" w:after="60" w:line="440" w:lineRule="exact"/>
      <w:ind w:right="-8" w:rightChars="-4" w:firstLine="490" w:firstLineChars="204"/>
    </w:pPr>
    <w:rPr>
      <w:bCs/>
      <w:color w:val="000000"/>
      <w:sz w:val="24"/>
      <w:szCs w:val="20"/>
    </w:rPr>
  </w:style>
  <w:style w:type="paragraph" w:styleId="6">
    <w:name w:val="annotation text"/>
    <w:basedOn w:val="1"/>
    <w:link w:val="47"/>
    <w:semiHidden/>
    <w:unhideWhenUsed/>
    <w:qFormat/>
    <w:uiPriority w:val="0"/>
    <w:pPr>
      <w:jc w:val="left"/>
    </w:pPr>
  </w:style>
  <w:style w:type="paragraph" w:styleId="7">
    <w:name w:val="Body Text"/>
    <w:basedOn w:val="1"/>
    <w:link w:val="38"/>
    <w:qFormat/>
    <w:uiPriority w:val="0"/>
    <w:pPr>
      <w:widowControl/>
      <w:jc w:val="left"/>
    </w:pPr>
    <w:rPr>
      <w:rFonts w:eastAsia="PMingLiU"/>
      <w:kern w:val="0"/>
      <w:sz w:val="24"/>
      <w:szCs w:val="20"/>
      <w:lang w:eastAsia="en-US"/>
    </w:rPr>
  </w:style>
  <w:style w:type="paragraph" w:styleId="8">
    <w:name w:val="Body Text Indent"/>
    <w:basedOn w:val="1"/>
    <w:link w:val="37"/>
    <w:qFormat/>
    <w:uiPriority w:val="0"/>
    <w:pPr>
      <w:widowControl/>
      <w:ind w:left="-270" w:firstLine="270"/>
      <w:jc w:val="left"/>
    </w:pPr>
    <w:rPr>
      <w:rFonts w:eastAsia="PMingLiU"/>
      <w:kern w:val="0"/>
      <w:sz w:val="24"/>
      <w:szCs w:val="20"/>
      <w:lang w:val="en-GB" w:eastAsia="en-US"/>
    </w:rPr>
  </w:style>
  <w:style w:type="paragraph" w:styleId="9">
    <w:name w:val="Plain Text"/>
    <w:basedOn w:val="1"/>
    <w:link w:val="35"/>
    <w:qFormat/>
    <w:uiPriority w:val="0"/>
    <w:rPr>
      <w:rFonts w:ascii="宋体" w:hAnsi="Courier New"/>
      <w:szCs w:val="20"/>
    </w:rPr>
  </w:style>
  <w:style w:type="paragraph" w:styleId="10">
    <w:name w:val="Balloon Text"/>
    <w:basedOn w:val="1"/>
    <w:semiHidden/>
    <w:qFormat/>
    <w:uiPriority w:val="0"/>
    <w:rPr>
      <w:sz w:val="18"/>
      <w:szCs w:val="18"/>
    </w:rPr>
  </w:style>
  <w:style w:type="paragraph" w:styleId="11">
    <w:name w:val="footer"/>
    <w:basedOn w:val="1"/>
    <w:link w:val="28"/>
    <w:qFormat/>
    <w:uiPriority w:val="99"/>
    <w:pPr>
      <w:tabs>
        <w:tab w:val="center" w:pos="4153"/>
        <w:tab w:val="right" w:pos="8306"/>
      </w:tabs>
      <w:snapToGrid w:val="0"/>
      <w:jc w:val="left"/>
    </w:pPr>
    <w:rPr>
      <w:sz w:val="18"/>
      <w:szCs w:val="18"/>
    </w:rPr>
  </w:style>
  <w:style w:type="paragraph" w:styleId="12">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Body Text Indent 3"/>
    <w:basedOn w:val="1"/>
    <w:qFormat/>
    <w:uiPriority w:val="0"/>
    <w:pPr>
      <w:autoSpaceDE w:val="0"/>
      <w:autoSpaceDN w:val="0"/>
      <w:spacing w:line="400" w:lineRule="atLeast"/>
      <w:ind w:firstLine="443" w:firstLineChars="200"/>
      <w:textAlignment w:val="bottom"/>
    </w:pPr>
    <w:rPr>
      <w:rFonts w:eastAsia="黑体"/>
      <w:color w:val="000000"/>
      <w:sz w:val="24"/>
    </w:rPr>
  </w:style>
  <w:style w:type="paragraph" w:styleId="15">
    <w:name w:val="Normal (Web)"/>
    <w:basedOn w:val="1"/>
    <w:qFormat/>
    <w:uiPriority w:val="99"/>
    <w:pPr>
      <w:widowControl/>
      <w:spacing w:before="100" w:beforeAutospacing="1" w:after="100" w:afterAutospacing="1"/>
      <w:jc w:val="left"/>
    </w:pPr>
    <w:rPr>
      <w:rFonts w:ascii="宋体" w:hAnsi="宋体" w:cs="宋体"/>
      <w:color w:val="000000"/>
      <w:kern w:val="0"/>
      <w:sz w:val="24"/>
    </w:rPr>
  </w:style>
  <w:style w:type="paragraph" w:styleId="16">
    <w:name w:val="Title"/>
    <w:basedOn w:val="1"/>
    <w:next w:val="1"/>
    <w:link w:val="53"/>
    <w:qFormat/>
    <w:uiPriority w:val="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8"/>
    <w:semiHidden/>
    <w:unhideWhenUsed/>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bCs/>
    </w:rPr>
  </w:style>
  <w:style w:type="character" w:styleId="22">
    <w:name w:val="Emphasis"/>
    <w:qFormat/>
    <w:uiPriority w:val="20"/>
    <w:rPr>
      <w:color w:val="DD4B39"/>
    </w:rPr>
  </w:style>
  <w:style w:type="character" w:styleId="23">
    <w:name w:val="Hyperlink"/>
    <w:qFormat/>
    <w:uiPriority w:val="99"/>
    <w:rPr>
      <w:color w:val="0000FF"/>
      <w:u w:val="single"/>
    </w:rPr>
  </w:style>
  <w:style w:type="character" w:styleId="24">
    <w:name w:val="annotation reference"/>
    <w:basedOn w:val="20"/>
    <w:semiHidden/>
    <w:unhideWhenUsed/>
    <w:qFormat/>
    <w:uiPriority w:val="0"/>
    <w:rPr>
      <w:sz w:val="21"/>
      <w:szCs w:val="21"/>
    </w:rPr>
  </w:style>
  <w:style w:type="paragraph" w:customStyle="1" w:styleId="25">
    <w:name w:val="首行缩进"/>
    <w:basedOn w:val="1"/>
    <w:qFormat/>
    <w:uiPriority w:val="0"/>
    <w:pPr>
      <w:widowControl/>
      <w:tabs>
        <w:tab w:val="left" w:pos="822"/>
      </w:tabs>
      <w:snapToGrid w:val="0"/>
      <w:spacing w:before="40" w:after="40" w:line="300" w:lineRule="atLeast"/>
      <w:ind w:left="2940" w:hanging="420"/>
    </w:pPr>
    <w:rPr>
      <w:rFonts w:ascii="Arial" w:hAnsi="Arial"/>
      <w:kern w:val="0"/>
      <w:szCs w:val="20"/>
    </w:rPr>
  </w:style>
  <w:style w:type="paragraph" w:customStyle="1" w:styleId="26">
    <w:name w:val="Default"/>
    <w:qFormat/>
    <w:uiPriority w:val="0"/>
    <w:pPr>
      <w:widowControl w:val="0"/>
      <w:autoSpaceDE w:val="0"/>
      <w:autoSpaceDN w:val="0"/>
      <w:adjustRightInd w:val="0"/>
    </w:pPr>
    <w:rPr>
      <w:rFonts w:ascii="JEHOPL+TimesNewRomanPS" w:hAnsi="Times New Roman" w:eastAsia="JEHOPL+TimesNewRomanPS" w:cs="JEHOPL+TimesNewRomanPS"/>
      <w:color w:val="000000"/>
      <w:sz w:val="24"/>
      <w:szCs w:val="24"/>
      <w:lang w:val="en-US" w:eastAsia="zh-CN" w:bidi="ar-SA"/>
    </w:rPr>
  </w:style>
  <w:style w:type="character" w:customStyle="1" w:styleId="27">
    <w:name w:val="页眉 Char"/>
    <w:link w:val="12"/>
    <w:qFormat/>
    <w:uiPriority w:val="0"/>
    <w:rPr>
      <w:kern w:val="2"/>
      <w:sz w:val="18"/>
      <w:szCs w:val="18"/>
    </w:rPr>
  </w:style>
  <w:style w:type="character" w:customStyle="1" w:styleId="28">
    <w:name w:val="页脚 Char"/>
    <w:link w:val="11"/>
    <w:qFormat/>
    <w:uiPriority w:val="99"/>
    <w:rPr>
      <w:kern w:val="2"/>
      <w:sz w:val="18"/>
      <w:szCs w:val="18"/>
    </w:rPr>
  </w:style>
  <w:style w:type="paragraph" w:styleId="29">
    <w:name w:val="List Paragraph"/>
    <w:basedOn w:val="1"/>
    <w:qFormat/>
    <w:uiPriority w:val="34"/>
    <w:pPr>
      <w:ind w:firstLine="420" w:firstLineChars="200"/>
    </w:pPr>
    <w:rPr>
      <w:rFonts w:ascii="Calibri" w:hAnsi="Calibri"/>
      <w:szCs w:val="22"/>
    </w:rPr>
  </w:style>
  <w:style w:type="paragraph" w:customStyle="1" w:styleId="30">
    <w:name w:val="Char"/>
    <w:basedOn w:val="1"/>
    <w:qFormat/>
    <w:uiPriority w:val="0"/>
    <w:pPr>
      <w:spacing w:line="360" w:lineRule="auto"/>
      <w:ind w:firstLine="200" w:firstLineChars="200"/>
    </w:pPr>
    <w:rPr>
      <w:rFonts w:ascii="宋体" w:hAnsi="宋体" w:cs="宋体"/>
      <w:sz w:val="24"/>
    </w:rPr>
  </w:style>
  <w:style w:type="paragraph" w:customStyle="1" w:styleId="31">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apple-style-span"/>
    <w:basedOn w:val="20"/>
    <w:qFormat/>
    <w:uiPriority w:val="0"/>
  </w:style>
  <w:style w:type="paragraph" w:customStyle="1" w:styleId="33">
    <w:name w:val="列出段落1"/>
    <w:basedOn w:val="1"/>
    <w:qFormat/>
    <w:uiPriority w:val="0"/>
    <w:pPr>
      <w:ind w:firstLine="420" w:firstLineChars="200"/>
    </w:pPr>
  </w:style>
  <w:style w:type="character" w:customStyle="1" w:styleId="34">
    <w:name w:val="bumpedfont20"/>
    <w:basedOn w:val="20"/>
    <w:qFormat/>
    <w:uiPriority w:val="0"/>
  </w:style>
  <w:style w:type="character" w:customStyle="1" w:styleId="35">
    <w:name w:val="纯文本 Char"/>
    <w:link w:val="9"/>
    <w:qFormat/>
    <w:uiPriority w:val="0"/>
    <w:rPr>
      <w:rFonts w:ascii="宋体" w:hAnsi="Courier New"/>
      <w:kern w:val="2"/>
      <w:sz w:val="21"/>
    </w:rPr>
  </w:style>
  <w:style w:type="paragraph" w:styleId="36">
    <w:name w:val="No Spacing"/>
    <w:qFormat/>
    <w:uiPriority w:val="1"/>
    <w:pPr>
      <w:widowControl w:val="0"/>
      <w:adjustRightInd w:val="0"/>
      <w:textAlignment w:val="baseline"/>
    </w:pPr>
    <w:rPr>
      <w:rFonts w:ascii="Times New Roman" w:hAnsi="Times New Roman" w:eastAsia="宋体" w:cs="Times New Roman"/>
      <w:lang w:val="en-US" w:eastAsia="zh-CN" w:bidi="ar-SA"/>
    </w:rPr>
  </w:style>
  <w:style w:type="character" w:customStyle="1" w:styleId="37">
    <w:name w:val="正文文本缩进 Char"/>
    <w:link w:val="8"/>
    <w:qFormat/>
    <w:uiPriority w:val="0"/>
    <w:rPr>
      <w:rFonts w:eastAsia="PMingLiU"/>
      <w:sz w:val="24"/>
      <w:lang w:val="en-GB" w:eastAsia="en-US"/>
    </w:rPr>
  </w:style>
  <w:style w:type="character" w:customStyle="1" w:styleId="38">
    <w:name w:val="正文文本 Char"/>
    <w:link w:val="7"/>
    <w:qFormat/>
    <w:uiPriority w:val="0"/>
    <w:rPr>
      <w:rFonts w:eastAsia="PMingLiU"/>
      <w:sz w:val="24"/>
      <w:lang w:eastAsia="en-US"/>
    </w:rPr>
  </w:style>
  <w:style w:type="character" w:customStyle="1" w:styleId="39">
    <w:name w:val="short_text"/>
    <w:qFormat/>
    <w:uiPriority w:val="0"/>
  </w:style>
  <w:style w:type="character" w:customStyle="1" w:styleId="40">
    <w:name w:val="st1"/>
    <w:qFormat/>
    <w:uiPriority w:val="0"/>
  </w:style>
  <w:style w:type="character" w:customStyle="1" w:styleId="41">
    <w:name w:val="apple-converted-space"/>
    <w:basedOn w:val="20"/>
    <w:qFormat/>
    <w:uiPriority w:val="99"/>
  </w:style>
  <w:style w:type="paragraph" w:customStyle="1" w:styleId="42">
    <w:name w:val="默认"/>
    <w:qFormat/>
    <w:uiPriority w:val="0"/>
    <w:rPr>
      <w:rFonts w:hint="eastAsia" w:ascii="Arial Unicode MS" w:hAnsi="Arial Unicode MS" w:eastAsia="Helvetica" w:cs="Arial Unicode MS"/>
      <w:color w:val="000000"/>
      <w:sz w:val="22"/>
      <w:szCs w:val="22"/>
      <w:lang w:val="zh-CN" w:eastAsia="zh-CN" w:bidi="ar-SA"/>
    </w:rPr>
  </w:style>
  <w:style w:type="table" w:customStyle="1" w:styleId="43">
    <w:name w:val="网格型1"/>
    <w:basedOn w:val="1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44">
    <w:name w:val="_Style 2"/>
    <w:basedOn w:val="1"/>
    <w:qFormat/>
    <w:uiPriority w:val="34"/>
    <w:pPr>
      <w:ind w:firstLine="420" w:firstLineChars="200"/>
    </w:pPr>
  </w:style>
  <w:style w:type="character" w:customStyle="1" w:styleId="45">
    <w:name w:val="标题 1 Char"/>
    <w:basedOn w:val="20"/>
    <w:link w:val="3"/>
    <w:qFormat/>
    <w:uiPriority w:val="9"/>
    <w:rPr>
      <w:rFonts w:asciiTheme="minorHAnsi" w:hAnsiTheme="minorHAnsi" w:eastAsiaTheme="minorEastAsia" w:cstheme="minorBidi"/>
      <w:b/>
      <w:bCs/>
      <w:kern w:val="44"/>
      <w:sz w:val="44"/>
      <w:szCs w:val="44"/>
    </w:rPr>
  </w:style>
  <w:style w:type="paragraph" w:customStyle="1" w:styleId="46">
    <w:name w:val="列出段落2"/>
    <w:basedOn w:val="1"/>
    <w:qFormat/>
    <w:uiPriority w:val="0"/>
    <w:pPr>
      <w:ind w:firstLine="420" w:firstLineChars="200"/>
    </w:pPr>
    <w:rPr>
      <w:rFonts w:ascii="Calibri" w:hAnsi="Calibri"/>
      <w:szCs w:val="22"/>
    </w:rPr>
  </w:style>
  <w:style w:type="character" w:customStyle="1" w:styleId="47">
    <w:name w:val="批注文字 Char"/>
    <w:basedOn w:val="20"/>
    <w:link w:val="6"/>
    <w:semiHidden/>
    <w:qFormat/>
    <w:uiPriority w:val="0"/>
    <w:rPr>
      <w:kern w:val="2"/>
      <w:sz w:val="21"/>
      <w:szCs w:val="24"/>
    </w:rPr>
  </w:style>
  <w:style w:type="character" w:customStyle="1" w:styleId="48">
    <w:name w:val="批注主题 Char"/>
    <w:basedOn w:val="47"/>
    <w:link w:val="17"/>
    <w:semiHidden/>
    <w:qFormat/>
    <w:uiPriority w:val="0"/>
    <w:rPr>
      <w:b/>
      <w:bCs/>
      <w:kern w:val="2"/>
      <w:sz w:val="21"/>
      <w:szCs w:val="24"/>
    </w:rPr>
  </w:style>
  <w:style w:type="table" w:customStyle="1" w:styleId="49">
    <w:name w:val="网格型2"/>
    <w:basedOn w:val="18"/>
    <w:qFormat/>
    <w:uiPriority w:val="0"/>
    <w:pPr>
      <w:widowControl w:val="0"/>
      <w:jc w:val="both"/>
    </w:pPr>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50">
    <w:name w:val="修订1"/>
    <w:hidden/>
    <w:semiHidden/>
    <w:unhideWhenUsed/>
    <w:qFormat/>
    <w:uiPriority w:val="99"/>
    <w:rPr>
      <w:rFonts w:ascii="Times New Roman" w:hAnsi="Times New Roman" w:eastAsia="宋体" w:cs="Times New Roman"/>
      <w:kern w:val="2"/>
      <w:sz w:val="21"/>
      <w:szCs w:val="24"/>
      <w:lang w:val="en-US" w:eastAsia="zh-CN" w:bidi="ar-SA"/>
    </w:rPr>
  </w:style>
  <w:style w:type="paragraph" w:customStyle="1" w:styleId="51">
    <w:name w:val="正文文字"/>
    <w:basedOn w:val="1"/>
    <w:qFormat/>
    <w:uiPriority w:val="0"/>
    <w:pPr>
      <w:widowControl/>
      <w:spacing w:line="952" w:lineRule="atLeast"/>
      <w:ind w:firstLine="419"/>
      <w:textAlignment w:val="baseline"/>
    </w:pPr>
    <w:rPr>
      <w:b/>
      <w:color w:val="000000"/>
      <w:kern w:val="0"/>
      <w:sz w:val="44"/>
      <w:szCs w:val="20"/>
      <w:u w:color="000000"/>
    </w:rPr>
  </w:style>
  <w:style w:type="paragraph" w:customStyle="1" w:styleId="52">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3">
    <w:name w:val="标题 Char"/>
    <w:basedOn w:val="20"/>
    <w:link w:val="16"/>
    <w:qFormat/>
    <w:uiPriority w:val="0"/>
    <w:rPr>
      <w:rFonts w:asciiTheme="majorHAnsi" w:hAnsiTheme="majorHAnsi" w:cstheme="majorBidi"/>
      <w:b/>
      <w:bCs/>
      <w:kern w:val="2"/>
      <w:sz w:val="32"/>
      <w:szCs w:val="32"/>
    </w:rPr>
  </w:style>
  <w:style w:type="paragraph" w:customStyle="1" w:styleId="54">
    <w:name w:val="Body Text Indent 31"/>
    <w:basedOn w:val="1"/>
    <w:qFormat/>
    <w:uiPriority w:val="0"/>
    <w:pPr>
      <w:spacing w:line="300" w:lineRule="auto"/>
      <w:ind w:firstLine="600"/>
    </w:pPr>
    <w:rPr>
      <w:rFonts w:ascii="仿宋_GB2312" w:eastAsia="仿宋_GB2312"/>
      <w:b/>
      <w:spacing w:val="4"/>
      <w:kern w:val="0"/>
      <w:sz w:val="28"/>
      <w:szCs w:val="20"/>
    </w:rPr>
  </w:style>
  <w:style w:type="paragraph" w:customStyle="1" w:styleId="55">
    <w:name w:val="我的正文"/>
    <w:basedOn w:val="1"/>
    <w:qFormat/>
    <w:uiPriority w:val="0"/>
    <w:pPr>
      <w:widowControl/>
      <w:adjustRightInd w:val="0"/>
      <w:snapToGrid w:val="0"/>
      <w:ind w:firstLine="200" w:firstLineChars="200"/>
      <w:jc w:val="left"/>
    </w:pPr>
    <w:rPr>
      <w:rFonts w:ascii="仿宋" w:hAnsi="仿宋" w:eastAsia="仿宋"/>
      <w:kern w:val="0"/>
      <w:sz w:val="24"/>
      <w:szCs w:val="30"/>
      <w:lang w:val="zh-CN"/>
    </w:rPr>
  </w:style>
  <w:style w:type="paragraph" w:customStyle="1" w:styleId="56">
    <w:name w:val="p1"/>
    <w:basedOn w:val="1"/>
    <w:qFormat/>
    <w:uiPriority w:val="0"/>
    <w:pPr>
      <w:jc w:val="left"/>
    </w:pPr>
    <w:rPr>
      <w:rFonts w:ascii="Helvetica" w:hAnsi="Helvetica" w:eastAsia="Helvetica" w:cs="Times New Roman"/>
      <w:kern w:val="0"/>
      <w:sz w:val="24"/>
    </w:rPr>
  </w:style>
  <w:style w:type="paragraph" w:customStyle="1" w:styleId="57">
    <w:name w:val="Table Paragraph"/>
    <w:basedOn w:val="1"/>
    <w:unhideWhenUsed/>
    <w:qFormat/>
    <w:uiPriority w:val="1"/>
    <w:rPr>
      <w:rFonts w:ascii="Times New Roman" w:hAnsi="Times New Roman" w:cs="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20</Pages>
  <Words>2497</Words>
  <Characters>2630</Characters>
  <Lines>56</Lines>
  <Paragraphs>16</Paragraphs>
  <TotalTime>7</TotalTime>
  <ScaleCrop>false</ScaleCrop>
  <LinksUpToDate>false</LinksUpToDate>
  <CharactersWithSpaces>2662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2020-08-03T07:24:00Z</dcterms:created>
  <dc:creator>HP</dc:creator>
  <cp:lastModifiedBy>zly</cp:lastModifiedBy>
  <cp:lastPrinted>2025-10-28T06:41:00Z</cp:lastPrinted>
  <dcterms:modified xsi:type="dcterms:W3CDTF">2025-11-26T06:27:47Z</dcterms:modified>
  <cp:revision>668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58E5C2A9DD7A4340B35AEBFC7DE98184_13</vt:lpwstr>
  </property>
  <property fmtid="{D5CDD505-2E9C-101B-9397-08002B2CF9AE}" pid="4" name="KSOTemplateDocerSaveRecord">
    <vt:lpwstr>eyJoZGlkIjoiODlkNTFjZWZjNjlhMGEzMjAxNTIyNzhmODM3Y2YyNjYiLCJ1c2VySWQiOiI0MTQ2MjQ3NjQifQ==</vt:lpwstr>
  </property>
</Properties>
</file>