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A1" w:rsidRDefault="00F90598" w:rsidP="000C1749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7C114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7C114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8"/>
        <w:tblW w:w="5000" w:type="pct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1808"/>
        <w:gridCol w:w="7179"/>
      </w:tblGrid>
      <w:tr w:rsidR="00421675" w:rsidTr="004C2BDE">
        <w:trPr>
          <w:trHeight w:val="418"/>
        </w:trPr>
        <w:tc>
          <w:tcPr>
            <w:tcW w:w="5000" w:type="pct"/>
            <w:gridSpan w:val="2"/>
          </w:tcPr>
          <w:p w:rsidR="00421675" w:rsidRDefault="00421675" w:rsidP="004C2BD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设备基本需求表</w:t>
            </w:r>
          </w:p>
        </w:tc>
      </w:tr>
      <w:tr w:rsidR="00421675" w:rsidTr="004C2BDE">
        <w:trPr>
          <w:trHeight w:hRule="exact" w:val="562"/>
        </w:trPr>
        <w:tc>
          <w:tcPr>
            <w:tcW w:w="1006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94" w:type="pct"/>
          </w:tcPr>
          <w:p w:rsidR="00421675" w:rsidRDefault="00421675" w:rsidP="004C2BDE">
            <w:pPr>
              <w:jc w:val="left"/>
              <w:rPr>
                <w:sz w:val="28"/>
                <w:szCs w:val="30"/>
              </w:rPr>
            </w:pPr>
            <w:r w:rsidRPr="00461DE8">
              <w:rPr>
                <w:rFonts w:hint="eastAsia"/>
                <w:sz w:val="28"/>
                <w:szCs w:val="30"/>
              </w:rPr>
              <w:t>妇科射频治疗仪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Pr="00461D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微无创治疗子宫肌瘤、子宫腺肌病、异常子宫出血等疾病，为多种妇科良性疾病的治疗提供更多的可选择治疗方案，实现患者不开刀治疗疾病并保留子宫的愿望。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12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  <w:r w:rsidRPr="00593C6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量：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3994" w:type="pct"/>
          </w:tcPr>
          <w:p w:rsidR="00421675" w:rsidRPr="004A2801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100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21675" w:rsidTr="004C2BDE">
        <w:trPr>
          <w:trHeight w:val="557"/>
        </w:trPr>
        <w:tc>
          <w:tcPr>
            <w:tcW w:w="5000" w:type="pct"/>
            <w:gridSpan w:val="2"/>
          </w:tcPr>
          <w:p w:rsidR="00421675" w:rsidRPr="00421675" w:rsidRDefault="00421675" w:rsidP="004C2BDE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421675">
              <w:rPr>
                <w:rFonts w:hint="eastAsia"/>
                <w:bCs/>
                <w:sz w:val="24"/>
                <w:szCs w:val="24"/>
              </w:rPr>
              <w:t>1.</w:t>
            </w:r>
            <w:r w:rsidRPr="00421675">
              <w:rPr>
                <w:rFonts w:hint="eastAsia"/>
                <w:bCs/>
                <w:sz w:val="24"/>
                <w:szCs w:val="24"/>
              </w:rPr>
              <w:t>将射频电磁波通过自凝刀介入到病变部位，使局部组织产生高热效应，直至凝固变性坏死而达到治疗的目的。</w:t>
            </w:r>
          </w:p>
          <w:p w:rsidR="00421675" w:rsidRPr="00421675" w:rsidRDefault="00421675" w:rsidP="004C2BDE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421675">
              <w:rPr>
                <w:rFonts w:hint="eastAsia"/>
                <w:bCs/>
                <w:sz w:val="24"/>
                <w:szCs w:val="24"/>
              </w:rPr>
              <w:t>2.</w:t>
            </w:r>
            <w:r w:rsidRPr="00421675">
              <w:rPr>
                <w:rFonts w:hint="eastAsia"/>
                <w:bCs/>
                <w:sz w:val="24"/>
                <w:szCs w:val="24"/>
              </w:rPr>
              <w:t>既能治疗子宫肌瘤（黏膜下、肌壁间）、子宫腺肌病、异常子宫出血，又能治疗各种宫颈病变。</w:t>
            </w:r>
          </w:p>
          <w:p w:rsidR="00421675" w:rsidRPr="00421675" w:rsidRDefault="00421675" w:rsidP="004C2BDE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421675">
              <w:rPr>
                <w:rFonts w:hint="eastAsia"/>
                <w:bCs/>
                <w:sz w:val="24"/>
                <w:szCs w:val="24"/>
              </w:rPr>
              <w:t>3.</w:t>
            </w:r>
            <w:r w:rsidRPr="00421675">
              <w:rPr>
                <w:rFonts w:hint="eastAsia"/>
                <w:bCs/>
                <w:sz w:val="24"/>
                <w:szCs w:val="24"/>
              </w:rPr>
              <w:t>实时无创监视。</w:t>
            </w:r>
          </w:p>
          <w:p w:rsidR="00421675" w:rsidRPr="00421675" w:rsidRDefault="00421675" w:rsidP="004C2BDE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421675">
              <w:rPr>
                <w:rFonts w:hint="eastAsia"/>
                <w:bCs/>
                <w:sz w:val="24"/>
                <w:szCs w:val="24"/>
              </w:rPr>
              <w:t>4.</w:t>
            </w:r>
            <w:r w:rsidRPr="00421675">
              <w:rPr>
                <w:rFonts w:hint="eastAsia"/>
                <w:bCs/>
                <w:sz w:val="24"/>
                <w:szCs w:val="24"/>
              </w:rPr>
              <w:t>经阴道微创介入，施行定位、定量、定性的靶点治疗。</w:t>
            </w:r>
          </w:p>
          <w:p w:rsidR="00421675" w:rsidRDefault="00421675" w:rsidP="004C2BDE">
            <w:pPr>
              <w:ind w:rightChars="-162" w:right="-340"/>
            </w:pPr>
            <w:r w:rsidRPr="00421675">
              <w:rPr>
                <w:rFonts w:hint="eastAsia"/>
                <w:bCs/>
                <w:sz w:val="24"/>
                <w:szCs w:val="24"/>
              </w:rPr>
              <w:t>5.</w:t>
            </w:r>
            <w:r w:rsidRPr="00421675">
              <w:rPr>
                <w:rFonts w:hint="eastAsia"/>
                <w:bCs/>
                <w:sz w:val="24"/>
                <w:szCs w:val="24"/>
              </w:rPr>
              <w:t>对于异常子宫出血，自凝刀可实行子宫内膜消融的治疗。</w:t>
            </w:r>
          </w:p>
        </w:tc>
      </w:tr>
      <w:tr w:rsidR="00421675" w:rsidTr="004C2BDE">
        <w:trPr>
          <w:trHeight w:val="287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21675" w:rsidTr="004C2BDE">
        <w:trPr>
          <w:trHeight w:val="495"/>
        </w:trPr>
        <w:tc>
          <w:tcPr>
            <w:tcW w:w="5000" w:type="pct"/>
            <w:gridSpan w:val="2"/>
          </w:tcPr>
          <w:p w:rsidR="00111860" w:rsidRDefault="00421675" w:rsidP="004C2BDE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主机、手柄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 w:rsidRPr="005569EC">
              <w:rPr>
                <w:rFonts w:ascii="宋体" w:hAnsi="宋体" w:hint="eastAsia"/>
                <w:sz w:val="24"/>
                <w:szCs w:val="24"/>
              </w:rPr>
              <w:t>治疗</w:t>
            </w:r>
            <w:r>
              <w:rPr>
                <w:rFonts w:ascii="宋体" w:hAnsi="宋体" w:hint="eastAsia"/>
                <w:sz w:val="24"/>
                <w:szCs w:val="24"/>
              </w:rPr>
              <w:t>电极（需要提供</w:t>
            </w:r>
            <w:r>
              <w:rPr>
                <w:rFonts w:ascii="宋体" w:hAnsi="宋体"/>
                <w:sz w:val="24"/>
                <w:szCs w:val="24"/>
              </w:rPr>
              <w:t>备用</w:t>
            </w:r>
            <w:r>
              <w:rPr>
                <w:rFonts w:ascii="宋体" w:hAnsi="宋体" w:hint="eastAsia"/>
                <w:sz w:val="24"/>
                <w:szCs w:val="24"/>
              </w:rPr>
              <w:t>电极）</w:t>
            </w:r>
            <w:r w:rsidRPr="005569EC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421675" w:rsidRPr="001778E7" w:rsidRDefault="00421675" w:rsidP="004C2BDE">
            <w:pPr>
              <w:snapToGrid w:val="0"/>
            </w:pPr>
            <w:bookmarkStart w:id="0" w:name="_GoBack"/>
            <w:bookmarkEnd w:id="0"/>
            <w:r w:rsidRPr="005569EC">
              <w:rPr>
                <w:rFonts w:ascii="宋体" w:hAnsi="宋体"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3994" w:type="pct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Default="00421675" w:rsidP="004C2BDE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原厂质保期（含配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件）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E0312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E031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4.2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F6540A" w:rsidRDefault="00421675" w:rsidP="004C2BDE">
            <w:pPr>
              <w:rPr>
                <w:rFonts w:ascii="Times New Roman" w:hAnsi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403266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F6540A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>名称、价格清单</w:t>
            </w:r>
            <w:r w:rsidRPr="00F6540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例如治疗手柄、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电极等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铭牌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截图佐证）；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3994" w:type="pct"/>
            <w:shd w:val="clear" w:color="auto" w:fill="auto"/>
            <w:vAlign w:val="center"/>
          </w:tcPr>
          <w:p w:rsidR="00421675" w:rsidRPr="009A13DC" w:rsidRDefault="00421675" w:rsidP="004C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9A13DC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9A13DC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3994" w:type="pct"/>
            <w:shd w:val="clear" w:color="auto" w:fill="auto"/>
          </w:tcPr>
          <w:p w:rsidR="00421675" w:rsidRPr="009A13DC" w:rsidRDefault="00421675" w:rsidP="004C2B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A13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421675" w:rsidTr="004C2BDE">
        <w:trPr>
          <w:trHeight w:val="308"/>
        </w:trPr>
        <w:tc>
          <w:tcPr>
            <w:tcW w:w="1006" w:type="pct"/>
          </w:tcPr>
          <w:p w:rsidR="00421675" w:rsidRDefault="00421675" w:rsidP="004C2BDE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5.1 </w:t>
            </w:r>
          </w:p>
        </w:tc>
        <w:tc>
          <w:tcPr>
            <w:tcW w:w="3994" w:type="pct"/>
            <w:shd w:val="clear" w:color="auto" w:fill="auto"/>
          </w:tcPr>
          <w:p w:rsidR="00421675" w:rsidRDefault="00421675" w:rsidP="004C2BDE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:rsidR="00421675" w:rsidRDefault="00421675" w:rsidP="00421675">
      <w:pPr>
        <w:pStyle w:val="1"/>
      </w:pPr>
    </w:p>
    <w:sectPr w:rsidR="00421675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3A" w:rsidRDefault="0016763A" w:rsidP="009C1DE4">
      <w:r>
        <w:separator/>
      </w:r>
    </w:p>
  </w:endnote>
  <w:endnote w:type="continuationSeparator" w:id="0">
    <w:p w:rsidR="0016763A" w:rsidRDefault="0016763A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3A" w:rsidRDefault="0016763A" w:rsidP="009C1DE4">
      <w:r>
        <w:separator/>
      </w:r>
    </w:p>
  </w:footnote>
  <w:footnote w:type="continuationSeparator" w:id="0">
    <w:p w:rsidR="0016763A" w:rsidRDefault="0016763A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 w15:restartNumberingAfterBreak="0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5" w15:restartNumberingAfterBreak="0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 w15:restartNumberingAfterBreak="0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5EEFAC89"/>
    <w:multiLevelType w:val="singleLevel"/>
    <w:tmpl w:val="5EEFAC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1" w15:restartNumberingAfterBreak="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64E0F"/>
    <w:rsid w:val="000C1749"/>
    <w:rsid w:val="00111860"/>
    <w:rsid w:val="00127359"/>
    <w:rsid w:val="00157150"/>
    <w:rsid w:val="0016763A"/>
    <w:rsid w:val="00263A80"/>
    <w:rsid w:val="002E16D7"/>
    <w:rsid w:val="00377130"/>
    <w:rsid w:val="003A7865"/>
    <w:rsid w:val="00421675"/>
    <w:rsid w:val="004410F8"/>
    <w:rsid w:val="005569EC"/>
    <w:rsid w:val="005E73A1"/>
    <w:rsid w:val="006E05B9"/>
    <w:rsid w:val="007109B6"/>
    <w:rsid w:val="007735E4"/>
    <w:rsid w:val="007C1144"/>
    <w:rsid w:val="007F174F"/>
    <w:rsid w:val="00837866"/>
    <w:rsid w:val="00837FB7"/>
    <w:rsid w:val="00862B3E"/>
    <w:rsid w:val="008824BE"/>
    <w:rsid w:val="008C7C81"/>
    <w:rsid w:val="008D2F39"/>
    <w:rsid w:val="00920C69"/>
    <w:rsid w:val="009C1DE4"/>
    <w:rsid w:val="009E5DE7"/>
    <w:rsid w:val="00A1587C"/>
    <w:rsid w:val="00A303E0"/>
    <w:rsid w:val="00A75617"/>
    <w:rsid w:val="00AA412E"/>
    <w:rsid w:val="00B547DE"/>
    <w:rsid w:val="00BB1275"/>
    <w:rsid w:val="00C3662C"/>
    <w:rsid w:val="00C53372"/>
    <w:rsid w:val="00D67B51"/>
    <w:rsid w:val="00D8185B"/>
    <w:rsid w:val="00D85DD8"/>
    <w:rsid w:val="00DA350A"/>
    <w:rsid w:val="00DC6329"/>
    <w:rsid w:val="00DD51A0"/>
    <w:rsid w:val="00E2108E"/>
    <w:rsid w:val="00F3211C"/>
    <w:rsid w:val="00F90598"/>
    <w:rsid w:val="00F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D6561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7735E4"/>
    <w:pPr>
      <w:framePr w:hSpace="180" w:wrap="around" w:vAnchor="text" w:hAnchor="page" w:x="545" w:y="139"/>
      <w:suppressOverlap/>
      <w:outlineLvl w:val="1"/>
    </w:pPr>
    <w:rPr>
      <w:rFonts w:ascii="宋体" w:eastAsia="宋体" w:hAnsi="Times New Roman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D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DE4"/>
    <w:rPr>
      <w:sz w:val="18"/>
      <w:szCs w:val="18"/>
    </w:rPr>
  </w:style>
  <w:style w:type="table" w:styleId="a8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B127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7735E4"/>
    <w:rPr>
      <w:rFonts w:ascii="宋体" w:eastAsia="宋体" w:hAnsi="Times New Roman" w:cs="Times New Roman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</Words>
  <Characters>480</Characters>
  <Application>Microsoft Office Word</Application>
  <DocSecurity>0</DocSecurity>
  <Lines>4</Lines>
  <Paragraphs>1</Paragraphs>
  <ScaleCrop>false</ScaleCrop>
  <Company>微软公司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31</cp:revision>
  <dcterms:created xsi:type="dcterms:W3CDTF">2024-04-17T12:57:00Z</dcterms:created>
  <dcterms:modified xsi:type="dcterms:W3CDTF">2025-05-19T03:26:00Z</dcterms:modified>
</cp:coreProperties>
</file>