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项目名称： 过氧化氢低温等离子体</w:t>
      </w:r>
      <w:r>
        <w:rPr>
          <w:rFonts w:hint="eastAsia"/>
          <w:bCs/>
          <w:color w:val="auto"/>
          <w:kern w:val="2"/>
          <w:sz w:val="32"/>
          <w:szCs w:val="32"/>
          <w:lang w:eastAsia="zh-CN"/>
        </w:rPr>
        <w:t>相关试剂耗材</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w:t>
      </w:r>
      <w:r>
        <w:rPr>
          <w:rFonts w:hint="eastAsia"/>
          <w:b/>
          <w:bCs/>
          <w:sz w:val="32"/>
          <w:szCs w:val="32"/>
          <w:lang w:val="en-US" w:eastAsia="zh-CN"/>
        </w:rPr>
        <w:t>730</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七</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pgNumType w:fmt="decimal"/>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2"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w:t>
      </w:r>
      <w:r>
        <w:rPr>
          <w:rFonts w:hint="eastAsia"/>
          <w:b/>
          <w:sz w:val="24"/>
          <w:lang w:val="en-US" w:eastAsia="zh-CN"/>
        </w:rPr>
        <w:t>0730</w:t>
      </w:r>
      <w:r>
        <w:rPr>
          <w:b/>
          <w:sz w:val="24"/>
        </w:rPr>
        <w:t>）</w:t>
      </w:r>
    </w:p>
    <w:p>
      <w:pPr>
        <w:spacing w:line="360" w:lineRule="auto"/>
        <w:ind w:firstLine="482"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w:t>
      </w:r>
      <w:r>
        <w:rPr>
          <w:rFonts w:hint="eastAsia"/>
          <w:b/>
          <w:color w:val="FF0000"/>
          <w:sz w:val="24"/>
          <w:lang w:val="en-US" w:eastAsia="zh-CN"/>
        </w:rPr>
        <w:t>8</w:t>
      </w:r>
      <w:r>
        <w:rPr>
          <w:rFonts w:hint="eastAsia"/>
          <w:b/>
          <w:color w:val="FF0000"/>
          <w:sz w:val="24"/>
        </w:rPr>
        <w:t>月</w:t>
      </w:r>
      <w:r>
        <w:rPr>
          <w:rFonts w:hint="eastAsia"/>
          <w:b/>
          <w:color w:val="FF0000"/>
          <w:sz w:val="24"/>
          <w:lang w:val="en-US" w:eastAsia="zh-CN"/>
        </w:rPr>
        <w:t>7</w:t>
      </w:r>
      <w:r>
        <w:rPr>
          <w:rFonts w:hint="eastAsia"/>
          <w:b/>
          <w:color w:val="FF0000"/>
          <w:sz w:val="24"/>
        </w:rPr>
        <w:t>日</w:t>
      </w:r>
      <w:r>
        <w:rPr>
          <w:rFonts w:hint="eastAsia"/>
          <w:b/>
          <w:color w:val="FF0000"/>
          <w:sz w:val="24"/>
          <w:lang w:val="en-US" w:eastAsia="zh-CN"/>
        </w:rPr>
        <w:t>14:00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截止日期为0</w:t>
      </w:r>
      <w:r>
        <w:rPr>
          <w:rFonts w:hint="eastAsia"/>
          <w:b/>
          <w:color w:val="FF0000"/>
          <w:sz w:val="24"/>
          <w:lang w:val="en-US" w:eastAsia="zh-CN"/>
        </w:rPr>
        <w:t>8</w:t>
      </w:r>
      <w:r>
        <w:rPr>
          <w:rFonts w:hint="eastAsia"/>
          <w:b/>
          <w:color w:val="FF0000"/>
          <w:sz w:val="24"/>
        </w:rPr>
        <w:t>月</w:t>
      </w:r>
      <w:r>
        <w:rPr>
          <w:rFonts w:hint="eastAsia"/>
          <w:b/>
          <w:color w:val="FF0000"/>
          <w:sz w:val="24"/>
          <w:lang w:val="en-US" w:eastAsia="zh-CN"/>
        </w:rPr>
        <w:t>06</w:t>
      </w:r>
      <w:r>
        <w:rPr>
          <w:rFonts w:hint="eastAsia"/>
          <w:b/>
          <w:color w:val="FF0000"/>
          <w:sz w:val="24"/>
        </w:rPr>
        <w:t>日1</w:t>
      </w:r>
      <w:r>
        <w:rPr>
          <w:rFonts w:hint="eastAsia"/>
          <w:b/>
          <w:color w:val="FF0000"/>
          <w:sz w:val="24"/>
          <w:lang w:val="en-US" w:eastAsia="zh-CN"/>
        </w:rPr>
        <w:t>6</w:t>
      </w:r>
      <w:r>
        <w:rPr>
          <w:rFonts w:hint="eastAsia"/>
          <w:b/>
          <w:color w:val="FF0000"/>
          <w:sz w:val="24"/>
        </w:rPr>
        <w:t>:00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rFonts w:hint="eastAsia"/>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spacing w:line="360" w:lineRule="auto"/>
        <w:rPr>
          <w:rFonts w:hint="eastAsia" w:eastAsia="宋体"/>
          <w:color w:val="FF0000"/>
          <w:sz w:val="24"/>
          <w:lang w:val="en-US" w:eastAsia="zh-CN"/>
        </w:rPr>
      </w:pPr>
      <w:r>
        <w:rPr>
          <w:rFonts w:hint="eastAsia"/>
          <w:color w:val="FF0000"/>
          <w:sz w:val="24"/>
          <w:lang w:val="en-US" w:eastAsia="zh-CN"/>
        </w:rPr>
        <w:t>8、提供样品以供现场评审。</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rFonts w:hint="eastAsia" w:eastAsia="宋体"/>
          <w:b/>
          <w:szCs w:val="21"/>
          <w:lang w:eastAsia="zh-CN"/>
        </w:rPr>
      </w:pPr>
      <w:bookmarkStart w:id="3" w:name="OLE_LINK3"/>
      <w:r>
        <w:rPr>
          <w:rFonts w:hint="eastAsia"/>
          <w:b/>
          <w:szCs w:val="21"/>
        </w:rPr>
        <w:t>项目一:</w:t>
      </w:r>
      <w:r>
        <w:rPr>
          <w:rFonts w:hint="eastAsia"/>
          <w:b/>
          <w:szCs w:val="21"/>
          <w:lang w:val="en-US" w:eastAsia="zh-CN"/>
        </w:rPr>
        <w:t xml:space="preserve"> </w:t>
      </w:r>
      <w:bookmarkEnd w:id="3"/>
      <w:r>
        <w:rPr>
          <w:rFonts w:hint="eastAsia"/>
          <w:b/>
          <w:szCs w:val="21"/>
        </w:rPr>
        <w:t>过氧化低温等离子体灭菌器</w:t>
      </w:r>
      <w:bookmarkStart w:id="11" w:name="_GoBack"/>
      <w:bookmarkEnd w:id="11"/>
      <w:r>
        <w:rPr>
          <w:rFonts w:hint="eastAsia"/>
          <w:b/>
          <w:szCs w:val="21"/>
        </w:rPr>
        <w:t>卡匣</w:t>
      </w:r>
      <w:r>
        <w:rPr>
          <w:rFonts w:hint="eastAsia"/>
          <w:b/>
          <w:szCs w:val="21"/>
          <w:lang w:eastAsia="zh-CN"/>
        </w:rPr>
        <w:t>（预算</w:t>
      </w:r>
      <w:r>
        <w:rPr>
          <w:rFonts w:hint="eastAsia"/>
          <w:b/>
          <w:szCs w:val="21"/>
          <w:highlight w:val="none"/>
          <w:lang w:val="en-US" w:eastAsia="zh-CN"/>
        </w:rPr>
        <w:t>85万元</w:t>
      </w:r>
      <w:r>
        <w:rPr>
          <w:rFonts w:hint="eastAsia"/>
          <w:b/>
          <w:szCs w:val="21"/>
          <w:lang w:eastAsia="zh-CN"/>
        </w:rPr>
        <w:t>）</w:t>
      </w:r>
    </w:p>
    <w:tbl>
      <w:tblPr>
        <w:tblStyle w:val="15"/>
        <w:tblpPr w:leftFromText="180" w:rightFromText="180" w:vertAnchor="text" w:horzAnchor="page" w:tblpXSpec="center" w:tblpY="139"/>
        <w:tblOverlap w:val="never"/>
        <w:tblW w:w="53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1" w:firstLineChars="100"/>
              <w:jc w:val="left"/>
              <w:rPr>
                <w:rFonts w:hint="eastAsia" w:asciiTheme="majorEastAsia" w:hAnsiTheme="majorEastAsia" w:eastAsiaTheme="majorEastAsia"/>
                <w:bCs/>
                <w:szCs w:val="21"/>
              </w:rPr>
            </w:pPr>
            <w:r>
              <w:rPr>
                <w:rFonts w:hint="eastAsia" w:asciiTheme="majorEastAsia" w:hAnsiTheme="majorEastAsia" w:eastAsiaTheme="majorEastAsia"/>
                <w:b/>
                <w:szCs w:val="21"/>
              </w:rPr>
              <w:t>一</w:t>
            </w:r>
          </w:p>
        </w:tc>
        <w:tc>
          <w:tcPr>
            <w:tcW w:w="4495" w:type="pct"/>
          </w:tcPr>
          <w:p>
            <w:pPr>
              <w:ind w:right="-340" w:rightChars="-162"/>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1.1</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产品1与</w:t>
            </w:r>
            <w:r>
              <w:rPr>
                <w:rFonts w:hint="eastAsia" w:asciiTheme="majorEastAsia" w:hAnsiTheme="majorEastAsia" w:eastAsiaTheme="majorEastAsia"/>
                <w:bCs/>
                <w:szCs w:val="21"/>
                <w:lang w:val="en-US" w:eastAsia="zh-CN"/>
              </w:rPr>
              <w:t xml:space="preserve">ASP </w:t>
            </w:r>
            <w:r>
              <w:rPr>
                <w:rFonts w:hint="eastAsia" w:asciiTheme="majorEastAsia" w:hAnsiTheme="majorEastAsia" w:eastAsiaTheme="majorEastAsia"/>
                <w:bCs/>
                <w:szCs w:val="21"/>
              </w:rPr>
              <w:t>STERRAD 100S型过氧化低温等离子体灭菌器匹配，自带条形码能被设备识别；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0" w:firstLineChars="100"/>
              <w:rPr>
                <w:rFonts w:hint="eastAsia" w:asciiTheme="majorEastAsia" w:hAnsiTheme="majorEastAsia" w:eastAsiaTheme="majorEastAsia"/>
                <w:b/>
                <w:szCs w:val="21"/>
              </w:rPr>
            </w:pPr>
            <w:r>
              <w:rPr>
                <w:rFonts w:hint="eastAsia" w:asciiTheme="majorEastAsia" w:hAnsiTheme="majorEastAsia" w:eastAsiaTheme="majorEastAsia"/>
                <w:bCs/>
                <w:szCs w:val="21"/>
              </w:rPr>
              <w:t>1.2</w:t>
            </w:r>
          </w:p>
        </w:tc>
        <w:tc>
          <w:tcPr>
            <w:tcW w:w="4495" w:type="pct"/>
          </w:tcPr>
          <w:p>
            <w:pPr>
              <w:ind w:right="-340" w:rightChars="-162"/>
              <w:rPr>
                <w:rFonts w:hint="eastAsia" w:ascii="宋体" w:hAnsi="宋体"/>
                <w:b/>
                <w:szCs w:val="21"/>
              </w:rPr>
            </w:pPr>
            <w:bookmarkStart w:id="4" w:name="OLE_LINK2"/>
            <w:r>
              <w:rPr>
                <w:rFonts w:hint="eastAsia" w:asciiTheme="majorEastAsia" w:hAnsiTheme="majorEastAsia" w:eastAsiaTheme="majorEastAsia"/>
                <w:bCs/>
                <w:szCs w:val="21"/>
              </w:rPr>
              <w:t>产品2与</w:t>
            </w:r>
            <w:r>
              <w:rPr>
                <w:rFonts w:hint="eastAsia" w:asciiTheme="majorEastAsia" w:hAnsiTheme="majorEastAsia" w:eastAsiaTheme="majorEastAsia"/>
                <w:bCs/>
                <w:szCs w:val="21"/>
                <w:lang w:val="en-US" w:eastAsia="zh-CN"/>
              </w:rPr>
              <w:t xml:space="preserve">ASP </w:t>
            </w:r>
            <w:r>
              <w:rPr>
                <w:rFonts w:hint="eastAsia" w:asciiTheme="majorEastAsia" w:hAnsiTheme="majorEastAsia" w:eastAsiaTheme="majorEastAsia"/>
                <w:bCs/>
                <w:szCs w:val="21"/>
              </w:rPr>
              <w:t>STERRAD 100NX型过氧化低温等离子体灭菌器匹配；</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二</w:t>
            </w:r>
          </w:p>
        </w:tc>
        <w:tc>
          <w:tcPr>
            <w:tcW w:w="4495" w:type="pct"/>
          </w:tcPr>
          <w:p>
            <w:pPr>
              <w:ind w:right="-340" w:rightChars="-162"/>
              <w:rPr>
                <w:rFonts w:hint="eastAsia" w:asciiTheme="majorEastAsia" w:hAnsiTheme="majorEastAsia" w:eastAsiaTheme="majorEastAsia"/>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0" w:firstLineChars="100"/>
              <w:rPr>
                <w:rFonts w:hint="eastAsia" w:asciiTheme="majorEastAsia" w:hAnsiTheme="majorEastAsia" w:eastAsiaTheme="majorEastAsia"/>
                <w:bCs/>
                <w:szCs w:val="21"/>
              </w:rPr>
            </w:pPr>
          </w:p>
        </w:tc>
        <w:tc>
          <w:tcPr>
            <w:tcW w:w="4495" w:type="pct"/>
          </w:tcPr>
          <w:p>
            <w:pPr>
              <w:ind w:right="-340" w:rightChars="-162"/>
              <w:rPr>
                <w:rFonts w:hint="eastAsia" w:asciiTheme="majorEastAsia" w:hAnsiTheme="majorEastAsia" w:eastAsiaTheme="majorEastAsia"/>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1" w:firstLineChars="100"/>
              <w:jc w:val="left"/>
              <w:rPr>
                <w:rFonts w:hint="eastAsia" w:asciiTheme="majorEastAsia" w:hAnsiTheme="majorEastAsia" w:eastAsiaTheme="majorEastAsia"/>
                <w:b/>
                <w:szCs w:val="21"/>
              </w:rPr>
            </w:pPr>
            <w:r>
              <w:rPr>
                <w:rFonts w:hint="eastAsia" w:asciiTheme="majorEastAsia" w:hAnsiTheme="majorEastAsia" w:eastAsiaTheme="majorEastAsia"/>
                <w:b/>
                <w:szCs w:val="21"/>
              </w:rPr>
              <w:t>2.1</w:t>
            </w:r>
          </w:p>
        </w:tc>
        <w:tc>
          <w:tcPr>
            <w:tcW w:w="4495"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产品1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2.1.1</w:t>
            </w:r>
          </w:p>
        </w:tc>
        <w:tc>
          <w:tcPr>
            <w:tcW w:w="4495" w:type="pct"/>
          </w:tcPr>
          <w:p>
            <w:pPr>
              <w:ind w:right="-340" w:rightChars="-162"/>
              <w:rPr>
                <w:szCs w:val="21"/>
              </w:rPr>
            </w:pPr>
            <w:r>
              <w:rPr>
                <w:rFonts w:hint="eastAsia"/>
                <w:szCs w:val="21"/>
              </w:rPr>
              <w:t>灭菌器卡</w:t>
            </w:r>
            <w:r>
              <w:rPr>
                <w:rFonts w:hint="eastAsia" w:asciiTheme="minorEastAsia" w:hAnsiTheme="minorEastAsia"/>
                <w:bCs/>
                <w:sz w:val="18"/>
                <w:szCs w:val="18"/>
              </w:rPr>
              <w:t>匣</w:t>
            </w:r>
            <w:r>
              <w:rPr>
                <w:rFonts w:hint="eastAsia"/>
                <w:szCs w:val="21"/>
              </w:rPr>
              <w:t>含有精确计量的过氧化氢溶液的密封胶囊；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2.1.2</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过氧化氢为其有效杀菌成分；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2.1.3</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有灭菌剂泄露标识；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2.1.4</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卡匣设计有灭菌剂刺破和传输孔；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2.1.5</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产品型号：1、适用于STERRAD 100S Silver过氧化低温等离子体灭菌器；</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2、适用于STERRAD 100S Golden过氧化低温等离子体灭菌器。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1" w:firstLineChars="100"/>
              <w:jc w:val="left"/>
              <w:rPr>
                <w:rFonts w:hint="eastAsia" w:asciiTheme="majorEastAsia" w:hAnsiTheme="majorEastAsia" w:eastAsiaTheme="majorEastAsia"/>
                <w:b/>
                <w:szCs w:val="21"/>
              </w:rPr>
            </w:pPr>
            <w:r>
              <w:rPr>
                <w:rFonts w:hint="eastAsia" w:asciiTheme="majorEastAsia" w:hAnsiTheme="majorEastAsia" w:eastAsiaTheme="majorEastAsia"/>
                <w:b/>
                <w:szCs w:val="21"/>
              </w:rPr>
              <w:t>2.2</w:t>
            </w:r>
          </w:p>
        </w:tc>
        <w:tc>
          <w:tcPr>
            <w:tcW w:w="4495"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产品2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2.2.1</w:t>
            </w:r>
          </w:p>
        </w:tc>
        <w:tc>
          <w:tcPr>
            <w:tcW w:w="4495" w:type="pct"/>
          </w:tcPr>
          <w:p>
            <w:pPr>
              <w:ind w:right="-340" w:rightChars="-162"/>
              <w:rPr>
                <w:rFonts w:hint="eastAsia" w:asciiTheme="majorEastAsia" w:hAnsiTheme="majorEastAsia" w:eastAsiaTheme="majorEastAsia"/>
                <w:bCs/>
                <w:szCs w:val="21"/>
              </w:rPr>
            </w:pPr>
            <w:r>
              <w:rPr>
                <w:rFonts w:hint="eastAsia"/>
              </w:rPr>
              <w:t>内嵌RFID电子标签：包含有效期、制造商、插入时间，胶囊状态、完成循环数；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2.2.2</w:t>
            </w:r>
          </w:p>
        </w:tc>
        <w:tc>
          <w:tcPr>
            <w:tcW w:w="4495" w:type="pct"/>
          </w:tcPr>
          <w:p>
            <w:pPr>
              <w:ind w:right="-340" w:rightChars="-162"/>
              <w:rPr>
                <w:rFonts w:hint="eastAsia" w:asciiTheme="majorEastAsia" w:hAnsiTheme="majorEastAsia" w:eastAsiaTheme="majorEastAsia"/>
                <w:bCs/>
                <w:szCs w:val="21"/>
              </w:rPr>
            </w:pPr>
            <w:r>
              <w:rPr>
                <w:rFonts w:hint="eastAsia"/>
              </w:rPr>
              <w:t>灭菌器卡匣含有精确计量的过氧化氢溶液的密封胶囊；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2.2.3</w:t>
            </w:r>
          </w:p>
        </w:tc>
        <w:tc>
          <w:tcPr>
            <w:tcW w:w="4495" w:type="pct"/>
          </w:tcPr>
          <w:p>
            <w:pPr>
              <w:ind w:right="-340" w:rightChars="-162"/>
              <w:rPr>
                <w:rFonts w:hint="eastAsia" w:asciiTheme="majorEastAsia" w:hAnsiTheme="majorEastAsia" w:eastAsiaTheme="majorEastAsia"/>
                <w:bCs/>
                <w:szCs w:val="21"/>
              </w:rPr>
            </w:pPr>
            <w:r>
              <w:rPr>
                <w:rFonts w:hint="eastAsia"/>
              </w:rPr>
              <w:t>过氧化氢为其有效杀菌成分；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2.2.4</w:t>
            </w:r>
          </w:p>
        </w:tc>
        <w:tc>
          <w:tcPr>
            <w:tcW w:w="4495" w:type="pct"/>
          </w:tcPr>
          <w:p>
            <w:pPr>
              <w:ind w:right="-340" w:rightChars="-162"/>
              <w:rPr>
                <w:rFonts w:hint="eastAsia" w:asciiTheme="majorEastAsia" w:hAnsiTheme="majorEastAsia" w:eastAsiaTheme="majorEastAsia"/>
                <w:bCs/>
                <w:szCs w:val="21"/>
              </w:rPr>
            </w:pPr>
            <w:r>
              <w:rPr>
                <w:rFonts w:hint="eastAsia"/>
              </w:rPr>
              <w:t>有灭菌剂泄露标识；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vAlign w:val="center"/>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2.2.5</w:t>
            </w:r>
          </w:p>
        </w:tc>
        <w:tc>
          <w:tcPr>
            <w:tcW w:w="4495" w:type="pct"/>
          </w:tcPr>
          <w:p>
            <w:pPr>
              <w:ind w:right="-340" w:rightChars="-162"/>
              <w:rPr>
                <w:szCs w:val="21"/>
              </w:rPr>
            </w:pPr>
            <w:r>
              <w:rPr>
                <w:rFonts w:hint="eastAsia"/>
              </w:rPr>
              <w:t>卡匣设计有灭菌剂刺破和传输孔。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4"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三</w:t>
            </w:r>
          </w:p>
        </w:tc>
        <w:tc>
          <w:tcPr>
            <w:tcW w:w="4495" w:type="pct"/>
          </w:tcPr>
          <w:p>
            <w:pPr>
              <w:ind w:right="-340" w:rightChars="-162"/>
              <w:rPr>
                <w:rFonts w:hint="eastAsia" w:asciiTheme="majorEastAsia" w:hAnsiTheme="majorEastAsia" w:eastAsiaTheme="majorEastAsia"/>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4"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3.1</w:t>
            </w:r>
          </w:p>
        </w:tc>
        <w:tc>
          <w:tcPr>
            <w:tcW w:w="4495"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4"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四</w:t>
            </w:r>
          </w:p>
        </w:tc>
        <w:tc>
          <w:tcPr>
            <w:tcW w:w="4495"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4"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4.1</w:t>
            </w:r>
          </w:p>
        </w:tc>
        <w:tc>
          <w:tcPr>
            <w:tcW w:w="4495"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4"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4.2</w:t>
            </w:r>
          </w:p>
        </w:tc>
        <w:tc>
          <w:tcPr>
            <w:tcW w:w="4495"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产品有效期内质量问题，免费退换。</w:t>
            </w:r>
          </w:p>
        </w:tc>
      </w:tr>
    </w:tbl>
    <w:p>
      <w:pPr>
        <w:pStyle w:val="24"/>
        <w:tabs>
          <w:tab w:val="left" w:pos="312"/>
        </w:tabs>
        <w:spacing w:line="360" w:lineRule="auto"/>
        <w:ind w:firstLine="0" w:firstLineChars="0"/>
        <w:rPr>
          <w:rFonts w:ascii="Times New Roman" w:hAnsi="Times New Roman"/>
          <w:szCs w:val="21"/>
        </w:rPr>
      </w:pPr>
    </w:p>
    <w:p>
      <w:pPr>
        <w:rPr>
          <w:rFonts w:hint="eastAsia"/>
          <w:b/>
          <w:szCs w:val="21"/>
          <w:lang w:val="en-US" w:eastAsia="zh-CN"/>
        </w:rPr>
      </w:pPr>
      <w:bookmarkStart w:id="5" w:name="OLE_LINK5"/>
      <w:bookmarkStart w:id="6" w:name="_Toc186548465"/>
      <w:r>
        <w:rPr>
          <w:rFonts w:hint="eastAsia"/>
          <w:b/>
          <w:szCs w:val="21"/>
        </w:rPr>
        <w:t>项目</w:t>
      </w:r>
      <w:r>
        <w:rPr>
          <w:rFonts w:hint="eastAsia"/>
          <w:b/>
          <w:szCs w:val="21"/>
          <w:lang w:eastAsia="zh-CN"/>
        </w:rPr>
        <w:t>二</w:t>
      </w:r>
      <w:r>
        <w:rPr>
          <w:rFonts w:hint="eastAsia"/>
          <w:b/>
          <w:szCs w:val="21"/>
        </w:rPr>
        <w:t>:</w:t>
      </w:r>
      <w:bookmarkEnd w:id="5"/>
      <w:r>
        <w:rPr>
          <w:rFonts w:hint="eastAsia"/>
          <w:b/>
          <w:szCs w:val="21"/>
          <w:lang w:val="en-US" w:eastAsia="zh-CN"/>
        </w:rPr>
        <w:t xml:space="preserve"> 过氧化氢低温等离子体灭菌用化学指示卡、化学指示胶带、灭菌包装袋卷（预算55万元）</w:t>
      </w:r>
    </w:p>
    <w:tbl>
      <w:tblPr>
        <w:tblStyle w:val="15"/>
        <w:tblpPr w:leftFromText="180" w:rightFromText="180" w:vertAnchor="text" w:horzAnchor="page" w:tblpXSpec="center" w:tblpY="139"/>
        <w:tblOverlap w:val="never"/>
        <w:tblW w:w="5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jc w:val="left"/>
              <w:rPr>
                <w:rFonts w:hint="eastAsia" w:asciiTheme="majorEastAsia" w:hAnsiTheme="majorEastAsia" w:eastAsiaTheme="majorEastAsia"/>
                <w:bCs/>
                <w:szCs w:val="21"/>
              </w:rPr>
            </w:pPr>
            <w:r>
              <w:rPr>
                <w:rFonts w:hint="eastAsia" w:asciiTheme="majorEastAsia" w:hAnsiTheme="majorEastAsia" w:eastAsiaTheme="majorEastAsia"/>
                <w:b/>
                <w:szCs w:val="21"/>
              </w:rPr>
              <w:t>一</w:t>
            </w:r>
          </w:p>
        </w:tc>
        <w:tc>
          <w:tcPr>
            <w:tcW w:w="4480" w:type="pct"/>
          </w:tcPr>
          <w:p>
            <w:pPr>
              <w:ind w:right="-340" w:rightChars="-162"/>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化学指示卡与待灭菌的医疗器械共同放入过氧化氢低温等离子体灭菌系统中进行灭菌，其用</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于区分已灭菌和未灭菌的物品。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1.2</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化学指示胶带是一种灭菌过程指示物，供医疗机构用于过氧化氢低温等离子体灭菌系统灭菌</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的无纺布灭菌包和包装进行封包。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1.3</w:t>
            </w:r>
          </w:p>
        </w:tc>
        <w:tc>
          <w:tcPr>
            <w:tcW w:w="4480" w:type="pct"/>
          </w:tcPr>
          <w:p>
            <w:pPr>
              <w:ind w:right="-340" w:rightChars="-162"/>
              <w:rPr>
                <w:rFonts w:hint="eastAsia" w:asciiTheme="majorEastAsia" w:hAnsiTheme="majorEastAsia" w:eastAsiaTheme="majorEastAsia"/>
                <w:bCs/>
                <w:szCs w:val="21"/>
              </w:rPr>
            </w:pPr>
            <w:bookmarkStart w:id="7" w:name="OLE_LINK4"/>
            <w:r>
              <w:rPr>
                <w:rFonts w:hint="eastAsia" w:asciiTheme="majorEastAsia" w:hAnsiTheme="majorEastAsia" w:eastAsiaTheme="majorEastAsia"/>
                <w:bCs/>
                <w:szCs w:val="21"/>
              </w:rPr>
              <w:t>灭菌包装袋卷</w:t>
            </w:r>
            <w:bookmarkEnd w:id="7"/>
            <w:r>
              <w:rPr>
                <w:rFonts w:hint="eastAsia" w:asciiTheme="majorEastAsia" w:hAnsiTheme="majorEastAsia" w:eastAsiaTheme="majorEastAsia"/>
                <w:bCs/>
                <w:szCs w:val="21"/>
              </w:rPr>
              <w:t>在过氧化氢低温等离子体灭菌设备中使用，用于包装最终灭菌的医疗器械。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二</w:t>
            </w:r>
          </w:p>
        </w:tc>
        <w:tc>
          <w:tcPr>
            <w:tcW w:w="4480" w:type="pct"/>
          </w:tcPr>
          <w:p>
            <w:pPr>
              <w:ind w:right="-340" w:rightChars="-162"/>
              <w:rPr>
                <w:rFonts w:hint="eastAsia" w:asciiTheme="majorEastAsia" w:hAnsiTheme="majorEastAsia" w:eastAsiaTheme="majorEastAsia"/>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p>
        </w:tc>
        <w:tc>
          <w:tcPr>
            <w:tcW w:w="4480" w:type="pct"/>
          </w:tcPr>
          <w:p>
            <w:pPr>
              <w:ind w:right="-340" w:rightChars="-162"/>
              <w:rPr>
                <w:rFonts w:hint="eastAsia" w:asciiTheme="majorEastAsia" w:hAnsiTheme="majorEastAsia" w:eastAsiaTheme="majorEastAsia"/>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rPr>
                <w:rFonts w:hint="eastAsia" w:asciiTheme="majorEastAsia" w:hAnsiTheme="majorEastAsia" w:eastAsiaTheme="majorEastAsia"/>
                <w:bCs/>
                <w:szCs w:val="21"/>
              </w:rPr>
            </w:pPr>
            <w:r>
              <w:rPr>
                <w:rFonts w:hint="eastAsia" w:asciiTheme="majorEastAsia" w:hAnsiTheme="majorEastAsia" w:eastAsiaTheme="majorEastAsia"/>
                <w:b/>
                <w:szCs w:val="21"/>
              </w:rPr>
              <w:t>2.1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
                <w:szCs w:val="21"/>
              </w:rPr>
              <w:t>化学指示卡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2.1.1</w:t>
            </w:r>
          </w:p>
        </w:tc>
        <w:tc>
          <w:tcPr>
            <w:tcW w:w="4480" w:type="pct"/>
          </w:tcPr>
          <w:p>
            <w:pPr>
              <w:ind w:right="-340" w:rightChars="-162"/>
              <w:rPr>
                <w:szCs w:val="21"/>
              </w:rPr>
            </w:pPr>
            <w:r>
              <w:rPr>
                <w:rFonts w:hint="eastAsia"/>
                <w:szCs w:val="21"/>
              </w:rPr>
              <w:t>化学指示卡为一类卡；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2.1.2</w:t>
            </w:r>
          </w:p>
        </w:tc>
        <w:tc>
          <w:tcPr>
            <w:tcW w:w="4480" w:type="pct"/>
          </w:tcPr>
          <w:p>
            <w:pPr>
              <w:ind w:right="-340" w:rightChars="-162"/>
              <w:rPr>
                <w:rFonts w:hint="eastAsia" w:asciiTheme="majorEastAsia" w:hAnsiTheme="majorEastAsia" w:eastAsiaTheme="majorEastAsia"/>
                <w:bCs/>
                <w:szCs w:val="21"/>
              </w:rPr>
            </w:pPr>
            <w:r>
              <w:rPr>
                <w:rFonts w:hint="eastAsia"/>
                <w:szCs w:val="21"/>
              </w:rPr>
              <w:t>与院内在用灭菌器兼容，提供</w:t>
            </w:r>
            <w:r>
              <w:rPr>
                <w:rFonts w:hint="eastAsia" w:asciiTheme="majorEastAsia" w:hAnsiTheme="majorEastAsia" w:eastAsiaTheme="majorEastAsia"/>
                <w:bCs/>
                <w:szCs w:val="21"/>
              </w:rPr>
              <w:t>厂家</w:t>
            </w:r>
            <w:r>
              <w:rPr>
                <w:rFonts w:hint="eastAsia"/>
                <w:szCs w:val="21"/>
              </w:rPr>
              <w:t>兼容验证文件；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2.1.3</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采用无毒有机胺反应变色，不含铅等有害物质；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2.1.4</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化学指示卡在暴露于过氧化氢之前化学指示条为红色；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2.1.5▲</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化学指示卡在暴露于过氧化氢之后化学指示条为黄色。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rPr>
                <w:rFonts w:hint="eastAsia" w:asciiTheme="majorEastAsia" w:hAnsiTheme="majorEastAsia" w:eastAsiaTheme="majorEastAsia"/>
                <w:bCs/>
                <w:szCs w:val="21"/>
              </w:rPr>
            </w:pPr>
            <w:r>
              <w:rPr>
                <w:rFonts w:hint="eastAsia" w:asciiTheme="majorEastAsia" w:hAnsiTheme="majorEastAsia" w:eastAsiaTheme="majorEastAsia"/>
                <w:b/>
                <w:szCs w:val="21"/>
              </w:rPr>
              <w:t>2.2</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
                <w:szCs w:val="21"/>
              </w:rPr>
              <w:t>化学指示胶带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与</w:t>
            </w:r>
            <w:r>
              <w:rPr>
                <w:rFonts w:hint="eastAsia"/>
                <w:szCs w:val="21"/>
              </w:rPr>
              <w:t>院内在用</w:t>
            </w:r>
            <w:r>
              <w:rPr>
                <w:rFonts w:hint="eastAsia" w:asciiTheme="majorEastAsia" w:hAnsiTheme="majorEastAsia" w:eastAsiaTheme="majorEastAsia"/>
                <w:bCs/>
                <w:szCs w:val="21"/>
              </w:rPr>
              <w:t>灭菌器兼容，提供厂家</w:t>
            </w:r>
            <w:r>
              <w:rPr>
                <w:rFonts w:hint="eastAsia"/>
                <w:szCs w:val="21"/>
              </w:rPr>
              <w:t>兼容验证</w:t>
            </w:r>
            <w:r>
              <w:rPr>
                <w:rFonts w:hint="eastAsia" w:asciiTheme="majorEastAsia" w:hAnsiTheme="majorEastAsia" w:eastAsiaTheme="majorEastAsia"/>
                <w:bCs/>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2.2.2</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每卷不小于55米；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2.2.3▲</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化学指示胶带会由红色变为金黄色或稍浅；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2.2.4</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灭菌时，过氧化氢浓度为0时，指示胶带不变色(提供检测报告)。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2.3.</w:t>
            </w:r>
          </w:p>
        </w:tc>
        <w:tc>
          <w:tcPr>
            <w:tcW w:w="4480"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bCs/>
                <w:szCs w:val="21"/>
              </w:rPr>
              <w:t>灭菌包装袋卷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产品用于待灭菌物品的双层袋卷包装，保护精密器械。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2.3.2</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产品符合IS011607 标准、 IS011140-1标准、</w:t>
            </w:r>
            <w:r>
              <w:rPr>
                <w:rFonts w:hint="eastAsia" w:ascii="宋体" w:hAnsi="宋体"/>
                <w:bCs/>
                <w:szCs w:val="21"/>
              </w:rPr>
              <w:t>最新版《消毒技术规范》等规定</w:t>
            </w:r>
            <w:r>
              <w:rPr>
                <w:rFonts w:hint="eastAsia" w:asciiTheme="majorEastAsia" w:hAnsiTheme="majorEastAsia" w:eastAsiaTheme="maj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2.3.3△</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袋卷</w:t>
            </w:r>
            <w:r>
              <w:rPr>
                <w:rFonts w:asciiTheme="majorEastAsia" w:hAnsiTheme="majorEastAsia" w:eastAsiaTheme="majorEastAsia"/>
                <w:bCs/>
                <w:szCs w:val="21"/>
              </w:rPr>
              <w:t>使用</w:t>
            </w:r>
            <w:r>
              <w:rPr>
                <w:rFonts w:hint="eastAsia" w:asciiTheme="majorEastAsia" w:hAnsiTheme="majorEastAsia" w:eastAsiaTheme="majorEastAsia"/>
                <w:bCs/>
                <w:szCs w:val="21"/>
              </w:rPr>
              <w:t>专门用于医疗灭菌领域的包装材料作为不透明面，过氧化氢气体可渗透，预期用途</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兼容过氧化氢低温等离子体灭菌以保障灭菌效果(提供材料成分，</w:t>
            </w:r>
            <w:r>
              <w:rPr>
                <w:rFonts w:asciiTheme="majorEastAsia" w:hAnsiTheme="majorEastAsia" w:eastAsiaTheme="majorEastAsia"/>
                <w:bCs/>
                <w:szCs w:val="21"/>
              </w:rPr>
              <w:t>材料原厂</w:t>
            </w:r>
            <w:r>
              <w:rPr>
                <w:rFonts w:hint="eastAsia" w:asciiTheme="majorEastAsia" w:hAnsiTheme="majorEastAsia" w:eastAsiaTheme="majorEastAsia"/>
                <w:bCs/>
                <w:szCs w:val="21"/>
              </w:rPr>
              <w:t>相关证明等)；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2.3.4</w:t>
            </w:r>
          </w:p>
        </w:tc>
        <w:tc>
          <w:tcPr>
            <w:tcW w:w="4480" w:type="pct"/>
          </w:tcPr>
          <w:p>
            <w:pPr>
              <w:ind w:right="-340" w:rightChars="-162"/>
              <w:rPr>
                <w:szCs w:val="21"/>
              </w:rPr>
            </w:pPr>
            <w:r>
              <w:rPr>
                <w:rFonts w:hint="eastAsia"/>
                <w:szCs w:val="21"/>
              </w:rPr>
              <w:t>袋卷材料的分层剥离强度(MD) N/2.54cm</w:t>
            </w:r>
            <w:r>
              <w:rPr>
                <w:rFonts w:ascii="Calibri" w:hAnsi="Calibri" w:cs="Calibri"/>
                <w:szCs w:val="21"/>
              </w:rPr>
              <w:t>≥</w:t>
            </w:r>
            <w:r>
              <w:rPr>
                <w:rFonts w:hint="eastAsia"/>
                <w:szCs w:val="21"/>
              </w:rPr>
              <w:t>2.7，以便更好的无菌开启，降低开启时二次污染风</w:t>
            </w:r>
          </w:p>
          <w:p>
            <w:pPr>
              <w:ind w:right="-340" w:rightChars="-162"/>
              <w:rPr>
                <w:szCs w:val="21"/>
              </w:rPr>
            </w:pPr>
            <w:r>
              <w:rPr>
                <w:rFonts w:hint="eastAsia"/>
                <w:szCs w:val="21"/>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2.3.5</w:t>
            </w:r>
          </w:p>
        </w:tc>
        <w:tc>
          <w:tcPr>
            <w:tcW w:w="4480" w:type="pct"/>
          </w:tcPr>
          <w:p>
            <w:pPr>
              <w:ind w:right="-340" w:rightChars="-162"/>
              <w:rPr>
                <w:szCs w:val="21"/>
              </w:rPr>
            </w:pPr>
            <w:r>
              <w:rPr>
                <w:rFonts w:hint="eastAsia"/>
                <w:szCs w:val="21"/>
              </w:rPr>
              <w:t>袋卷材料的静水压cmH20</w:t>
            </w:r>
            <w:r>
              <w:rPr>
                <w:rFonts w:ascii="Calibri" w:hAnsi="Calibri" w:cs="Calibri"/>
                <w:szCs w:val="21"/>
              </w:rPr>
              <w:t>≥</w:t>
            </w:r>
            <w:r>
              <w:rPr>
                <w:rFonts w:hint="eastAsia"/>
                <w:szCs w:val="21"/>
              </w:rPr>
              <w:t>150，阻隔微生和延商物进入，阻隔水渗透同时保证灭菌气体分子</w:t>
            </w:r>
          </w:p>
          <w:p>
            <w:pPr>
              <w:ind w:right="-340" w:rightChars="-162"/>
              <w:rPr>
                <w:szCs w:val="21"/>
              </w:rPr>
            </w:pPr>
            <w:r>
              <w:rPr>
                <w:rFonts w:hint="eastAsia"/>
                <w:szCs w:val="21"/>
              </w:rPr>
              <w:t>高效穿透；</w:t>
            </w:r>
            <w:r>
              <w:rPr>
                <w:rFonts w:hint="eastAsia" w:asciiTheme="majorEastAsia" w:hAnsiTheme="majorEastAsia" w:eastAsiaTheme="major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2.3.6</w:t>
            </w:r>
          </w:p>
        </w:tc>
        <w:tc>
          <w:tcPr>
            <w:tcW w:w="4480" w:type="pct"/>
          </w:tcPr>
          <w:p>
            <w:pPr>
              <w:ind w:right="-340" w:rightChars="-162"/>
              <w:rPr>
                <w:rFonts w:hint="eastAsia" w:asciiTheme="majorEastAsia" w:hAnsiTheme="majorEastAsia" w:eastAsiaTheme="majorEastAsia"/>
                <w:bCs/>
                <w:szCs w:val="21"/>
              </w:rPr>
            </w:pPr>
            <w:r>
              <w:rPr>
                <w:rFonts w:hint="eastAsia"/>
                <w:szCs w:val="21"/>
              </w:rPr>
              <w:t xml:space="preserve">袋卷材料的 Elmendorf撕裂度(CD) </w:t>
            </w:r>
            <w:r>
              <w:rPr>
                <w:rFonts w:ascii="Calibri" w:hAnsi="Calibri" w:cs="Calibri"/>
                <w:szCs w:val="21"/>
              </w:rPr>
              <w:t>≥</w:t>
            </w:r>
            <w:r>
              <w:rPr>
                <w:rFonts w:hint="eastAsia"/>
                <w:szCs w:val="21"/>
              </w:rPr>
              <w:t>3.7，减少因破损产生的召回；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2.3.7</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袋卷上印有包外化学指示剂条，灭菌前后变色清晰便于准确判读；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2.3.8▲</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袋卷自带的包外化学指示条与医院现有过氧化氢低温等离子灭菌监测耗材变色保持一致(从红</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到黄)，便于临床快速区分物品化学监测是否合格；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2.3.9</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袋卷型号大于等于8个，具备宽度大于等于50cm型号的袋卷，适配科室不同尺寸的待灭菌物</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2.3.10△</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适配于医院现有或所购置灭菌器设备，符合灭菌设备厂家说明书关于待灭菌物品包装的要求，</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提供灭菌器厂家的兼容文件(如说明书</w:t>
            </w:r>
            <w:r>
              <w:rPr>
                <w:rFonts w:asciiTheme="majorEastAsia" w:hAnsiTheme="majorEastAsia" w:eastAsiaTheme="majorEastAsia"/>
                <w:bCs/>
                <w:szCs w:val="21"/>
              </w:rPr>
              <w:t>及厂家验证文件</w:t>
            </w:r>
            <w:r>
              <w:rPr>
                <w:rFonts w:hint="eastAsia" w:asciiTheme="majorEastAsia" w:hAnsiTheme="majorEastAsia" w:eastAsiaTheme="maj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2.3.11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具备NHC备案；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2.3.12</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具备消毒产品卫生安全评价报告；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2.3.13</w:t>
            </w:r>
          </w:p>
        </w:tc>
        <w:tc>
          <w:tcPr>
            <w:tcW w:w="4480" w:type="pct"/>
          </w:tcPr>
          <w:p>
            <w:pPr>
              <w:ind w:right="-340" w:rightChars="-162"/>
              <w:rPr>
                <w:szCs w:val="21"/>
              </w:rPr>
            </w:pPr>
            <w:r>
              <w:rPr>
                <w:rFonts w:hint="eastAsia"/>
                <w:szCs w:val="21"/>
              </w:rPr>
              <w:t>提供耗材使用的操作培训。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19"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三</w:t>
            </w:r>
          </w:p>
        </w:tc>
        <w:tc>
          <w:tcPr>
            <w:tcW w:w="4480" w:type="pct"/>
          </w:tcPr>
          <w:p>
            <w:pPr>
              <w:ind w:right="-340" w:rightChars="-162"/>
              <w:rPr>
                <w:rFonts w:hint="eastAsia" w:asciiTheme="majorEastAsia" w:hAnsiTheme="majorEastAsia" w:eastAsiaTheme="majorEastAsia"/>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19"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3.1</w:t>
            </w:r>
          </w:p>
        </w:tc>
        <w:tc>
          <w:tcPr>
            <w:tcW w:w="4480"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19"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四</w:t>
            </w:r>
          </w:p>
        </w:tc>
        <w:tc>
          <w:tcPr>
            <w:tcW w:w="4480"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19"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4.1</w:t>
            </w:r>
          </w:p>
        </w:tc>
        <w:tc>
          <w:tcPr>
            <w:tcW w:w="4480" w:type="pct"/>
            <w:vAlign w:val="center"/>
          </w:tcPr>
          <w:p>
            <w:pPr>
              <w:ind w:right="105" w:rightChars="50"/>
              <w:rPr>
                <w:rFonts w:ascii="Times New Roman" w:hAnsi="Times New Roman" w:cs="Times New Roman"/>
                <w:szCs w:val="21"/>
              </w:rPr>
            </w:pPr>
            <w:r>
              <w:rPr>
                <w:rFonts w:hint="eastAsia" w:ascii="Times New Roman" w:hAnsi="Times New Roman" w:cs="Times New Roman"/>
                <w:szCs w:val="21"/>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19"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4.2</w:t>
            </w:r>
          </w:p>
        </w:tc>
        <w:tc>
          <w:tcPr>
            <w:tcW w:w="4480" w:type="pct"/>
            <w:vAlign w:val="center"/>
          </w:tcPr>
          <w:p>
            <w:pPr>
              <w:ind w:right="105" w:rightChars="50"/>
              <w:rPr>
                <w:rFonts w:ascii="Times New Roman" w:hAnsi="Times New Roman" w:cs="Times New Roman"/>
                <w:szCs w:val="21"/>
              </w:rPr>
            </w:pPr>
            <w:r>
              <w:rPr>
                <w:rFonts w:hint="eastAsia" w:ascii="Times New Roman" w:hAnsi="Times New Roman" w:cs="Times New Roman"/>
                <w:szCs w:val="21"/>
              </w:rPr>
              <w:t>产品有效期内质量问题，免费退换。</w:t>
            </w:r>
          </w:p>
        </w:tc>
      </w:tr>
    </w:tbl>
    <w:p>
      <w:pPr>
        <w:rPr>
          <w:rFonts w:hint="eastAsia"/>
        </w:rPr>
      </w:pPr>
    </w:p>
    <w:p>
      <w:pPr>
        <w:rPr>
          <w:rFonts w:hint="default" w:eastAsia="宋体"/>
          <w:b/>
          <w:szCs w:val="21"/>
          <w:lang w:val="en-US" w:eastAsia="zh-CN"/>
        </w:rPr>
      </w:pPr>
      <w:r>
        <w:rPr>
          <w:rFonts w:hint="eastAsia"/>
          <w:b/>
          <w:szCs w:val="21"/>
        </w:rPr>
        <w:t>项目</w:t>
      </w:r>
      <w:r>
        <w:rPr>
          <w:rFonts w:hint="eastAsia"/>
          <w:b/>
          <w:szCs w:val="21"/>
          <w:lang w:eastAsia="zh-CN"/>
        </w:rPr>
        <w:t>三</w:t>
      </w:r>
      <w:r>
        <w:rPr>
          <w:rFonts w:hint="eastAsia"/>
          <w:b/>
          <w:szCs w:val="21"/>
        </w:rPr>
        <w:t>:过氧化氢低温等离子体灭菌用生物指示剂</w:t>
      </w:r>
      <w:r>
        <w:rPr>
          <w:rFonts w:hint="eastAsia"/>
          <w:b/>
          <w:szCs w:val="21"/>
          <w:lang w:eastAsia="zh-CN"/>
        </w:rPr>
        <w:t>（预算</w:t>
      </w:r>
      <w:r>
        <w:rPr>
          <w:rFonts w:hint="eastAsia"/>
          <w:b/>
          <w:szCs w:val="21"/>
          <w:lang w:val="en-US" w:eastAsia="zh-CN"/>
        </w:rPr>
        <w:t>30万元）</w:t>
      </w:r>
    </w:p>
    <w:tbl>
      <w:tblPr>
        <w:tblStyle w:val="15"/>
        <w:tblpPr w:leftFromText="180" w:rightFromText="180" w:vertAnchor="text" w:horzAnchor="page" w:tblpXSpec="center" w:tblpY="139"/>
        <w:tblOverlap w:val="never"/>
        <w:tblW w:w="55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1" w:firstLineChars="100"/>
              <w:jc w:val="left"/>
              <w:rPr>
                <w:rFonts w:hint="eastAsia" w:asciiTheme="majorEastAsia" w:hAnsiTheme="majorEastAsia" w:eastAsiaTheme="majorEastAsia"/>
                <w:bCs/>
                <w:szCs w:val="21"/>
              </w:rPr>
            </w:pPr>
            <w:r>
              <w:rPr>
                <w:rFonts w:hint="eastAsia" w:asciiTheme="majorEastAsia" w:hAnsiTheme="majorEastAsia" w:eastAsiaTheme="majorEastAsia"/>
                <w:b/>
                <w:szCs w:val="21"/>
              </w:rPr>
              <w:t>一</w:t>
            </w:r>
          </w:p>
        </w:tc>
        <w:tc>
          <w:tcPr>
            <w:tcW w:w="4477" w:type="pct"/>
          </w:tcPr>
          <w:p>
            <w:pPr>
              <w:ind w:right="-340" w:rightChars="-162"/>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1.1</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用于频繁监测和定期测试使用过氧化氢作为灭菌剂的灭菌循环。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二</w:t>
            </w:r>
          </w:p>
        </w:tc>
        <w:tc>
          <w:tcPr>
            <w:tcW w:w="4477" w:type="pct"/>
          </w:tcPr>
          <w:p>
            <w:pPr>
              <w:ind w:right="-340" w:rightChars="-162"/>
              <w:rPr>
                <w:rFonts w:hint="eastAsia" w:asciiTheme="majorEastAsia" w:hAnsiTheme="majorEastAsia" w:eastAsiaTheme="majorEastAsia"/>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p>
        </w:tc>
        <w:tc>
          <w:tcPr>
            <w:tcW w:w="4477" w:type="pct"/>
          </w:tcPr>
          <w:p>
            <w:pPr>
              <w:ind w:right="-340" w:rightChars="-162"/>
              <w:rPr>
                <w:rFonts w:hint="eastAsia" w:asciiTheme="majorEastAsia" w:hAnsiTheme="majorEastAsia" w:eastAsiaTheme="majorEastAsia"/>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采用荧光监测技术，可在15分钟以内出生物监测结果；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w:t>
            </w:r>
          </w:p>
        </w:tc>
        <w:tc>
          <w:tcPr>
            <w:tcW w:w="4477" w:type="pct"/>
          </w:tcPr>
          <w:p>
            <w:pPr>
              <w:ind w:right="-340" w:rightChars="-162"/>
              <w:rPr>
                <w:szCs w:val="21"/>
              </w:rPr>
            </w:pPr>
            <w:r>
              <w:rPr>
                <w:rFonts w:hint="eastAsia"/>
                <w:szCs w:val="21"/>
              </w:rPr>
              <w:t>含嗜热脂肪杆菌芽孢，单只生物指示剂存活芽孢大于等于一百万个；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与院内在用</w:t>
            </w:r>
            <w:r>
              <w:rPr>
                <w:rFonts w:hint="eastAsia"/>
              </w:rPr>
              <w:t xml:space="preserve"> </w:t>
            </w:r>
            <w:r>
              <w:rPr>
                <w:rFonts w:hint="eastAsia" w:asciiTheme="majorEastAsia" w:hAnsiTheme="majorEastAsia" w:eastAsiaTheme="majorEastAsia"/>
                <w:bCs/>
                <w:szCs w:val="21"/>
              </w:rPr>
              <w:t>STERRAD VELOCITY过氧化氢低温等离子体灭菌用生物指示剂阅读器兼容，提供匹</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配</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验证报告，如无法兼容请提供解决方案。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2.4</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指示剂瓶身有小于等于2个灭菌剂注入孔，能对灭菌过程进行监控，自带包装材料，可作为</w:t>
            </w:r>
          </w:p>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PCD使用(提供检测报告)；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2.5</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自带二维码，扫码识别，自动读取指示剂信息(批次，有效期)；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2.6▲</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指示剂细菌片水平放置，提高抗力。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2" w:type="pct"/>
          </w:tcPr>
          <w:p>
            <w:pPr>
              <w:ind w:right="-340" w:rightChars="-162" w:firstLine="211"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三</w:t>
            </w:r>
          </w:p>
        </w:tc>
        <w:tc>
          <w:tcPr>
            <w:tcW w:w="4477" w:type="pct"/>
          </w:tcPr>
          <w:p>
            <w:pPr>
              <w:ind w:right="-340" w:rightChars="-162"/>
              <w:rPr>
                <w:rFonts w:hint="eastAsia" w:asciiTheme="majorEastAsia" w:hAnsiTheme="majorEastAsia" w:eastAsiaTheme="majorEastAsia"/>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2"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3.1</w:t>
            </w:r>
          </w:p>
        </w:tc>
        <w:tc>
          <w:tcPr>
            <w:tcW w:w="4477"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2"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四</w:t>
            </w:r>
          </w:p>
        </w:tc>
        <w:tc>
          <w:tcPr>
            <w:tcW w:w="4477"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2"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4.1</w:t>
            </w:r>
          </w:p>
        </w:tc>
        <w:tc>
          <w:tcPr>
            <w:tcW w:w="4477"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2"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4.2</w:t>
            </w:r>
          </w:p>
        </w:tc>
        <w:tc>
          <w:tcPr>
            <w:tcW w:w="4477"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产品有效期内质量问题，免费退换。</w:t>
            </w:r>
          </w:p>
        </w:tc>
      </w:tr>
    </w:tbl>
    <w:p>
      <w:pPr>
        <w:rPr>
          <w:rFonts w:hint="eastAsia"/>
        </w:rPr>
      </w:pPr>
      <w:r>
        <w:rPr>
          <w:rFonts w:hint="eastAsia"/>
        </w:rPr>
        <w:br w:type="page"/>
      </w:r>
    </w:p>
    <w:p>
      <w:pPr>
        <w:pStyle w:val="12"/>
      </w:pPr>
      <w:r>
        <w:rPr>
          <w:rFonts w:hint="eastAsia"/>
        </w:rPr>
        <w:t>第三章</w:t>
      </w:r>
      <w:r>
        <w:rPr>
          <w:rFonts w:hint="eastAsia"/>
        </w:rPr>
        <w:tab/>
      </w:r>
      <w:r>
        <w:rPr>
          <w:rFonts w:hint="eastAsia"/>
        </w:rPr>
        <w:t>响应文件格式</w:t>
      </w:r>
      <w:bookmarkEnd w:id="6"/>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pPr>
              <w:rPr>
                <w:rFonts w:hint="eastAsia" w:eastAsia="宋体"/>
                <w:lang w:val="en-US" w:eastAsia="zh-CN"/>
              </w:rPr>
            </w:pPr>
            <w:r>
              <w:rPr>
                <w:rFonts w:hAnsi="宋体"/>
                <w:kern w:val="0"/>
                <w:szCs w:val="21"/>
              </w:rPr>
              <w:t>提供用户名单及合同复印件</w:t>
            </w:r>
            <w:r>
              <w:rPr>
                <w:rFonts w:hint="eastAsia" w:hAnsi="宋体"/>
                <w:kern w:val="0"/>
                <w:szCs w:val="21"/>
                <w:lang w:eastAsia="zh-CN"/>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lang w:val="en-US" w:eastAsia="zh-CN"/>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8" w:name="_Toc186548466"/>
      <w:r>
        <w:rPr>
          <w:rFonts w:hint="eastAsia"/>
        </w:rPr>
        <w:br w:type="page"/>
      </w:r>
    </w:p>
    <w:p>
      <w:pPr>
        <w:pStyle w:val="12"/>
      </w:pPr>
      <w:r>
        <w:rPr>
          <w:rFonts w:hint="eastAsia"/>
        </w:rPr>
        <w:t>第四章</w:t>
      </w:r>
      <w:r>
        <w:rPr>
          <w:rFonts w:hint="eastAsia"/>
        </w:rPr>
        <w:tab/>
      </w:r>
      <w:r>
        <w:rPr>
          <w:rFonts w:hint="eastAsia"/>
        </w:rPr>
        <w:t>合同主要条款</w:t>
      </w:r>
      <w:bookmarkEnd w:id="8"/>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hint="eastAsia" w:eastAsia="宋体"/>
          <w:b/>
          <w:color w:val="C00000"/>
          <w:sz w:val="32"/>
          <w:szCs w:val="32"/>
          <w:lang w:eastAsia="zh-CN"/>
        </w:rPr>
      </w:pPr>
      <w:r>
        <w:rPr>
          <w:rFonts w:hint="eastAsia"/>
          <w:b/>
          <w:sz w:val="32"/>
          <w:szCs w:val="32"/>
        </w:rPr>
        <w:t>医疗物资采购协议</w:t>
      </w:r>
      <w:r>
        <w:rPr>
          <w:rFonts w:hint="eastAsia"/>
          <w:b/>
          <w:sz w:val="32"/>
          <w:szCs w:val="32"/>
        </w:rPr>
        <w:br w:type="textWrapping"/>
      </w:r>
      <w:r>
        <w:rPr>
          <w:rFonts w:hint="eastAsia"/>
          <w:b/>
          <w:color w:val="C00000"/>
          <w:sz w:val="24"/>
          <w:szCs w:val="24"/>
          <w:lang w:eastAsia="zh-CN"/>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w:t>
      </w:r>
      <w:r>
        <w:rPr>
          <w:rFonts w:hint="eastAsia"/>
          <w:szCs w:val="21"/>
          <w:lang w:eastAsia="zh-CN"/>
        </w:rPr>
        <w:t>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9" w:name="_Hlk84574869"/>
      <w:r>
        <w:rPr>
          <w:rFonts w:hint="eastAsia"/>
          <w:szCs w:val="21"/>
        </w:rPr>
        <w:t>由此所产生的全部责任。甲方有权单方解除本《医疗物资采购协议》。</w:t>
      </w:r>
    </w:p>
    <w:bookmarkEnd w:id="9"/>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10"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10"/>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pgNumType w:fmt="decimal"/>
          <w:cols w:space="425" w:num="1"/>
          <w:docGrid w:type="lines" w:linePitch="312" w:charSpace="0"/>
        </w:sectPr>
      </w:pPr>
      <w:r>
        <w:rPr>
          <w:rFonts w:hint="eastAsia"/>
          <w:szCs w:val="21"/>
        </w:rPr>
        <w:t xml:space="preserve">签订日期：                                   签订日期：              </w:t>
      </w:r>
    </w:p>
    <w:tbl>
      <w:tblPr>
        <w:tblStyle w:val="14"/>
        <w:tblpPr w:leftFromText="180" w:rightFromText="180" w:vertAnchor="text" w:horzAnchor="page" w:tblpXSpec="center" w:tblpY="289"/>
        <w:tblOverlap w:val="never"/>
        <w:tblW w:w="1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410"/>
        <w:gridCol w:w="2693"/>
        <w:gridCol w:w="1276"/>
        <w:gridCol w:w="1451"/>
        <w:gridCol w:w="1451"/>
        <w:gridCol w:w="850"/>
        <w:gridCol w:w="992"/>
        <w:gridCol w:w="1418"/>
        <w:gridCol w:w="101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ind w:firstLine="89" w:firstLineChars="49"/>
              <w:jc w:val="left"/>
              <w:rPr>
                <w:b/>
                <w:sz w:val="18"/>
                <w:szCs w:val="18"/>
              </w:rPr>
            </w:pPr>
            <w:r>
              <w:rPr>
                <w:rFonts w:hint="eastAsia"/>
                <w:b/>
                <w:sz w:val="18"/>
                <w:szCs w:val="18"/>
              </w:rPr>
              <w:t>产品名称</w:t>
            </w:r>
          </w:p>
        </w:tc>
        <w:tc>
          <w:tcPr>
            <w:tcW w:w="2410" w:type="dxa"/>
            <w:vAlign w:val="center"/>
          </w:tcPr>
          <w:p>
            <w:pPr>
              <w:rPr>
                <w:b/>
                <w:sz w:val="18"/>
                <w:szCs w:val="18"/>
              </w:rPr>
            </w:pPr>
            <w:r>
              <w:rPr>
                <w:rFonts w:hint="eastAsia"/>
                <w:b/>
                <w:sz w:val="18"/>
                <w:szCs w:val="18"/>
              </w:rPr>
              <w:t>生产企业</w:t>
            </w:r>
          </w:p>
        </w:tc>
        <w:tc>
          <w:tcPr>
            <w:tcW w:w="2693" w:type="dxa"/>
            <w:vAlign w:val="center"/>
          </w:tcPr>
          <w:p>
            <w:pPr>
              <w:ind w:firstLine="89" w:firstLineChars="49"/>
              <w:rPr>
                <w:b/>
                <w:sz w:val="18"/>
                <w:szCs w:val="18"/>
              </w:rPr>
            </w:pPr>
            <w:r>
              <w:rPr>
                <w:rFonts w:hint="eastAsia"/>
                <w:b/>
                <w:sz w:val="18"/>
                <w:szCs w:val="18"/>
              </w:rPr>
              <w:t>注册证号</w:t>
            </w:r>
          </w:p>
        </w:tc>
        <w:tc>
          <w:tcPr>
            <w:tcW w:w="1276" w:type="dxa"/>
            <w:vAlign w:val="center"/>
          </w:tcPr>
          <w:p>
            <w:pPr>
              <w:rPr>
                <w:b/>
                <w:sz w:val="18"/>
                <w:szCs w:val="18"/>
              </w:rPr>
            </w:pPr>
            <w:r>
              <w:rPr>
                <w:rFonts w:hint="eastAsia"/>
                <w:b/>
                <w:sz w:val="18"/>
                <w:szCs w:val="18"/>
              </w:rPr>
              <w:t>规格</w:t>
            </w:r>
          </w:p>
        </w:tc>
        <w:tc>
          <w:tcPr>
            <w:tcW w:w="1451" w:type="dxa"/>
            <w:vAlign w:val="center"/>
          </w:tcPr>
          <w:p>
            <w:pPr>
              <w:ind w:firstLine="89" w:firstLineChars="49"/>
              <w:rPr>
                <w:rFonts w:hint="eastAsia" w:eastAsia="宋体"/>
                <w:b/>
                <w:sz w:val="18"/>
                <w:szCs w:val="18"/>
                <w:lang w:eastAsia="zh-CN"/>
              </w:rPr>
            </w:pPr>
            <w:r>
              <w:rPr>
                <w:rFonts w:hint="eastAsia"/>
                <w:b/>
                <w:sz w:val="18"/>
                <w:szCs w:val="18"/>
                <w:lang w:eastAsia="zh-CN"/>
              </w:rPr>
              <w:t>医保代码</w:t>
            </w:r>
          </w:p>
        </w:tc>
        <w:tc>
          <w:tcPr>
            <w:tcW w:w="1451" w:type="dxa"/>
            <w:vAlign w:val="center"/>
          </w:tcPr>
          <w:p>
            <w:pPr>
              <w:ind w:firstLine="89" w:firstLineChars="49"/>
              <w:rPr>
                <w:rFonts w:hint="eastAsia" w:ascii="Times New Roman" w:hAnsi="Times New Roman" w:eastAsia="宋体" w:cs="Times New Roman"/>
                <w:b/>
                <w:kern w:val="2"/>
                <w:sz w:val="18"/>
                <w:szCs w:val="18"/>
                <w:lang w:val="en-US" w:eastAsia="zh-CN" w:bidi="ar-SA"/>
              </w:rPr>
            </w:pPr>
            <w:r>
              <w:rPr>
                <w:rFonts w:hint="eastAsia"/>
                <w:b/>
                <w:sz w:val="18"/>
                <w:szCs w:val="18"/>
              </w:rPr>
              <w:t>省平台代码</w:t>
            </w:r>
          </w:p>
        </w:tc>
        <w:tc>
          <w:tcPr>
            <w:tcW w:w="850" w:type="dxa"/>
            <w:vAlign w:val="center"/>
          </w:tcPr>
          <w:p>
            <w:pPr>
              <w:rPr>
                <w:b/>
                <w:sz w:val="18"/>
                <w:szCs w:val="18"/>
              </w:rPr>
            </w:pPr>
            <w:r>
              <w:rPr>
                <w:rFonts w:hint="eastAsia"/>
                <w:b/>
                <w:sz w:val="18"/>
                <w:szCs w:val="18"/>
              </w:rPr>
              <w:t>货号</w:t>
            </w:r>
          </w:p>
        </w:tc>
        <w:tc>
          <w:tcPr>
            <w:tcW w:w="992" w:type="dxa"/>
            <w:vAlign w:val="center"/>
          </w:tcPr>
          <w:p>
            <w:pPr>
              <w:rPr>
                <w:b/>
                <w:sz w:val="18"/>
                <w:szCs w:val="18"/>
              </w:rPr>
            </w:pPr>
            <w:r>
              <w:rPr>
                <w:rFonts w:hint="eastAsia"/>
                <w:b/>
                <w:sz w:val="18"/>
                <w:szCs w:val="18"/>
              </w:rPr>
              <w:t>计量单位</w:t>
            </w:r>
          </w:p>
        </w:tc>
        <w:tc>
          <w:tcPr>
            <w:tcW w:w="1418" w:type="dxa"/>
            <w:vAlign w:val="center"/>
          </w:tcPr>
          <w:p>
            <w:pPr>
              <w:rPr>
                <w:b/>
                <w:sz w:val="18"/>
                <w:szCs w:val="18"/>
              </w:rPr>
            </w:pPr>
            <w:r>
              <w:rPr>
                <w:rFonts w:hint="eastAsia"/>
                <w:b/>
                <w:sz w:val="18"/>
                <w:szCs w:val="18"/>
              </w:rPr>
              <w:t>中标价（元）</w:t>
            </w:r>
          </w:p>
        </w:tc>
        <w:tc>
          <w:tcPr>
            <w:tcW w:w="1012" w:type="dxa"/>
            <w:vAlign w:val="center"/>
          </w:tcPr>
          <w:p>
            <w:pPr>
              <w:rPr>
                <w:b/>
                <w:sz w:val="18"/>
                <w:szCs w:val="18"/>
              </w:rPr>
            </w:pPr>
            <w:r>
              <w:rPr>
                <w:rFonts w:hint="eastAsia"/>
                <w:b/>
                <w:sz w:val="18"/>
                <w:szCs w:val="18"/>
              </w:rPr>
              <w:t>UDI码</w:t>
            </w:r>
          </w:p>
        </w:tc>
        <w:tc>
          <w:tcPr>
            <w:tcW w:w="1267"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bl>
    <w:p>
      <w:pPr>
        <w:rPr>
          <w:b/>
          <w:bCs/>
          <w:sz w:val="24"/>
        </w:rPr>
      </w:pPr>
      <w:r>
        <w:rPr>
          <w:rFonts w:hint="eastAsia"/>
          <w:b/>
          <w:bCs/>
          <w:sz w:val="24"/>
        </w:rPr>
        <w:t>附件1：</w:t>
      </w: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1E6A40E6"/>
    <w:rsid w:val="25B4635F"/>
    <w:rsid w:val="26CA426D"/>
    <w:rsid w:val="2AA05E26"/>
    <w:rsid w:val="2F4F65F6"/>
    <w:rsid w:val="35906A43"/>
    <w:rsid w:val="43E10162"/>
    <w:rsid w:val="4A5611F5"/>
    <w:rsid w:val="4ACD0E7F"/>
    <w:rsid w:val="5085694D"/>
    <w:rsid w:val="596A6026"/>
    <w:rsid w:val="599364B0"/>
    <w:rsid w:val="5A6645C8"/>
    <w:rsid w:val="5C97357F"/>
    <w:rsid w:val="5DBF0DF0"/>
    <w:rsid w:val="60275541"/>
    <w:rsid w:val="655517DA"/>
    <w:rsid w:val="66096397"/>
    <w:rsid w:val="709938DD"/>
    <w:rsid w:val="73FD0AD3"/>
    <w:rsid w:val="75E13D4B"/>
    <w:rsid w:val="793D5CDE"/>
    <w:rsid w:val="7A8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1172</Words>
  <Characters>6684</Characters>
  <Lines>55</Lines>
  <Paragraphs>15</Paragraphs>
  <TotalTime>20</TotalTime>
  <ScaleCrop>false</ScaleCrop>
  <LinksUpToDate>false</LinksUpToDate>
  <CharactersWithSpaces>7841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F.f</cp:lastModifiedBy>
  <cp:lastPrinted>2013-11-05T01:37:00Z</cp:lastPrinted>
  <dcterms:modified xsi:type="dcterms:W3CDTF">2025-07-30T00:17:23Z</dcterms:modified>
  <cp:revision>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