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49"/>
        <w:widowControl w:val="0"/>
        <w:snapToGrid w:val="0"/>
        <w:spacing w:line="360" w:lineRule="auto"/>
        <w:ind w:firstLine="418" w:firstLineChars="52"/>
        <w:jc w:val="center"/>
        <w:rPr>
          <w:rFonts w:ascii="宋体" w:hAnsi="宋体"/>
          <w:color w:val="auto"/>
          <w:sz w:val="80"/>
          <w:szCs w:val="80"/>
        </w:rPr>
      </w:pPr>
    </w:p>
    <w:p w14:paraId="76EBE02E">
      <w:pPr>
        <w:pStyle w:val="49"/>
        <w:widowControl w:val="0"/>
        <w:snapToGrid w:val="0"/>
        <w:spacing w:line="360" w:lineRule="auto"/>
        <w:ind w:firstLine="418" w:firstLineChars="52"/>
        <w:jc w:val="center"/>
        <w:rPr>
          <w:rFonts w:ascii="宋体" w:hAnsi="宋体"/>
          <w:color w:val="auto"/>
          <w:sz w:val="80"/>
          <w:szCs w:val="80"/>
        </w:rPr>
      </w:pPr>
    </w:p>
    <w:p w14:paraId="4F555217">
      <w:pPr>
        <w:pStyle w:val="49"/>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49"/>
        <w:widowControl w:val="0"/>
        <w:snapToGrid w:val="0"/>
        <w:spacing w:line="360" w:lineRule="auto"/>
        <w:ind w:firstLine="0"/>
        <w:jc w:val="center"/>
        <w:rPr>
          <w:bCs/>
          <w:color w:val="auto"/>
          <w:kern w:val="2"/>
          <w:sz w:val="32"/>
          <w:szCs w:val="32"/>
        </w:rPr>
      </w:pPr>
    </w:p>
    <w:p w14:paraId="07DAD765">
      <w:pPr>
        <w:pStyle w:val="49"/>
        <w:widowControl w:val="0"/>
        <w:snapToGrid w:val="0"/>
        <w:spacing w:line="360" w:lineRule="auto"/>
        <w:ind w:firstLine="0"/>
        <w:jc w:val="center"/>
        <w:rPr>
          <w:bCs/>
          <w:color w:val="auto"/>
          <w:kern w:val="2"/>
          <w:sz w:val="32"/>
          <w:szCs w:val="32"/>
        </w:rPr>
      </w:pPr>
    </w:p>
    <w:p w14:paraId="7185EACC">
      <w:pPr>
        <w:pStyle w:val="49"/>
        <w:widowControl w:val="0"/>
        <w:snapToGrid w:val="0"/>
        <w:spacing w:line="360" w:lineRule="auto"/>
        <w:ind w:firstLine="0"/>
        <w:jc w:val="center"/>
        <w:rPr>
          <w:bCs/>
          <w:color w:val="auto"/>
          <w:kern w:val="2"/>
          <w:sz w:val="32"/>
          <w:szCs w:val="32"/>
        </w:rPr>
      </w:pPr>
    </w:p>
    <w:p w14:paraId="398D7B49">
      <w:pPr>
        <w:pStyle w:val="49"/>
        <w:widowControl w:val="0"/>
        <w:snapToGrid w:val="0"/>
        <w:spacing w:line="360" w:lineRule="auto"/>
        <w:ind w:firstLine="0"/>
        <w:jc w:val="center"/>
        <w:rPr>
          <w:bCs/>
          <w:color w:val="auto"/>
          <w:kern w:val="2"/>
          <w:sz w:val="32"/>
          <w:szCs w:val="32"/>
        </w:rPr>
      </w:pPr>
    </w:p>
    <w:p w14:paraId="03BF7E02">
      <w:pPr>
        <w:pStyle w:val="49"/>
        <w:widowControl w:val="0"/>
        <w:snapToGrid w:val="0"/>
        <w:spacing w:line="360" w:lineRule="auto"/>
        <w:ind w:firstLine="0"/>
        <w:jc w:val="center"/>
        <w:rPr>
          <w:bCs/>
          <w:color w:val="auto"/>
          <w:kern w:val="2"/>
          <w:sz w:val="32"/>
          <w:szCs w:val="32"/>
        </w:rPr>
      </w:pPr>
    </w:p>
    <w:p w14:paraId="173B2615">
      <w:pPr>
        <w:pStyle w:val="49"/>
        <w:widowControl w:val="0"/>
        <w:snapToGrid w:val="0"/>
        <w:spacing w:line="360" w:lineRule="auto"/>
        <w:ind w:firstLine="0"/>
        <w:jc w:val="center"/>
        <w:rPr>
          <w:rFonts w:hint="eastAsia"/>
          <w:bCs/>
          <w:color w:val="auto"/>
          <w:kern w:val="2"/>
          <w:sz w:val="32"/>
          <w:szCs w:val="32"/>
        </w:rPr>
      </w:pPr>
      <w:r>
        <w:rPr>
          <w:rFonts w:hint="eastAsia"/>
          <w:bCs/>
          <w:color w:val="auto"/>
          <w:kern w:val="2"/>
          <w:sz w:val="32"/>
          <w:szCs w:val="32"/>
        </w:rPr>
        <w:t>项目名称：两癌检查项目管理系统优化升级服务</w:t>
      </w:r>
    </w:p>
    <w:p w14:paraId="5330B2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20250</w:t>
      </w:r>
      <w:r>
        <w:rPr>
          <w:rFonts w:hint="eastAsia"/>
          <w:b/>
          <w:bCs/>
          <w:sz w:val="32"/>
          <w:szCs w:val="32"/>
          <w:lang w:val="en-US" w:eastAsia="zh-CN"/>
        </w:rPr>
        <w:t>909</w:t>
      </w:r>
    </w:p>
    <w:p w14:paraId="0E3994F5">
      <w:pPr>
        <w:pStyle w:val="49"/>
        <w:widowControl w:val="0"/>
        <w:snapToGrid w:val="0"/>
        <w:spacing w:line="360" w:lineRule="auto"/>
        <w:ind w:firstLine="0"/>
        <w:jc w:val="center"/>
        <w:rPr>
          <w:rFonts w:ascii="宋体" w:hAnsi="宋体"/>
          <w:color w:val="auto"/>
        </w:rPr>
      </w:pPr>
    </w:p>
    <w:p w14:paraId="4DEE8FAF">
      <w:pPr>
        <w:pStyle w:val="49"/>
        <w:spacing w:line="360" w:lineRule="auto"/>
        <w:ind w:firstLine="0"/>
        <w:jc w:val="center"/>
        <w:rPr>
          <w:rFonts w:ascii="宋体" w:hAnsi="宋体"/>
          <w:color w:val="auto"/>
          <w:sz w:val="32"/>
          <w:szCs w:val="32"/>
        </w:rPr>
      </w:pPr>
    </w:p>
    <w:p w14:paraId="540B1360">
      <w:pPr>
        <w:pStyle w:val="49"/>
        <w:spacing w:line="360" w:lineRule="auto"/>
        <w:ind w:firstLine="0"/>
        <w:jc w:val="center"/>
        <w:rPr>
          <w:rFonts w:ascii="宋体" w:hAnsi="宋体"/>
          <w:color w:val="auto"/>
          <w:sz w:val="32"/>
          <w:szCs w:val="32"/>
        </w:rPr>
      </w:pPr>
    </w:p>
    <w:p w14:paraId="47F32BCE">
      <w:pPr>
        <w:pStyle w:val="49"/>
        <w:spacing w:line="360" w:lineRule="auto"/>
        <w:ind w:firstLine="0"/>
        <w:jc w:val="center"/>
        <w:rPr>
          <w:rFonts w:ascii="宋体" w:hAnsi="宋体"/>
          <w:color w:val="auto"/>
          <w:sz w:val="32"/>
          <w:szCs w:val="32"/>
        </w:rPr>
      </w:pPr>
    </w:p>
    <w:p w14:paraId="56E4672F">
      <w:pPr>
        <w:pStyle w:val="49"/>
        <w:spacing w:line="360" w:lineRule="auto"/>
        <w:ind w:firstLine="0"/>
        <w:jc w:val="center"/>
        <w:rPr>
          <w:rFonts w:ascii="宋体" w:hAnsi="宋体"/>
          <w:color w:val="auto"/>
          <w:sz w:val="32"/>
          <w:szCs w:val="32"/>
        </w:rPr>
      </w:pPr>
    </w:p>
    <w:p w14:paraId="13575EC1">
      <w:pPr>
        <w:pStyle w:val="49"/>
        <w:spacing w:line="360" w:lineRule="auto"/>
        <w:ind w:firstLine="0"/>
        <w:jc w:val="center"/>
        <w:rPr>
          <w:rFonts w:ascii="宋体" w:hAnsi="宋体"/>
          <w:color w:val="auto"/>
          <w:sz w:val="32"/>
          <w:szCs w:val="32"/>
        </w:rPr>
      </w:pPr>
    </w:p>
    <w:p w14:paraId="0007A177">
      <w:pPr>
        <w:pStyle w:val="49"/>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49"/>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三</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50"/>
          </w:pPr>
        </w:p>
        <w:p w14:paraId="5C3FB40E">
          <w:pPr>
            <w:pStyle w:val="11"/>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1"/>
              <w:rFonts w:hint="eastAsia" w:asciiTheme="minorEastAsia" w:hAnsiTheme="minorEastAsia" w:eastAsiaTheme="minorEastAsia"/>
              <w:b/>
              <w:sz w:val="30"/>
              <w:szCs w:val="30"/>
            </w:rPr>
            <w:t>第一章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1"/>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1"/>
              <w:rFonts w:hint="eastAsia" w:asciiTheme="minorEastAsia" w:hAnsiTheme="minorEastAsia" w:eastAsiaTheme="minorEastAsia"/>
              <w:b/>
              <w:sz w:val="30"/>
              <w:szCs w:val="30"/>
            </w:rPr>
            <w:t>第二章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1"/>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1"/>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4"/>
        <w:sectPr>
          <w:footerReference r:id="rId3" w:type="default"/>
          <w:pgSz w:w="11906" w:h="16838"/>
          <w:pgMar w:top="1440" w:right="1800" w:bottom="1440" w:left="1800" w:header="851" w:footer="992" w:gutter="0"/>
          <w:cols w:space="425" w:num="1"/>
          <w:docGrid w:type="lines" w:linePitch="312" w:charSpace="0"/>
        </w:sectPr>
      </w:pPr>
    </w:p>
    <w:p w14:paraId="5E2523BF">
      <w:pPr>
        <w:pStyle w:val="14"/>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w:t>
      </w:r>
      <w:r>
        <w:rPr>
          <w:rFonts w:hint="eastAsia"/>
          <w:b/>
          <w:sz w:val="24"/>
          <w:lang w:val="en-US" w:eastAsia="zh-CN"/>
        </w:rPr>
        <w:t>909</w:t>
      </w:r>
      <w:r>
        <w:rPr>
          <w:rFonts w:hint="eastAsia"/>
          <w:b/>
          <w:sz w:val="24"/>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1AC7171A">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20A59517">
      <w:pPr>
        <w:spacing w:line="360" w:lineRule="auto"/>
        <w:rPr>
          <w:sz w:val="24"/>
        </w:rPr>
      </w:pPr>
      <w:r>
        <w:rPr>
          <w:rFonts w:hint="eastAsia"/>
          <w:sz w:val="24"/>
        </w:rPr>
        <w:t>6</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rFonts w:hint="eastAsia"/>
          <w:b/>
          <w:color w:val="0000FF"/>
          <w:sz w:val="24"/>
          <w:lang w:val="en-US" w:eastAsia="zh-CN"/>
        </w:rPr>
        <w:t>09</w:t>
      </w:r>
      <w:r>
        <w:rPr>
          <w:rFonts w:hint="eastAsia"/>
          <w:b/>
          <w:color w:val="0000FF"/>
          <w:sz w:val="24"/>
        </w:rPr>
        <w:t>月</w:t>
      </w:r>
      <w:r>
        <w:rPr>
          <w:rFonts w:hint="eastAsia"/>
          <w:b/>
          <w:color w:val="0000FF"/>
          <w:sz w:val="24"/>
          <w:lang w:val="en-US" w:eastAsia="zh-CN"/>
        </w:rPr>
        <w:t>18</w:t>
      </w:r>
      <w:r>
        <w:rPr>
          <w:rFonts w:hint="eastAsia"/>
          <w:b/>
          <w:color w:val="0000FF"/>
          <w:sz w:val="24"/>
        </w:rPr>
        <w:t>日下午2点</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rFonts w:hint="eastAsia"/>
          <w:b/>
          <w:sz w:val="24"/>
          <w:lang w:val="en-US" w:eastAsia="zh-CN"/>
        </w:rPr>
        <w:t>9</w:t>
      </w:r>
      <w:r>
        <w:rPr>
          <w:rFonts w:hint="eastAsia"/>
          <w:b/>
          <w:sz w:val="24"/>
        </w:rPr>
        <w:t>月</w:t>
      </w:r>
      <w:r>
        <w:rPr>
          <w:rFonts w:hint="eastAsia"/>
          <w:b/>
          <w:sz w:val="24"/>
          <w:lang w:val="en-US" w:eastAsia="zh-CN"/>
        </w:rPr>
        <w:t>15</w:t>
      </w:r>
      <w:r>
        <w:rPr>
          <w:rFonts w:hint="eastAsia"/>
          <w:b/>
          <w:sz w:val="24"/>
        </w:rPr>
        <w:t>日17:00</w:t>
      </w:r>
      <w:r>
        <w:rPr>
          <w:sz w:val="24"/>
        </w:rPr>
        <w:t>（报名以邮件为准，邮件标题请注明采购编号及</w:t>
      </w:r>
      <w:r>
        <w:rPr>
          <w:rFonts w:hint="eastAsia"/>
          <w:sz w:val="24"/>
          <w:lang w:val="en-US" w:eastAsia="zh-CN"/>
        </w:rPr>
        <w:t>项目名称</w:t>
      </w:r>
      <w:bookmarkStart w:id="5" w:name="_GoBack"/>
      <w:bookmarkEnd w:id="5"/>
      <w:r>
        <w:rPr>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w:t>
      </w:r>
      <w:r>
        <w:rPr>
          <w:rFonts w:hint="eastAsia"/>
          <w:b/>
          <w:sz w:val="24"/>
        </w:rPr>
        <w:t>（若有）</w:t>
      </w:r>
      <w:r>
        <w:rPr>
          <w:sz w:val="24"/>
        </w:rPr>
        <w:t>等）</w:t>
      </w:r>
      <w:r>
        <w:rPr>
          <w:rFonts w:hint="eastAsia"/>
          <w:sz w:val="24"/>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1"/>
          <w:rFonts w:hint="eastAsia"/>
          <w:color w:val="auto"/>
          <w:sz w:val="24"/>
          <w:lang w:val="en-US" w:eastAsia="zh-CN"/>
        </w:rPr>
        <w:t>5518003</w:t>
      </w:r>
      <w:r>
        <w:rPr>
          <w:rStyle w:val="21"/>
          <w:color w:val="auto"/>
          <w:sz w:val="24"/>
        </w:rPr>
        <w:t>@zju.edu.cn</w:t>
      </w:r>
      <w:r>
        <w:rPr>
          <w:rStyle w:val="21"/>
          <w:color w:val="auto"/>
          <w:sz w:val="24"/>
        </w:rPr>
        <w:fldChar w:fldCharType="end"/>
      </w:r>
      <w:r>
        <w:rPr>
          <w:rFonts w:hint="eastAsia"/>
          <w:sz w:val="24"/>
        </w:rPr>
        <w:t>。</w:t>
      </w:r>
    </w:p>
    <w:p w14:paraId="4F130AFB">
      <w:pPr>
        <w:pStyle w:val="14"/>
      </w:pPr>
      <w:r>
        <w:rPr>
          <w:rFonts w:hint="eastAsia"/>
        </w:rPr>
        <w:t xml:space="preserve">第二章 </w:t>
      </w:r>
      <w:r>
        <w:t>采购内容</w:t>
      </w:r>
      <w:r>
        <w:rPr>
          <w:rFonts w:hint="eastAsia"/>
        </w:rPr>
        <w:t>及</w:t>
      </w:r>
      <w:r>
        <w:t>需求</w:t>
      </w:r>
      <w:bookmarkEnd w:id="1"/>
    </w:p>
    <w:p w14:paraId="1EEF5379">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项目概况</w:t>
      </w:r>
    </w:p>
    <w:p w14:paraId="271EE52A">
      <w:pPr>
        <w:ind w:firstLine="420"/>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浙江省两癌（宫颈癌、乳腺癌）检查项目管理系统于2018年正式上线，旨在实现全省范围内两癌筛查工作的‌</w:t>
      </w:r>
      <w:r>
        <w:rPr>
          <w:rStyle w:val="19"/>
          <w:rFonts w:hint="eastAsia" w:ascii="宋体" w:hAnsi="宋体" w:cs="宋体"/>
          <w:b w:val="0"/>
          <w:color w:val="333333"/>
          <w:szCs w:val="21"/>
          <w:shd w:val="clear" w:color="auto" w:fill="FFFFFF"/>
        </w:rPr>
        <w:t>数字化管理</w:t>
      </w:r>
      <w:r>
        <w:rPr>
          <w:rFonts w:hint="eastAsia" w:ascii="宋体" w:hAnsi="宋体" w:cs="宋体"/>
          <w:color w:val="333333"/>
          <w:szCs w:val="21"/>
          <w:shd w:val="clear" w:color="auto" w:fill="FFFFFF"/>
        </w:rPr>
        <w:t>‌、‌</w:t>
      </w:r>
      <w:r>
        <w:rPr>
          <w:rStyle w:val="19"/>
          <w:rFonts w:hint="eastAsia" w:ascii="宋体" w:hAnsi="宋体" w:cs="宋体"/>
          <w:b w:val="0"/>
          <w:color w:val="333333"/>
          <w:szCs w:val="21"/>
          <w:shd w:val="clear" w:color="auto" w:fill="FFFFFF"/>
        </w:rPr>
        <w:t>数据标准化</w:t>
      </w:r>
      <w:r>
        <w:rPr>
          <w:rFonts w:hint="eastAsia" w:ascii="宋体" w:hAnsi="宋体" w:cs="宋体"/>
          <w:color w:val="333333"/>
          <w:szCs w:val="21"/>
          <w:shd w:val="clear" w:color="auto" w:fill="FFFFFF"/>
        </w:rPr>
        <w:t>‌和‌</w:t>
      </w:r>
      <w:r>
        <w:rPr>
          <w:rStyle w:val="19"/>
          <w:rFonts w:hint="eastAsia" w:ascii="宋体" w:hAnsi="宋体" w:cs="宋体"/>
          <w:b w:val="0"/>
          <w:color w:val="333333"/>
          <w:szCs w:val="21"/>
          <w:shd w:val="clear" w:color="auto" w:fill="FFFFFF"/>
        </w:rPr>
        <w:t>流程规范化</w:t>
      </w:r>
      <w:r>
        <w:rPr>
          <w:rFonts w:hint="eastAsia" w:ascii="宋体" w:hAnsi="宋体" w:cs="宋体"/>
          <w:color w:val="333333"/>
          <w:szCs w:val="21"/>
          <w:shd w:val="clear" w:color="auto" w:fill="FFFFFF"/>
        </w:rPr>
        <w:t>‌。系统覆盖省、市、县、乡四级医疗机构，支撑筛查登记、结果反馈、随访管理、统计分析全流程，助力提升浙江省妇女健康服务水平。</w:t>
      </w:r>
    </w:p>
    <w:p w14:paraId="589A1BF0">
      <w:pPr>
        <w:ind w:firstLine="420"/>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为了应对两癌业务的发展，为浙江省两癌筛查做好助力，系统需要在原基础上进行升级优化与改造。</w:t>
      </w:r>
    </w:p>
    <w:p w14:paraId="7C517035"/>
    <w:p w14:paraId="6FBC7A05">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项目内容</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66"/>
        <w:gridCol w:w="6634"/>
      </w:tblGrid>
      <w:tr w14:paraId="417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pct"/>
            <w:vAlign w:val="center"/>
          </w:tcPr>
          <w:p w14:paraId="6F86C345">
            <w:pPr>
              <w:spacing w:line="440" w:lineRule="exact"/>
              <w:jc w:val="center"/>
              <w:rPr>
                <w:rFonts w:hint="eastAsia" w:ascii="宋体" w:hAnsi="宋体" w:cs="宋体"/>
                <w:b/>
                <w:bCs/>
                <w:szCs w:val="21"/>
              </w:rPr>
            </w:pPr>
            <w:r>
              <w:rPr>
                <w:rFonts w:hint="eastAsia" w:ascii="宋体" w:hAnsi="宋体" w:cs="宋体"/>
                <w:b/>
                <w:bCs/>
                <w:szCs w:val="21"/>
              </w:rPr>
              <w:t>序号</w:t>
            </w:r>
          </w:p>
        </w:tc>
        <w:tc>
          <w:tcPr>
            <w:tcW w:w="684" w:type="pct"/>
            <w:vAlign w:val="center"/>
          </w:tcPr>
          <w:p w14:paraId="3DCA0C3D">
            <w:pPr>
              <w:spacing w:line="440" w:lineRule="exact"/>
              <w:jc w:val="center"/>
              <w:rPr>
                <w:rFonts w:hint="eastAsia" w:ascii="宋体" w:hAnsi="宋体" w:cs="宋体"/>
                <w:b/>
                <w:bCs/>
                <w:szCs w:val="21"/>
              </w:rPr>
            </w:pPr>
            <w:r>
              <w:rPr>
                <w:rFonts w:hint="eastAsia" w:ascii="宋体" w:hAnsi="宋体" w:cs="宋体"/>
                <w:b/>
                <w:bCs/>
                <w:szCs w:val="21"/>
              </w:rPr>
              <w:t>内容</w:t>
            </w:r>
          </w:p>
        </w:tc>
        <w:tc>
          <w:tcPr>
            <w:tcW w:w="3892" w:type="pct"/>
            <w:vAlign w:val="center"/>
          </w:tcPr>
          <w:p w14:paraId="08CB4404">
            <w:pPr>
              <w:spacing w:line="440" w:lineRule="exact"/>
              <w:jc w:val="center"/>
              <w:rPr>
                <w:rFonts w:hint="eastAsia" w:ascii="宋体" w:hAnsi="宋体" w:cs="宋体"/>
                <w:b/>
                <w:bCs/>
                <w:szCs w:val="21"/>
              </w:rPr>
            </w:pPr>
            <w:r>
              <w:rPr>
                <w:rFonts w:hint="eastAsia" w:ascii="宋体" w:hAnsi="宋体" w:cs="宋体"/>
                <w:b/>
                <w:bCs/>
                <w:szCs w:val="21"/>
              </w:rPr>
              <w:t>说明</w:t>
            </w:r>
          </w:p>
        </w:tc>
      </w:tr>
      <w:tr w14:paraId="581A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302870FD">
            <w:pPr>
              <w:spacing w:line="440" w:lineRule="exact"/>
              <w:jc w:val="center"/>
              <w:rPr>
                <w:rFonts w:hint="eastAsia" w:ascii="宋体" w:hAnsi="宋体" w:cs="宋体"/>
                <w:szCs w:val="21"/>
              </w:rPr>
            </w:pPr>
            <w:r>
              <w:rPr>
                <w:rFonts w:hint="eastAsia" w:ascii="宋体" w:hAnsi="宋体" w:cs="宋体"/>
                <w:szCs w:val="21"/>
              </w:rPr>
              <w:t>1</w:t>
            </w:r>
          </w:p>
        </w:tc>
        <w:tc>
          <w:tcPr>
            <w:tcW w:w="684" w:type="pct"/>
            <w:vAlign w:val="center"/>
          </w:tcPr>
          <w:p w14:paraId="6276861A">
            <w:pPr>
              <w:widowControl/>
              <w:spacing w:line="440" w:lineRule="exact"/>
              <w:jc w:val="center"/>
              <w:rPr>
                <w:rStyle w:val="19"/>
                <w:rFonts w:hint="eastAsia" w:ascii="宋体" w:hAnsi="宋体" w:cs="宋体"/>
                <w:bCs/>
                <w:color w:val="333333"/>
                <w:szCs w:val="21"/>
                <w:shd w:val="clear" w:color="auto" w:fill="FFFFFF"/>
              </w:rPr>
            </w:pPr>
            <w:r>
              <w:rPr>
                <w:rFonts w:hint="eastAsia" w:ascii="宋体" w:hAnsi="宋体" w:cs="宋体"/>
                <w:color w:val="333333"/>
                <w:szCs w:val="21"/>
                <w:shd w:val="clear" w:color="auto" w:fill="FFFFFF"/>
              </w:rPr>
              <w:t>‌</w:t>
            </w:r>
            <w:r>
              <w:rPr>
                <w:rStyle w:val="19"/>
                <w:rFonts w:hint="eastAsia" w:ascii="宋体" w:hAnsi="宋体" w:cs="宋体"/>
                <w:bCs/>
                <w:color w:val="333333"/>
                <w:szCs w:val="21"/>
                <w:shd w:val="clear" w:color="auto" w:fill="FFFFFF"/>
              </w:rPr>
              <w:t>系统功能维护与</w:t>
            </w:r>
          </w:p>
          <w:p w14:paraId="3BF26B76">
            <w:pPr>
              <w:widowControl/>
              <w:spacing w:line="440" w:lineRule="exact"/>
              <w:jc w:val="center"/>
              <w:rPr>
                <w:rFonts w:hint="eastAsia" w:ascii="宋体" w:hAnsi="宋体" w:cs="宋体"/>
                <w:szCs w:val="21"/>
              </w:rPr>
            </w:pPr>
            <w:r>
              <w:rPr>
                <w:rStyle w:val="19"/>
                <w:rFonts w:hint="eastAsia" w:ascii="宋体" w:hAnsi="宋体" w:cs="宋体"/>
                <w:bCs/>
                <w:color w:val="333333"/>
                <w:szCs w:val="21"/>
                <w:shd w:val="clear" w:color="auto" w:fill="FFFFFF"/>
              </w:rPr>
              <w:t>优化</w:t>
            </w:r>
          </w:p>
        </w:tc>
        <w:tc>
          <w:tcPr>
            <w:tcW w:w="3892" w:type="pct"/>
            <w:vAlign w:val="center"/>
          </w:tcPr>
          <w:p w14:paraId="510F2EF3">
            <w:pPr>
              <w:widowControl/>
              <w:numPr>
                <w:ilvl w:val="0"/>
                <w:numId w:val="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根据前期全省各级使用人员的优化意见进行登记表单优化功能改进；随访管理：个案表与随访表数据同步、失访标记，增加记录催诊和随访情况的留痕备注</w:t>
            </w:r>
            <w:r>
              <w:rPr>
                <w:rFonts w:hint="eastAsia" w:ascii="宋体" w:hAnsi="宋体" w:cs="宋体"/>
                <w:szCs w:val="21"/>
              </w:rPr>
              <w:t>；</w:t>
            </w:r>
            <w:r>
              <w:rPr>
                <w:rFonts w:hint="eastAsia" w:ascii="宋体" w:hAnsi="宋体" w:cs="宋体"/>
                <w:color w:val="333333"/>
                <w:szCs w:val="21"/>
                <w:shd w:val="clear" w:color="auto" w:fill="FFFFFF"/>
              </w:rPr>
              <w:t>结果反馈：自动生成带有筛查各环节检查结果和诊断建议的结果反馈表模板，结案后将结果反馈表对接至浙有善育查询端，供筛查对象在浙里办A</w:t>
            </w:r>
            <w:r>
              <w:rPr>
                <w:rFonts w:ascii="宋体" w:hAnsi="宋体" w:cs="宋体"/>
                <w:color w:val="333333"/>
                <w:szCs w:val="21"/>
                <w:shd w:val="clear" w:color="auto" w:fill="FFFFFF"/>
              </w:rPr>
              <w:t>PP</w:t>
            </w:r>
            <w:r>
              <w:rPr>
                <w:rFonts w:hint="eastAsia" w:ascii="宋体" w:hAnsi="宋体" w:cs="宋体"/>
                <w:color w:val="333333"/>
                <w:szCs w:val="21"/>
                <w:shd w:val="clear" w:color="auto" w:fill="FFFFFF"/>
              </w:rPr>
              <w:t>中查看筛查结果；</w:t>
            </w:r>
            <w:r>
              <w:rPr>
                <w:rFonts w:hint="eastAsia" w:ascii="宋体" w:hAnsi="宋体" w:cs="宋体"/>
                <w:szCs w:val="21"/>
              </w:rPr>
              <w:t>数据同步：与统一妇幼健康系统实时同步数据。</w:t>
            </w:r>
          </w:p>
        </w:tc>
      </w:tr>
      <w:tr w14:paraId="6141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3F69F2FE">
            <w:pPr>
              <w:spacing w:line="440" w:lineRule="exact"/>
              <w:jc w:val="center"/>
              <w:rPr>
                <w:rFonts w:hint="eastAsia" w:ascii="宋体" w:hAnsi="宋体" w:cs="宋体"/>
                <w:szCs w:val="21"/>
              </w:rPr>
            </w:pPr>
            <w:r>
              <w:rPr>
                <w:rFonts w:hint="eastAsia" w:ascii="宋体" w:hAnsi="宋体" w:cs="宋体"/>
                <w:szCs w:val="21"/>
              </w:rPr>
              <w:t>2</w:t>
            </w:r>
          </w:p>
        </w:tc>
        <w:tc>
          <w:tcPr>
            <w:tcW w:w="684" w:type="pct"/>
            <w:vAlign w:val="center"/>
          </w:tcPr>
          <w:p w14:paraId="43FBCB70">
            <w:pPr>
              <w:widowControl/>
              <w:spacing w:line="440" w:lineRule="exact"/>
              <w:jc w:val="center"/>
              <w:rPr>
                <w:rFonts w:hint="eastAsia" w:ascii="宋体" w:hAnsi="宋体" w:cs="宋体"/>
                <w:szCs w:val="21"/>
              </w:rPr>
            </w:pPr>
            <w:r>
              <w:rPr>
                <w:rStyle w:val="19"/>
                <w:rFonts w:hint="eastAsia" w:ascii="宋体" w:hAnsi="宋体" w:cs="宋体"/>
                <w:bCs/>
                <w:color w:val="333333"/>
                <w:szCs w:val="21"/>
                <w:shd w:val="clear" w:color="auto" w:fill="FFFFFF"/>
              </w:rPr>
              <w:t>数据统计与分析</w:t>
            </w:r>
          </w:p>
        </w:tc>
        <w:tc>
          <w:tcPr>
            <w:tcW w:w="3892" w:type="pct"/>
            <w:vAlign w:val="center"/>
          </w:tcPr>
          <w:p w14:paraId="77DEC170">
            <w:pPr>
              <w:widowControl/>
              <w:numPr>
                <w:ilvl w:val="0"/>
                <w:numId w:val="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新增以国家妇幼健康中心两癌筛查统计年报表标准统计格式，</w:t>
            </w:r>
            <w:r>
              <w:rPr>
                <w:rFonts w:ascii="Segoe UI" w:hAnsi="Segoe UI" w:cs="Segoe UI"/>
                <w:color w:val="404040"/>
                <w:shd w:val="clear" w:color="auto" w:fill="FFFFFF"/>
              </w:rPr>
              <w:t>自动生成按</w:t>
            </w:r>
            <w:r>
              <w:rPr>
                <w:rFonts w:hint="eastAsia" w:ascii="Segoe UI" w:hAnsi="Segoe UI" w:cs="Segoe UI"/>
                <w:color w:val="404040"/>
                <w:shd w:val="clear" w:color="auto" w:fill="FFFFFF"/>
              </w:rPr>
              <w:t>不同</w:t>
            </w:r>
            <w:r>
              <w:rPr>
                <w:rFonts w:ascii="Segoe UI" w:hAnsi="Segoe UI" w:cs="Segoe UI"/>
                <w:color w:val="404040"/>
                <w:shd w:val="clear" w:color="auto" w:fill="FFFFFF"/>
              </w:rPr>
              <w:t>初筛方法和省、市、县层级分类汇总的</w:t>
            </w:r>
            <w:r>
              <w:rPr>
                <w:rFonts w:hint="eastAsia" w:ascii="Segoe UI" w:hAnsi="Segoe UI" w:cs="Segoe UI"/>
                <w:color w:val="404040"/>
                <w:shd w:val="clear" w:color="auto" w:fill="FFFFFF"/>
              </w:rPr>
              <w:t>宫颈癌筛查与乳腺癌筛查年</w:t>
            </w:r>
            <w:r>
              <w:rPr>
                <w:rFonts w:ascii="Segoe UI" w:hAnsi="Segoe UI" w:cs="Segoe UI"/>
                <w:color w:val="404040"/>
                <w:shd w:val="clear" w:color="auto" w:fill="FFFFFF"/>
              </w:rPr>
              <w:t>度统计报表</w:t>
            </w:r>
            <w:r>
              <w:rPr>
                <w:rFonts w:hint="eastAsia" w:ascii="Segoe UI" w:hAnsi="Segoe UI" w:cs="Segoe UI"/>
                <w:color w:val="404040"/>
                <w:shd w:val="clear" w:color="auto" w:fill="FFFFFF"/>
              </w:rPr>
              <w:t>；</w:t>
            </w:r>
            <w:r>
              <w:rPr>
                <w:rFonts w:hint="eastAsia" w:ascii="宋体" w:hAnsi="宋体" w:cs="宋体"/>
                <w:szCs w:val="21"/>
              </w:rPr>
              <w:t>依据中国疾病预防控制中心妇幼保健中心、浙江省妇女保健质量管理质控中心的《宫颈癌筛查质量评估手册》、《乳腺癌筛查质量评估手册》中的相关质控指标及定义，通过个案表链接汇总计算，形成宫颈癌筛查质控报表、乳腺癌筛查质控报表。</w:t>
            </w:r>
          </w:p>
        </w:tc>
      </w:tr>
      <w:tr w14:paraId="4AD5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7C04F2E5">
            <w:pPr>
              <w:spacing w:line="440" w:lineRule="exact"/>
              <w:jc w:val="center"/>
              <w:rPr>
                <w:rFonts w:hint="eastAsia" w:ascii="宋体" w:hAnsi="宋体" w:cs="宋体"/>
                <w:szCs w:val="21"/>
              </w:rPr>
            </w:pPr>
            <w:r>
              <w:rPr>
                <w:rFonts w:hint="eastAsia" w:ascii="宋体" w:hAnsi="宋体" w:cs="宋体"/>
                <w:szCs w:val="21"/>
              </w:rPr>
              <w:t>3</w:t>
            </w:r>
          </w:p>
        </w:tc>
        <w:tc>
          <w:tcPr>
            <w:tcW w:w="684" w:type="pct"/>
            <w:vAlign w:val="center"/>
          </w:tcPr>
          <w:p w14:paraId="4990ACE7">
            <w:pPr>
              <w:widowControl/>
              <w:spacing w:line="440" w:lineRule="exact"/>
              <w:jc w:val="center"/>
              <w:rPr>
                <w:rStyle w:val="19"/>
                <w:rFonts w:hint="eastAsia" w:ascii="宋体" w:hAnsi="宋体" w:cs="宋体"/>
                <w:bCs/>
                <w:color w:val="333333"/>
                <w:szCs w:val="21"/>
                <w:shd w:val="clear" w:color="auto" w:fill="FFFFFF"/>
              </w:rPr>
            </w:pPr>
            <w:r>
              <w:rPr>
                <w:rStyle w:val="19"/>
                <w:rFonts w:hint="eastAsia" w:ascii="宋体" w:hAnsi="宋体" w:cs="宋体"/>
                <w:bCs/>
                <w:color w:val="333333"/>
                <w:szCs w:val="21"/>
                <w:shd w:val="clear" w:color="auto" w:fill="FFFFFF"/>
              </w:rPr>
              <w:t>系统稳定性保障</w:t>
            </w:r>
          </w:p>
        </w:tc>
        <w:tc>
          <w:tcPr>
            <w:tcW w:w="3892" w:type="pct"/>
            <w:vAlign w:val="center"/>
          </w:tcPr>
          <w:p w14:paraId="37F5DCC8">
            <w:pPr>
              <w:widowControl/>
              <w:numPr>
                <w:ilvl w:val="0"/>
                <w:numId w:val="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数据库性能监控与调优</w:t>
            </w:r>
            <w:r>
              <w:rPr>
                <w:rFonts w:hint="eastAsia" w:ascii="宋体" w:hAnsi="宋体" w:cs="宋体"/>
                <w:szCs w:val="21"/>
              </w:rPr>
              <w:t>：常态化的数据库性能监控机制，通过索引优化、SQL调优及硬件资源扩容等手段，确保在海量数据场景下系统响应迅速、稳定运行；</w:t>
            </w:r>
            <w:r>
              <w:rPr>
                <w:rFonts w:hint="eastAsia" w:ascii="宋体" w:hAnsi="宋体" w:cs="宋体"/>
                <w:color w:val="333333"/>
                <w:szCs w:val="21"/>
                <w:shd w:val="clear" w:color="auto" w:fill="FFFFFF"/>
              </w:rPr>
              <w:t>用户权限管理：</w:t>
            </w:r>
            <w:r>
              <w:rPr>
                <w:rFonts w:hint="eastAsia" w:ascii="宋体" w:hAnsi="宋体" w:cs="宋体"/>
                <w:szCs w:val="21"/>
              </w:rPr>
              <w:t>实施基于角色的精细化访问控制；</w:t>
            </w:r>
            <w:r>
              <w:rPr>
                <w:rFonts w:hint="eastAsia" w:ascii="宋体" w:hAnsi="宋体" w:cs="宋体"/>
                <w:color w:val="333333"/>
                <w:szCs w:val="21"/>
                <w:shd w:val="clear" w:color="auto" w:fill="FFFFFF"/>
              </w:rPr>
              <w:t>等保测评：</w:t>
            </w:r>
            <w:r>
              <w:rPr>
                <w:rFonts w:hint="eastAsia" w:ascii="宋体" w:hAnsi="宋体" w:cs="宋体"/>
                <w:szCs w:val="21"/>
              </w:rPr>
              <w:t>遵循国家网络安全等级保护制度要求，进行差距分析、安全整改。按期完成系统定级、备案与测评工作，确保平台符合国家规定的安全防护标准；</w:t>
            </w:r>
            <w:r>
              <w:rPr>
                <w:rFonts w:hint="eastAsia" w:ascii="宋体" w:hAnsi="宋体" w:cs="宋体"/>
                <w:color w:val="333333"/>
                <w:szCs w:val="21"/>
                <w:shd w:val="clear" w:color="auto" w:fill="FFFFFF"/>
              </w:rPr>
              <w:t>应用服务器、数据库国产化适配</w:t>
            </w:r>
            <w:r>
              <w:rPr>
                <w:rFonts w:hint="eastAsia" w:ascii="宋体" w:hAnsi="宋体" w:cs="宋体"/>
                <w:szCs w:val="21"/>
              </w:rPr>
              <w:t>：推进应用系统对国产操作系统及数据库的兼容性适配与迁移，完成针对性测试与性能优化；配合完成省里针对应用系统的各项安全检查和修复；执行多层次的数据备份策略，建立灾备应急预案并定期演练，确保在极端情况下数据可快速恢复，业务连续性得到保障。</w:t>
            </w:r>
          </w:p>
        </w:tc>
      </w:tr>
      <w:tr w14:paraId="3324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026680D0">
            <w:pPr>
              <w:spacing w:line="440" w:lineRule="exact"/>
              <w:jc w:val="center"/>
              <w:rPr>
                <w:rFonts w:hint="eastAsia" w:ascii="宋体" w:hAnsi="宋体" w:cs="宋体"/>
                <w:szCs w:val="21"/>
              </w:rPr>
            </w:pPr>
            <w:r>
              <w:rPr>
                <w:rFonts w:hint="eastAsia" w:ascii="宋体" w:hAnsi="宋体" w:cs="宋体"/>
                <w:szCs w:val="21"/>
              </w:rPr>
              <w:t>4</w:t>
            </w:r>
          </w:p>
        </w:tc>
        <w:tc>
          <w:tcPr>
            <w:tcW w:w="684" w:type="pct"/>
            <w:vAlign w:val="center"/>
          </w:tcPr>
          <w:p w14:paraId="10522CF2">
            <w:pPr>
              <w:widowControl/>
              <w:spacing w:line="440" w:lineRule="exact"/>
              <w:jc w:val="center"/>
              <w:rPr>
                <w:rStyle w:val="19"/>
                <w:rFonts w:hint="eastAsia" w:ascii="宋体" w:hAnsi="宋体" w:cs="宋体"/>
                <w:bCs/>
                <w:color w:val="333333"/>
                <w:szCs w:val="21"/>
                <w:shd w:val="clear" w:color="auto" w:fill="FFFFFF"/>
              </w:rPr>
            </w:pPr>
            <w:r>
              <w:rPr>
                <w:rStyle w:val="19"/>
                <w:rFonts w:hint="eastAsia" w:ascii="宋体" w:hAnsi="宋体" w:cs="宋体"/>
                <w:bCs/>
                <w:color w:val="333333"/>
                <w:szCs w:val="21"/>
                <w:shd w:val="clear" w:color="auto" w:fill="FFFFFF"/>
              </w:rPr>
              <w:t>用户支持</w:t>
            </w:r>
          </w:p>
        </w:tc>
        <w:tc>
          <w:tcPr>
            <w:tcW w:w="3892" w:type="pct"/>
            <w:vAlign w:val="center"/>
          </w:tcPr>
          <w:p w14:paraId="7174CE06">
            <w:pPr>
              <w:widowControl/>
              <w:numPr>
                <w:ilvl w:val="0"/>
                <w:numId w:val="5"/>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ascii="Segoe UI" w:hAnsi="Segoe UI" w:cs="Segoe UI"/>
                <w:color w:val="404040"/>
                <w:shd w:val="clear" w:color="auto" w:fill="FFFFFF"/>
              </w:rPr>
              <w:t>维护由全省各级筛查点系统操作</w:t>
            </w:r>
            <w:r>
              <w:rPr>
                <w:rFonts w:hint="eastAsia" w:ascii="Segoe UI" w:hAnsi="Segoe UI" w:cs="Segoe UI"/>
                <w:color w:val="404040"/>
                <w:shd w:val="clear" w:color="auto" w:fill="FFFFFF"/>
              </w:rPr>
              <w:t>人</w:t>
            </w:r>
            <w:r>
              <w:rPr>
                <w:rFonts w:ascii="Segoe UI" w:hAnsi="Segoe UI" w:cs="Segoe UI"/>
                <w:color w:val="404040"/>
                <w:shd w:val="clear" w:color="auto" w:fill="FFFFFF"/>
              </w:rPr>
              <w:t>员</w:t>
            </w:r>
            <w:r>
              <w:rPr>
                <w:rFonts w:hint="eastAsia" w:ascii="Segoe UI" w:hAnsi="Segoe UI" w:cs="Segoe UI"/>
                <w:color w:val="404040"/>
                <w:shd w:val="clear" w:color="auto" w:fill="FFFFFF"/>
              </w:rPr>
              <w:t>和信息管理人员</w:t>
            </w:r>
            <w:r>
              <w:rPr>
                <w:rFonts w:ascii="Segoe UI" w:hAnsi="Segoe UI" w:cs="Segoe UI"/>
                <w:color w:val="404040"/>
                <w:shd w:val="clear" w:color="auto" w:fill="FFFFFF"/>
              </w:rPr>
              <w:t>组成的专项</w:t>
            </w:r>
            <w:r>
              <w:rPr>
                <w:rFonts w:hint="eastAsia" w:ascii="Segoe UI" w:hAnsi="Segoe UI" w:cs="Segoe UI"/>
                <w:color w:val="404040"/>
                <w:shd w:val="clear" w:color="auto" w:fill="FFFFFF"/>
              </w:rPr>
              <w:t>技术</w:t>
            </w:r>
            <w:r>
              <w:rPr>
                <w:rFonts w:ascii="Segoe UI" w:hAnsi="Segoe UI" w:cs="Segoe UI"/>
                <w:color w:val="404040"/>
                <w:shd w:val="clear" w:color="auto" w:fill="FFFFFF"/>
              </w:rPr>
              <w:t>支持群</w:t>
            </w:r>
            <w:r>
              <w:rPr>
                <w:rFonts w:hint="eastAsia" w:ascii="宋体" w:hAnsi="宋体" w:cs="宋体"/>
                <w:color w:val="333333"/>
                <w:szCs w:val="21"/>
                <w:shd w:val="clear" w:color="auto" w:fill="FFFFFF"/>
              </w:rPr>
              <w:t>，进行系统操作疑问解答，故障响应与问题处理（7×8小时技术支持），</w:t>
            </w:r>
            <w:r>
              <w:rPr>
                <w:rFonts w:ascii="Segoe UI" w:hAnsi="Segoe UI" w:cs="Segoe UI"/>
                <w:color w:val="404040"/>
                <w:shd w:val="clear" w:color="auto" w:fill="FFFFFF"/>
              </w:rPr>
              <w:t>重大故障调动核心资源紧急处理，普通问题有序跟进。对于重大或重复性故障，</w:t>
            </w:r>
            <w:r>
              <w:rPr>
                <w:rFonts w:hint="eastAsia" w:ascii="Segoe UI" w:hAnsi="Segoe UI" w:cs="Segoe UI"/>
                <w:color w:val="404040"/>
                <w:shd w:val="clear" w:color="auto" w:fill="FFFFFF"/>
              </w:rPr>
              <w:t>进行根因分析，</w:t>
            </w:r>
            <w:r>
              <w:rPr>
                <w:rFonts w:ascii="Segoe UI" w:hAnsi="Segoe UI" w:cs="Segoe UI"/>
                <w:color w:val="404040"/>
                <w:shd w:val="clear" w:color="auto" w:fill="FFFFFF"/>
              </w:rPr>
              <w:t>制定相应的系统优化、配置调整或监控改进等预防性措施，持续提升系统稳定性</w:t>
            </w:r>
            <w:r>
              <w:rPr>
                <w:rFonts w:hint="eastAsia" w:ascii="Segoe UI" w:hAnsi="Segoe UI" w:cs="Segoe UI"/>
                <w:color w:val="404040"/>
                <w:shd w:val="clear" w:color="auto" w:fill="FFFFFF"/>
              </w:rPr>
              <w:t>。</w:t>
            </w:r>
          </w:p>
        </w:tc>
      </w:tr>
    </w:tbl>
    <w:p w14:paraId="6959206E">
      <w:pPr>
        <w:rPr>
          <w:rFonts w:hint="eastAsia" w:ascii="宋体" w:hAnsi="宋体" w:cs="宋体"/>
          <w:szCs w:val="21"/>
        </w:rPr>
      </w:pPr>
    </w:p>
    <w:p w14:paraId="2EFC40F3">
      <w:pPr>
        <w:pStyle w:val="2"/>
        <w:numPr>
          <w:ilvl w:val="0"/>
          <w:numId w:val="1"/>
        </w:numPr>
        <w:tabs>
          <w:tab w:val="left" w:pos="720"/>
          <w:tab w:val="left" w:pos="1980"/>
        </w:tabs>
        <w:spacing w:line="440" w:lineRule="exact"/>
        <w:rPr>
          <w:rFonts w:hint="eastAsia" w:ascii="宋体" w:hAnsi="宋体" w:eastAsia="宋体" w:cs="宋体"/>
          <w:sz w:val="21"/>
          <w:szCs w:val="21"/>
        </w:rPr>
      </w:pPr>
      <w:r>
        <w:rPr>
          <w:rFonts w:hint="eastAsia" w:ascii="宋体" w:hAnsi="宋体" w:eastAsia="宋体" w:cs="宋体"/>
          <w:sz w:val="21"/>
          <w:szCs w:val="21"/>
        </w:rPr>
        <w:t>技术要求</w:t>
      </w:r>
    </w:p>
    <w:p w14:paraId="4C66A319">
      <w:pPr>
        <w:pStyle w:val="27"/>
        <w:numPr>
          <w:ilvl w:val="0"/>
          <w:numId w:val="6"/>
        </w:numPr>
        <w:spacing w:line="440" w:lineRule="exact"/>
        <w:outlineLvl w:val="1"/>
        <w:rPr>
          <w:rFonts w:hint="eastAsia" w:ascii="宋体" w:hAnsi="宋体" w:cs="宋体"/>
          <w:b/>
          <w:szCs w:val="21"/>
        </w:rPr>
      </w:pPr>
      <w:r>
        <w:rPr>
          <w:rFonts w:hint="eastAsia" w:ascii="宋体" w:hAnsi="宋体" w:cs="宋体"/>
          <w:b/>
          <w:szCs w:val="21"/>
        </w:rPr>
        <w:t>总体要求</w:t>
      </w:r>
    </w:p>
    <w:p w14:paraId="7514DA3A">
      <w:pPr>
        <w:pStyle w:val="13"/>
        <w:widowControl/>
        <w:pBdr>
          <w:top w:val="none" w:color="000000" w:sz="0" w:space="0"/>
          <w:left w:val="none" w:color="000000" w:sz="0" w:space="0"/>
          <w:bottom w:val="none" w:color="000000" w:sz="0" w:space="0"/>
          <w:right w:val="none" w:color="000000" w:sz="0" w:space="0"/>
        </w:pBdr>
        <w:shd w:val="clear" w:color="auto" w:fill="FFFFFF"/>
        <w:spacing w:before="105" w:after="105" w:line="435" w:lineRule="atLeast"/>
        <w:jc w:val="left"/>
        <w:rPr>
          <w:rFonts w:hint="eastAsia"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 xml:space="preserve"> </w:t>
      </w:r>
      <w:r>
        <w:rPr>
          <w:rFonts w:ascii="宋体" w:hAnsi="宋体" w:cs="宋体"/>
          <w:color w:val="333333"/>
          <w:sz w:val="21"/>
          <w:szCs w:val="21"/>
          <w:shd w:val="clear" w:color="auto" w:fill="FFFFFF"/>
        </w:rPr>
        <w:t xml:space="preserve">   </w:t>
      </w:r>
      <w:r>
        <w:rPr>
          <w:rFonts w:hint="eastAsia" w:ascii="宋体" w:hAnsi="宋体" w:cs="宋体"/>
          <w:color w:val="333333"/>
          <w:sz w:val="21"/>
          <w:szCs w:val="21"/>
          <w:shd w:val="clear" w:color="auto" w:fill="FFFFFF"/>
        </w:rPr>
        <w:t>基于浙江省两癌筛查平台2018年上线以来的运行经验，本次技术要求旨在通过功能优化和技术升级，实现以下核心目标：确保宫颈癌/乳腺癌筛查指标的自动化计算；优化登记、随访、报表生成等环节，提升医疗机构操作效率；支持筛查结果通过“浙里办”查询，增强公众服务能力。</w:t>
      </w:r>
    </w:p>
    <w:p w14:paraId="12E31B89">
      <w:pPr>
        <w:pStyle w:val="27"/>
        <w:numPr>
          <w:ilvl w:val="0"/>
          <w:numId w:val="6"/>
        </w:numPr>
        <w:spacing w:line="440" w:lineRule="exact"/>
        <w:outlineLvl w:val="1"/>
        <w:rPr>
          <w:rFonts w:hint="eastAsia" w:ascii="宋体" w:hAnsi="宋体" w:cs="宋体"/>
          <w:b/>
          <w:szCs w:val="21"/>
        </w:rPr>
      </w:pPr>
      <w:r>
        <w:rPr>
          <w:rFonts w:hint="eastAsia" w:ascii="宋体" w:hAnsi="宋体" w:cs="宋体"/>
          <w:b/>
          <w:szCs w:val="21"/>
        </w:rPr>
        <w:t>功能要求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47"/>
        <w:gridCol w:w="7037"/>
      </w:tblGrid>
      <w:tr w14:paraId="797A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Align w:val="center"/>
          </w:tcPr>
          <w:p w14:paraId="1B186692">
            <w:pPr>
              <w:spacing w:line="440" w:lineRule="exact"/>
              <w:jc w:val="center"/>
              <w:rPr>
                <w:rFonts w:hint="eastAsia" w:ascii="宋体" w:hAnsi="宋体" w:cs="宋体"/>
                <w:b/>
                <w:bCs/>
                <w:szCs w:val="21"/>
              </w:rPr>
            </w:pPr>
            <w:r>
              <w:rPr>
                <w:rFonts w:hint="eastAsia" w:ascii="宋体" w:hAnsi="宋体" w:cs="宋体"/>
                <w:b/>
                <w:bCs/>
                <w:szCs w:val="21"/>
              </w:rPr>
              <w:t>序号</w:t>
            </w:r>
          </w:p>
        </w:tc>
        <w:tc>
          <w:tcPr>
            <w:tcW w:w="4611" w:type="pct"/>
            <w:gridSpan w:val="2"/>
          </w:tcPr>
          <w:p w14:paraId="69041A79">
            <w:pPr>
              <w:spacing w:line="440" w:lineRule="exact"/>
              <w:jc w:val="center"/>
              <w:rPr>
                <w:rFonts w:hint="eastAsia" w:ascii="宋体" w:hAnsi="宋体" w:cs="宋体"/>
                <w:b/>
                <w:bCs/>
                <w:szCs w:val="21"/>
              </w:rPr>
            </w:pPr>
            <w:r>
              <w:rPr>
                <w:rFonts w:hint="eastAsia" w:ascii="宋体" w:hAnsi="宋体" w:cs="宋体"/>
                <w:b/>
                <w:bCs/>
                <w:szCs w:val="21"/>
              </w:rPr>
              <w:t>功能与技术说明</w:t>
            </w:r>
          </w:p>
        </w:tc>
      </w:tr>
      <w:tr w14:paraId="1F44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89" w:type="pct"/>
            <w:vAlign w:val="center"/>
          </w:tcPr>
          <w:p w14:paraId="3028C44E">
            <w:pPr>
              <w:pStyle w:val="27"/>
              <w:numPr>
                <w:ilvl w:val="0"/>
                <w:numId w:val="7"/>
              </w:numPr>
              <w:spacing w:line="440" w:lineRule="exact"/>
              <w:jc w:val="center"/>
              <w:rPr>
                <w:rFonts w:hint="eastAsia" w:ascii="宋体" w:hAnsi="宋体" w:cs="宋体"/>
                <w:b/>
                <w:bCs/>
                <w:szCs w:val="21"/>
              </w:rPr>
            </w:pPr>
          </w:p>
        </w:tc>
        <w:tc>
          <w:tcPr>
            <w:tcW w:w="4611" w:type="pct"/>
            <w:gridSpan w:val="2"/>
          </w:tcPr>
          <w:p w14:paraId="719FCCFF">
            <w:pPr>
              <w:pStyle w:val="13"/>
              <w:widowControl/>
              <w:pBdr>
                <w:top w:val="none" w:color="000000" w:sz="0" w:space="0"/>
                <w:left w:val="none" w:color="000000" w:sz="0" w:space="0"/>
                <w:bottom w:val="none" w:color="000000" w:sz="0" w:space="0"/>
                <w:right w:val="none" w:color="000000" w:sz="0" w:space="0"/>
              </w:pBdr>
              <w:shd w:val="clear" w:color="auto" w:fill="FFFFFF"/>
              <w:spacing w:before="105" w:after="105" w:line="435" w:lineRule="atLeast"/>
              <w:jc w:val="center"/>
              <w:rPr>
                <w:rFonts w:hint="eastAsia" w:ascii="宋体" w:hAnsi="宋体" w:cs="宋体"/>
                <w:bCs/>
                <w:i/>
                <w:color w:val="FF0000"/>
                <w:sz w:val="21"/>
                <w:szCs w:val="21"/>
              </w:rPr>
            </w:pPr>
            <w:r>
              <w:rPr>
                <w:rStyle w:val="19"/>
                <w:rFonts w:hint="eastAsia" w:ascii="宋体" w:hAnsi="宋体" w:cs="宋体"/>
                <w:bCs/>
                <w:color w:val="333333"/>
                <w:sz w:val="21"/>
                <w:szCs w:val="21"/>
                <w:shd w:val="clear" w:color="auto" w:fill="FFFFFF"/>
              </w:rPr>
              <w:t>核心功能模块</w:t>
            </w:r>
            <w:r>
              <w:rPr>
                <w:rFonts w:hint="eastAsia" w:ascii="宋体" w:hAnsi="宋体" w:cs="宋体"/>
                <w:color w:val="333333"/>
                <w:sz w:val="21"/>
                <w:szCs w:val="21"/>
                <w:shd w:val="clear" w:color="auto" w:fill="FFFFFF"/>
              </w:rPr>
              <w:t>‌</w:t>
            </w:r>
          </w:p>
        </w:tc>
      </w:tr>
      <w:tr w14:paraId="487D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restart"/>
            <w:vAlign w:val="center"/>
          </w:tcPr>
          <w:p w14:paraId="0C2A7935">
            <w:pPr>
              <w:spacing w:line="440" w:lineRule="exact"/>
              <w:jc w:val="center"/>
              <w:rPr>
                <w:rFonts w:hint="eastAsia" w:ascii="宋体" w:hAnsi="宋体" w:cs="宋体"/>
                <w:b/>
                <w:bCs/>
                <w:color w:val="333333"/>
                <w:szCs w:val="21"/>
                <w:shd w:val="clear" w:color="auto" w:fill="FFFFFF"/>
              </w:rPr>
            </w:pPr>
            <w:r>
              <w:rPr>
                <w:rStyle w:val="19"/>
                <w:rFonts w:hint="eastAsia" w:ascii="宋体" w:hAnsi="宋体" w:cs="宋体"/>
                <w:bCs/>
                <w:color w:val="333333"/>
                <w:szCs w:val="21"/>
                <w:shd w:val="clear" w:color="auto" w:fill="FFFFFF"/>
              </w:rPr>
              <w:t>1</w:t>
            </w:r>
          </w:p>
        </w:tc>
        <w:tc>
          <w:tcPr>
            <w:tcW w:w="462" w:type="pct"/>
            <w:vMerge w:val="restart"/>
            <w:vAlign w:val="center"/>
          </w:tcPr>
          <w:p w14:paraId="10BD5081">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登记模块</w:t>
            </w:r>
          </w:p>
        </w:tc>
        <w:tc>
          <w:tcPr>
            <w:tcW w:w="4149" w:type="pct"/>
            <w:vAlign w:val="center"/>
          </w:tcPr>
          <w:p w14:paraId="44418555">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（1）登记表单优化（将原手动填写字段根据历史数据预置常用选项，改为选项形式</w:t>
            </w:r>
            <w:r>
              <w:rPr>
                <w:rFonts w:ascii="Segoe UI" w:hAnsi="Segoe UI" w:cs="Segoe UI"/>
                <w:color w:val="404040"/>
                <w:shd w:val="clear" w:color="auto" w:fill="FFFFFF"/>
              </w:rPr>
              <w:t>提升填写效率和准确性</w:t>
            </w:r>
            <w:r>
              <w:rPr>
                <w:rFonts w:hint="eastAsia" w:ascii="Segoe UI" w:hAnsi="Segoe UI" w:cs="Segoe UI"/>
                <w:color w:val="404040"/>
                <w:shd w:val="clear" w:color="auto" w:fill="FFFFFF"/>
              </w:rPr>
              <w:t>；将前序环节已填写的诊断结果，自动在“最终诊断”中联动勾选对应项；乳腺个案表增列其他检查选项；</w:t>
            </w:r>
            <w:r>
              <w:rPr>
                <w:rFonts w:hint="eastAsia" w:ascii="宋体" w:hAnsi="宋体" w:cs="宋体"/>
                <w:color w:val="333333"/>
                <w:szCs w:val="21"/>
                <w:shd w:val="clear" w:color="auto" w:fill="FFFFFF"/>
              </w:rPr>
              <w:t>机构/医生筛选功能、项目性质筛选功能、条码生成标注、其他字段与逻辑优化等）。</w:t>
            </w:r>
          </w:p>
        </w:tc>
      </w:tr>
      <w:tr w14:paraId="39FF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vAlign w:val="center"/>
          </w:tcPr>
          <w:p w14:paraId="424AA105">
            <w:pPr>
              <w:pStyle w:val="27"/>
              <w:numPr>
                <w:ilvl w:val="0"/>
                <w:numId w:val="9"/>
              </w:numPr>
              <w:spacing w:line="440" w:lineRule="exact"/>
              <w:jc w:val="center"/>
              <w:rPr>
                <w:rFonts w:hint="eastAsia" w:ascii="宋体" w:hAnsi="宋体" w:cs="宋体"/>
                <w:b/>
                <w:bCs/>
                <w:szCs w:val="21"/>
              </w:rPr>
            </w:pPr>
          </w:p>
        </w:tc>
        <w:tc>
          <w:tcPr>
            <w:tcW w:w="462" w:type="pct"/>
            <w:vMerge w:val="continue"/>
          </w:tcPr>
          <w:p w14:paraId="4DF166AD">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Theme="minorEastAsia" w:hAnsiTheme="minorEastAsia" w:eastAsiaTheme="minorEastAsia" w:cstheme="minorEastAsia"/>
                <w:bCs/>
                <w:iCs/>
                <w:szCs w:val="21"/>
              </w:rPr>
            </w:pPr>
          </w:p>
        </w:tc>
        <w:tc>
          <w:tcPr>
            <w:tcW w:w="4149" w:type="pct"/>
            <w:vAlign w:val="center"/>
          </w:tcPr>
          <w:p w14:paraId="44102245">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heme="minorEastAsia" w:hAnsiTheme="minorEastAsia" w:eastAsiaTheme="minorEastAsia" w:cstheme="minorEastAsia"/>
                <w:bCs/>
                <w:iCs/>
                <w:szCs w:val="21"/>
              </w:rPr>
              <w:t>（2）筛查个案登记时档案调取，历史登记查看比对，</w:t>
            </w:r>
            <w:r>
              <w:rPr>
                <w:rFonts w:hint="eastAsia" w:ascii="宋体" w:hAnsi="宋体" w:cs="宋体"/>
                <w:color w:val="333333"/>
                <w:szCs w:val="21"/>
                <w:shd w:val="clear" w:color="auto" w:fill="FFFFFF"/>
              </w:rPr>
              <w:t>在登记页面显示历史筛查信息与周期内已筛查者详细情况（何时在何地进行了宫颈癌/乳腺癌何种筛查）。</w:t>
            </w:r>
          </w:p>
        </w:tc>
      </w:tr>
      <w:tr w14:paraId="67B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 w:type="pct"/>
            <w:vMerge w:val="restart"/>
            <w:vAlign w:val="center"/>
          </w:tcPr>
          <w:p w14:paraId="3C514CB0">
            <w:pPr>
              <w:widowControl/>
              <w:pBdr>
                <w:top w:val="none" w:color="000000" w:sz="0" w:space="0"/>
                <w:left w:val="none" w:color="000000" w:sz="0" w:space="0"/>
                <w:bottom w:val="none" w:color="000000" w:sz="0" w:space="0"/>
                <w:right w:val="none" w:color="000000" w:sz="0" w:space="0"/>
              </w:pBdr>
              <w:tabs>
                <w:tab w:val="left" w:pos="720"/>
              </w:tabs>
              <w:spacing w:before="90" w:after="90" w:line="420" w:lineRule="atLeast"/>
              <w:jc w:val="center"/>
              <w:rPr>
                <w:rFonts w:hint="eastAsia" w:ascii="宋体" w:hAnsi="宋体" w:cs="宋体"/>
                <w:b/>
                <w:bCs/>
                <w:color w:val="333333"/>
                <w:szCs w:val="21"/>
                <w:shd w:val="clear" w:color="auto" w:fill="FFFFFF"/>
              </w:rPr>
            </w:pPr>
            <w:r>
              <w:rPr>
                <w:rStyle w:val="19"/>
                <w:rFonts w:ascii="宋体" w:hAnsi="宋体" w:cs="宋体"/>
                <w:bCs/>
                <w:color w:val="333333"/>
                <w:szCs w:val="21"/>
                <w:shd w:val="clear" w:color="auto" w:fill="FFFFFF"/>
              </w:rPr>
              <w:t>2</w:t>
            </w:r>
          </w:p>
        </w:tc>
        <w:tc>
          <w:tcPr>
            <w:tcW w:w="462" w:type="pct"/>
            <w:vMerge w:val="restart"/>
            <w:vAlign w:val="center"/>
          </w:tcPr>
          <w:p w14:paraId="3F0DAEE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ascii="Times New Roman" w:hAnsi="Times New Roman" w:cs="Times New Roman"/>
                <w:color w:val="333333"/>
                <w:szCs w:val="21"/>
                <w:shd w:val="clear" w:color="auto" w:fill="FFFFFF"/>
              </w:rPr>
            </w:pPr>
            <w:r>
              <w:rPr>
                <w:rStyle w:val="19"/>
                <w:rFonts w:hint="eastAsia" w:ascii="宋体" w:hAnsi="宋体" w:cs="宋体"/>
                <w:bCs/>
                <w:color w:val="333333"/>
                <w:szCs w:val="21"/>
                <w:shd w:val="clear" w:color="auto" w:fill="FFFFFF"/>
              </w:rPr>
              <w:t>报表模块</w:t>
            </w:r>
          </w:p>
        </w:tc>
        <w:tc>
          <w:tcPr>
            <w:tcW w:w="4149" w:type="pct"/>
            <w:vAlign w:val="center"/>
          </w:tcPr>
          <w:p w14:paraId="2768F40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ascii="Times New Roman" w:hAnsi="Times New Roman" w:cs="Times New Roman"/>
                <w:color w:val="333333"/>
                <w:szCs w:val="21"/>
                <w:shd w:val="clear" w:color="auto" w:fill="FFFFFF"/>
              </w:rPr>
              <w:t>‌</w:t>
            </w:r>
            <w:r>
              <w:rPr>
                <w:rFonts w:hint="eastAsia" w:ascii="Times New Roman" w:hAnsi="Times New Roman" w:cs="Times New Roman"/>
                <w:color w:val="333333"/>
                <w:szCs w:val="21"/>
                <w:shd w:val="clear" w:color="auto" w:fill="FFFFFF"/>
              </w:rPr>
              <w:t>（3）</w:t>
            </w:r>
            <w:r>
              <w:rPr>
                <w:rFonts w:hint="eastAsia" w:ascii="宋体" w:hAnsi="宋体" w:cs="宋体"/>
                <w:color w:val="333333"/>
                <w:szCs w:val="21"/>
                <w:shd w:val="clear" w:color="auto" w:fill="FFFFFF"/>
              </w:rPr>
              <w:t>以国家妇幼健康中心两癌筛查统计年报表标准统计格式，</w:t>
            </w:r>
            <w:r>
              <w:rPr>
                <w:rFonts w:ascii="Segoe UI" w:hAnsi="Segoe UI" w:cs="Segoe UI"/>
                <w:color w:val="404040"/>
                <w:shd w:val="clear" w:color="auto" w:fill="FFFFFF"/>
              </w:rPr>
              <w:t>自动生成按</w:t>
            </w:r>
            <w:r>
              <w:rPr>
                <w:rFonts w:hint="eastAsia" w:ascii="Segoe UI" w:hAnsi="Segoe UI" w:cs="Segoe UI"/>
                <w:color w:val="404040"/>
                <w:shd w:val="clear" w:color="auto" w:fill="FFFFFF"/>
              </w:rPr>
              <w:t>不同</w:t>
            </w:r>
            <w:r>
              <w:rPr>
                <w:rFonts w:ascii="Segoe UI" w:hAnsi="Segoe UI" w:cs="Segoe UI"/>
                <w:color w:val="404040"/>
                <w:shd w:val="clear" w:color="auto" w:fill="FFFFFF"/>
              </w:rPr>
              <w:t>初筛方法和省、市、县层级分类汇总的年度统计报表</w:t>
            </w:r>
            <w:r>
              <w:rPr>
                <w:rFonts w:hint="eastAsia" w:ascii="Segoe UI" w:hAnsi="Segoe UI" w:cs="Segoe UI"/>
                <w:color w:val="404040"/>
                <w:shd w:val="clear" w:color="auto" w:fill="FFFFFF"/>
              </w:rPr>
              <w:t>，支持数据钻取，点击报表中数字后可定位具体人员列表。</w:t>
            </w:r>
          </w:p>
        </w:tc>
      </w:tr>
      <w:tr w14:paraId="4ADB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89" w:type="pct"/>
            <w:vMerge w:val="continue"/>
            <w:vAlign w:val="center"/>
          </w:tcPr>
          <w:p w14:paraId="4C37B8FD">
            <w:pPr>
              <w:widowControl/>
              <w:numPr>
                <w:ilvl w:val="0"/>
                <w:numId w:val="9"/>
              </w:numPr>
              <w:pBdr>
                <w:top w:val="none" w:color="000000" w:sz="0" w:space="0"/>
                <w:left w:val="none" w:color="000000" w:sz="0" w:space="0"/>
                <w:bottom w:val="none" w:color="000000" w:sz="0" w:space="0"/>
                <w:right w:val="none" w:color="000000" w:sz="0" w:space="0"/>
              </w:pBdr>
              <w:tabs>
                <w:tab w:val="left" w:pos="720"/>
              </w:tabs>
              <w:spacing w:before="90" w:after="90" w:line="420" w:lineRule="atLeast"/>
              <w:jc w:val="left"/>
              <w:rPr>
                <w:rStyle w:val="19"/>
                <w:rFonts w:hint="eastAsia" w:ascii="宋体" w:hAnsi="宋体" w:cs="宋体"/>
                <w:bCs/>
                <w:color w:val="333333"/>
                <w:szCs w:val="21"/>
                <w:shd w:val="clear" w:color="auto" w:fill="FFFFFF"/>
              </w:rPr>
            </w:pPr>
          </w:p>
        </w:tc>
        <w:tc>
          <w:tcPr>
            <w:tcW w:w="462" w:type="pct"/>
            <w:vMerge w:val="continue"/>
          </w:tcPr>
          <w:p w14:paraId="59D72D95">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bCs/>
                <w:iCs/>
                <w:szCs w:val="21"/>
              </w:rPr>
            </w:pPr>
          </w:p>
        </w:tc>
        <w:tc>
          <w:tcPr>
            <w:tcW w:w="4149" w:type="pct"/>
            <w:vAlign w:val="center"/>
          </w:tcPr>
          <w:p w14:paraId="10C0ADE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ascii="Times New Roman" w:hAnsi="Times New Roman" w:cs="Times New Roman"/>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4</w:t>
            </w:r>
            <w:r>
              <w:rPr>
                <w:rFonts w:hint="eastAsia" w:ascii="Times New Roman" w:hAnsi="Times New Roman" w:cs="Times New Roman"/>
                <w:color w:val="333333"/>
                <w:szCs w:val="21"/>
                <w:shd w:val="clear" w:color="auto" w:fill="FFFFFF"/>
              </w:rPr>
              <w:t>）</w:t>
            </w:r>
            <w:r>
              <w:rPr>
                <w:rFonts w:hint="eastAsia" w:ascii="宋体" w:hAnsi="宋体" w:cs="宋体"/>
                <w:bCs/>
                <w:iCs/>
                <w:szCs w:val="21"/>
              </w:rPr>
              <w:t>生成</w:t>
            </w:r>
            <w:r>
              <w:rPr>
                <w:rFonts w:hint="eastAsia" w:ascii="宋体" w:hAnsi="宋体" w:cs="宋体"/>
                <w:szCs w:val="21"/>
              </w:rPr>
              <w:t>宫颈癌筛查质控报表、乳腺癌筛查质控报表</w:t>
            </w:r>
            <w:r>
              <w:rPr>
                <w:rFonts w:hint="eastAsia" w:ascii="宋体" w:hAnsi="宋体" w:cs="宋体"/>
                <w:bCs/>
                <w:iCs/>
                <w:szCs w:val="21"/>
              </w:rPr>
              <w:t>，对未在参考范围内的指标以不同字体格式突出显示，</w:t>
            </w:r>
            <w:r>
              <w:rPr>
                <w:rFonts w:hint="eastAsia" w:ascii="宋体" w:hAnsi="宋体" w:cs="宋体"/>
                <w:szCs w:val="21"/>
              </w:rPr>
              <w:t>支持省、市、区县三级管理账号按行政层级查看并生成其辖区内的质控指标报表，并支持向下钻取分析。</w:t>
            </w:r>
          </w:p>
        </w:tc>
      </w:tr>
      <w:tr w14:paraId="2389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89" w:type="pct"/>
            <w:vMerge w:val="restart"/>
            <w:vAlign w:val="center"/>
          </w:tcPr>
          <w:p w14:paraId="275D9D0E">
            <w:pPr>
              <w:spacing w:line="440" w:lineRule="exact"/>
              <w:jc w:val="center"/>
              <w:rPr>
                <w:rFonts w:hint="eastAsia" w:ascii="宋体" w:hAnsi="宋体" w:cs="宋体"/>
                <w:b/>
                <w:bCs/>
                <w:szCs w:val="21"/>
              </w:rPr>
            </w:pPr>
            <w:r>
              <w:rPr>
                <w:rFonts w:ascii="宋体" w:hAnsi="宋体" w:cs="宋体"/>
                <w:b/>
                <w:bCs/>
                <w:szCs w:val="21"/>
              </w:rPr>
              <w:t>3</w:t>
            </w:r>
          </w:p>
          <w:p w14:paraId="6B34CE58">
            <w:pPr>
              <w:spacing w:line="440" w:lineRule="exact"/>
              <w:jc w:val="center"/>
              <w:rPr>
                <w:rFonts w:hint="eastAsia" w:ascii="宋体" w:hAnsi="宋体" w:cs="宋体"/>
                <w:b/>
                <w:bCs/>
                <w:szCs w:val="21"/>
              </w:rPr>
            </w:pPr>
          </w:p>
        </w:tc>
        <w:tc>
          <w:tcPr>
            <w:tcW w:w="462" w:type="pct"/>
            <w:vMerge w:val="restart"/>
            <w:vAlign w:val="center"/>
          </w:tcPr>
          <w:p w14:paraId="2803B314">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数据交互与展示</w:t>
            </w:r>
          </w:p>
        </w:tc>
        <w:tc>
          <w:tcPr>
            <w:tcW w:w="4149" w:type="pct"/>
            <w:vAlign w:val="center"/>
          </w:tcPr>
          <w:p w14:paraId="40F6A605">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5</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结果反馈表中的筛查结果处自动填充个案表里的诊断结果（宫颈癌筛查包括妇科检查临床诊断、HPV检测、细胞学检查结果、阴道镜检查诊断、组织病理检查结果、最后诊断；乳腺癌筛查包括乳腺彩超、乳腺X线检查结果）。</w:t>
            </w:r>
          </w:p>
        </w:tc>
      </w:tr>
      <w:tr w14:paraId="33D3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9" w:type="pct"/>
            <w:vMerge w:val="continue"/>
            <w:vAlign w:val="center"/>
          </w:tcPr>
          <w:p w14:paraId="4DD182CC">
            <w:pPr>
              <w:spacing w:line="440" w:lineRule="exact"/>
              <w:jc w:val="center"/>
              <w:rPr>
                <w:rFonts w:hint="eastAsia" w:ascii="宋体" w:hAnsi="宋体" w:cs="宋体"/>
                <w:b/>
                <w:bCs/>
                <w:szCs w:val="21"/>
              </w:rPr>
            </w:pPr>
          </w:p>
        </w:tc>
        <w:tc>
          <w:tcPr>
            <w:tcW w:w="462" w:type="pct"/>
            <w:vMerge w:val="continue"/>
          </w:tcPr>
          <w:p w14:paraId="7B7F0FD7">
            <w:pPr>
              <w:widowControl/>
              <w:pBdr>
                <w:top w:val="none" w:color="000000" w:sz="0" w:space="0"/>
                <w:left w:val="none" w:color="000000" w:sz="0" w:space="0"/>
                <w:bottom w:val="none" w:color="000000" w:sz="0" w:space="0"/>
                <w:right w:val="none" w:color="000000" w:sz="0" w:space="0"/>
              </w:pBdr>
              <w:spacing w:before="90" w:after="90" w:line="420" w:lineRule="atLeast"/>
              <w:ind w:left="149" w:leftChars="71"/>
              <w:rPr>
                <w:rFonts w:hint="eastAsia" w:ascii="宋体" w:hAnsi="宋体" w:cs="宋体"/>
                <w:color w:val="333333"/>
                <w:szCs w:val="21"/>
                <w:shd w:val="clear" w:color="auto" w:fill="FFFFFF"/>
              </w:rPr>
            </w:pPr>
          </w:p>
        </w:tc>
        <w:tc>
          <w:tcPr>
            <w:tcW w:w="4149" w:type="pct"/>
            <w:vAlign w:val="center"/>
          </w:tcPr>
          <w:p w14:paraId="7993BD53">
            <w:pPr>
              <w:widowControl/>
              <w:pBdr>
                <w:top w:val="none" w:color="000000" w:sz="0" w:space="0"/>
                <w:left w:val="none" w:color="000000" w:sz="0" w:space="0"/>
                <w:bottom w:val="none" w:color="000000" w:sz="0" w:space="0"/>
                <w:right w:val="none" w:color="000000" w:sz="0" w:space="0"/>
              </w:pBdr>
              <w:spacing w:before="90" w:after="90" w:line="420" w:lineRule="atLeast"/>
              <w:ind w:left="149" w:leftChars="71"/>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6</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结果反馈表中的医生建议框，按照浙江省宫颈癌和乳腺癌筛查工作方案（浙卫办[2</w:t>
            </w:r>
            <w:r>
              <w:rPr>
                <w:rFonts w:ascii="宋体" w:hAnsi="宋体" w:cs="宋体"/>
                <w:color w:val="333333"/>
                <w:szCs w:val="21"/>
                <w:shd w:val="clear" w:color="auto" w:fill="FFFFFF"/>
              </w:rPr>
              <w:t>022]</w:t>
            </w:r>
            <w:r>
              <w:rPr>
                <w:rFonts w:hint="eastAsia" w:ascii="宋体" w:hAnsi="宋体" w:cs="宋体"/>
                <w:color w:val="333333"/>
                <w:szCs w:val="21"/>
                <w:shd w:val="clear" w:color="auto" w:fill="FFFFFF"/>
              </w:rPr>
              <w:t>2</w:t>
            </w:r>
            <w:r>
              <w:rPr>
                <w:rFonts w:ascii="宋体" w:hAnsi="宋体" w:cs="宋体"/>
                <w:color w:val="333333"/>
                <w:szCs w:val="21"/>
                <w:shd w:val="clear" w:color="auto" w:fill="FFFFFF"/>
              </w:rPr>
              <w:t>2</w:t>
            </w:r>
            <w:r>
              <w:rPr>
                <w:rFonts w:hint="eastAsia" w:ascii="宋体" w:hAnsi="宋体" w:cs="宋体"/>
                <w:color w:val="333333"/>
                <w:szCs w:val="21"/>
                <w:shd w:val="clear" w:color="auto" w:fill="FFFFFF"/>
              </w:rPr>
              <w:t>号）的检测流程图，将筛查结果应进行的对应流程以复选框勾选的形式批量配置在医生建议模板中，医生可在模版基础上自定义编辑增减内容，市级管理员可根据本市项目情况自定义选项内容。</w:t>
            </w:r>
          </w:p>
        </w:tc>
      </w:tr>
      <w:tr w14:paraId="42DD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9" w:type="pct"/>
            <w:vMerge w:val="continue"/>
            <w:vAlign w:val="center"/>
          </w:tcPr>
          <w:p w14:paraId="13B695C8">
            <w:pPr>
              <w:spacing w:line="440" w:lineRule="exact"/>
              <w:jc w:val="center"/>
              <w:rPr>
                <w:rFonts w:hint="eastAsia" w:ascii="宋体" w:hAnsi="宋体" w:cs="宋体"/>
                <w:b/>
                <w:bCs/>
                <w:szCs w:val="21"/>
              </w:rPr>
            </w:pPr>
          </w:p>
        </w:tc>
        <w:tc>
          <w:tcPr>
            <w:tcW w:w="462" w:type="pct"/>
            <w:vMerge w:val="continue"/>
          </w:tcPr>
          <w:p w14:paraId="28103769">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5E9CDD2A">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7</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★支持</w:t>
            </w:r>
            <w:r>
              <w:rPr>
                <w:rFonts w:hint="eastAsia" w:ascii="宋体" w:hAnsi="宋体" w:cs="宋体"/>
                <w:bCs/>
                <w:iCs/>
                <w:szCs w:val="21"/>
              </w:rPr>
              <w:t>HPV、细胞学检查检查结果导回。</w:t>
            </w:r>
          </w:p>
        </w:tc>
      </w:tr>
      <w:tr w14:paraId="51F4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89" w:type="pct"/>
            <w:vMerge w:val="restart"/>
            <w:vAlign w:val="center"/>
          </w:tcPr>
          <w:p w14:paraId="4747A55A">
            <w:pPr>
              <w:spacing w:line="440" w:lineRule="exact"/>
              <w:jc w:val="center"/>
              <w:rPr>
                <w:rFonts w:hint="eastAsia" w:ascii="宋体" w:hAnsi="宋体" w:cs="宋体"/>
                <w:b/>
                <w:bCs/>
                <w:szCs w:val="21"/>
              </w:rPr>
            </w:pPr>
            <w:r>
              <w:rPr>
                <w:rFonts w:ascii="宋体" w:hAnsi="宋体" w:cs="宋体"/>
                <w:b/>
                <w:bCs/>
                <w:szCs w:val="21"/>
              </w:rPr>
              <w:t>4</w:t>
            </w:r>
          </w:p>
          <w:p w14:paraId="69CE592F">
            <w:pPr>
              <w:spacing w:line="440" w:lineRule="exact"/>
              <w:jc w:val="center"/>
              <w:rPr>
                <w:rFonts w:hint="eastAsia" w:ascii="宋体" w:hAnsi="宋体" w:cs="宋体"/>
                <w:b/>
                <w:bCs/>
                <w:szCs w:val="21"/>
              </w:rPr>
            </w:pPr>
          </w:p>
        </w:tc>
        <w:tc>
          <w:tcPr>
            <w:tcW w:w="462" w:type="pct"/>
            <w:vMerge w:val="restart"/>
            <w:vAlign w:val="center"/>
          </w:tcPr>
          <w:p w14:paraId="282B8F2E">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系统管理</w:t>
            </w:r>
          </w:p>
        </w:tc>
        <w:tc>
          <w:tcPr>
            <w:tcW w:w="4149" w:type="pct"/>
            <w:vAlign w:val="center"/>
          </w:tcPr>
          <w:p w14:paraId="01166C12">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8</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多级账号权限控制，省、市、区县不同账号配置不同数据查看范围。</w:t>
            </w:r>
          </w:p>
        </w:tc>
      </w:tr>
      <w:tr w14:paraId="0956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89" w:type="pct"/>
            <w:vMerge w:val="continue"/>
            <w:vAlign w:val="center"/>
          </w:tcPr>
          <w:p w14:paraId="44F0A618">
            <w:pPr>
              <w:spacing w:line="440" w:lineRule="exact"/>
              <w:jc w:val="center"/>
              <w:rPr>
                <w:rFonts w:hint="eastAsia" w:ascii="宋体" w:hAnsi="宋体" w:cs="宋体"/>
                <w:b/>
                <w:bCs/>
                <w:szCs w:val="21"/>
              </w:rPr>
            </w:pPr>
          </w:p>
        </w:tc>
        <w:tc>
          <w:tcPr>
            <w:tcW w:w="462" w:type="pct"/>
            <w:vMerge w:val="continue"/>
          </w:tcPr>
          <w:p w14:paraId="3F06D0E9">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5F20D34A">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9</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日志审计与操作追溯，可实现</w:t>
            </w:r>
            <w:r>
              <w:rPr>
                <w:rFonts w:hint="eastAsia" w:ascii="宋体" w:hAnsi="宋体" w:cs="宋体"/>
                <w:bCs/>
                <w:iCs/>
                <w:szCs w:val="21"/>
              </w:rPr>
              <w:t>数据恢复和数据锁定。</w:t>
            </w:r>
          </w:p>
        </w:tc>
      </w:tr>
      <w:tr w14:paraId="54E8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14:paraId="28B41393">
            <w:pPr>
              <w:spacing w:line="440" w:lineRule="exact"/>
              <w:jc w:val="center"/>
              <w:rPr>
                <w:rFonts w:hint="eastAsia" w:ascii="宋体" w:hAnsi="宋体" w:cs="宋体"/>
                <w:b/>
                <w:bCs/>
                <w:szCs w:val="21"/>
              </w:rPr>
            </w:pPr>
            <w:r>
              <w:rPr>
                <w:rFonts w:hint="eastAsia" w:ascii="宋体" w:hAnsi="宋体" w:cs="宋体"/>
                <w:b/>
                <w:bCs/>
                <w:szCs w:val="21"/>
              </w:rPr>
              <w:t>二、</w:t>
            </w:r>
          </w:p>
        </w:tc>
        <w:tc>
          <w:tcPr>
            <w:tcW w:w="4611" w:type="pct"/>
            <w:gridSpan w:val="2"/>
          </w:tcPr>
          <w:p w14:paraId="10DE1513">
            <w:pPr>
              <w:spacing w:line="440" w:lineRule="exact"/>
              <w:jc w:val="center"/>
              <w:rPr>
                <w:rFonts w:hint="eastAsia" w:ascii="宋体" w:hAnsi="宋体" w:cs="宋体"/>
                <w:bCs/>
                <w:i/>
                <w:color w:val="FF0000"/>
                <w:szCs w:val="21"/>
              </w:rPr>
            </w:pPr>
            <w:r>
              <w:rPr>
                <w:rStyle w:val="19"/>
                <w:rFonts w:hint="eastAsia" w:ascii="宋体" w:hAnsi="宋体" w:cs="宋体"/>
                <w:bCs/>
                <w:color w:val="333333"/>
                <w:szCs w:val="21"/>
                <w:shd w:val="clear" w:color="auto" w:fill="FFFFFF"/>
              </w:rPr>
              <w:t>技术架构与性能</w:t>
            </w:r>
          </w:p>
        </w:tc>
      </w:tr>
      <w:tr w14:paraId="300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9" w:type="pct"/>
            <w:vMerge w:val="restart"/>
            <w:vAlign w:val="center"/>
          </w:tcPr>
          <w:p w14:paraId="1881F82B">
            <w:pPr>
              <w:spacing w:line="440" w:lineRule="exact"/>
              <w:jc w:val="center"/>
              <w:rPr>
                <w:rFonts w:hint="eastAsia" w:ascii="宋体" w:hAnsi="宋体" w:cs="宋体"/>
                <w:b/>
                <w:bCs/>
                <w:szCs w:val="21"/>
              </w:rPr>
            </w:pPr>
            <w:r>
              <w:rPr>
                <w:rFonts w:ascii="宋体" w:hAnsi="宋体" w:cs="宋体"/>
                <w:b/>
                <w:bCs/>
                <w:szCs w:val="21"/>
              </w:rPr>
              <w:t>1</w:t>
            </w:r>
          </w:p>
        </w:tc>
        <w:tc>
          <w:tcPr>
            <w:tcW w:w="462" w:type="pct"/>
            <w:vMerge w:val="restart"/>
            <w:vAlign w:val="center"/>
          </w:tcPr>
          <w:p w14:paraId="2B74D300">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技术架构</w:t>
            </w:r>
          </w:p>
        </w:tc>
        <w:tc>
          <w:tcPr>
            <w:tcW w:w="4149" w:type="pct"/>
            <w:vAlign w:val="center"/>
          </w:tcPr>
          <w:p w14:paraId="27EF578C">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Style w:val="19"/>
                <w:rFonts w:hint="eastAsia" w:ascii="宋体" w:hAnsi="宋体" w:cs="宋体"/>
                <w:b w:val="0"/>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10</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采用微服务架构，支持高并发数据处理，支持500家筛查机构同时在线登记；MySQL/PostgreSQL数据库，需支持千万级数据存储，并配合国产化切换需求。</w:t>
            </w:r>
          </w:p>
        </w:tc>
      </w:tr>
      <w:tr w14:paraId="25DA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9" w:type="pct"/>
            <w:vMerge w:val="continue"/>
            <w:vAlign w:val="center"/>
          </w:tcPr>
          <w:p w14:paraId="1BF7B4BB">
            <w:pPr>
              <w:spacing w:line="440" w:lineRule="exact"/>
              <w:jc w:val="center"/>
              <w:rPr>
                <w:rFonts w:hint="eastAsia" w:ascii="宋体" w:hAnsi="宋体" w:cs="宋体"/>
                <w:b/>
                <w:bCs/>
                <w:szCs w:val="21"/>
              </w:rPr>
            </w:pPr>
          </w:p>
        </w:tc>
        <w:tc>
          <w:tcPr>
            <w:tcW w:w="462" w:type="pct"/>
            <w:vMerge w:val="continue"/>
          </w:tcPr>
          <w:p w14:paraId="20B43F1E">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8DD1E2A">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11</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数据同</w:t>
            </w:r>
            <w:r>
              <w:rPr>
                <w:rFonts w:hint="eastAsia"/>
              </w:rPr>
              <w:t>步：与统一妇幼平台形成业务数据增量实时同步。</w:t>
            </w:r>
          </w:p>
        </w:tc>
      </w:tr>
      <w:tr w14:paraId="4F96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9" w:type="pct"/>
            <w:vMerge w:val="continue"/>
            <w:vAlign w:val="center"/>
          </w:tcPr>
          <w:p w14:paraId="573E4C39">
            <w:pPr>
              <w:spacing w:line="440" w:lineRule="exact"/>
              <w:jc w:val="center"/>
              <w:rPr>
                <w:rFonts w:hint="eastAsia" w:ascii="宋体" w:hAnsi="宋体" w:cs="宋体"/>
                <w:b/>
                <w:bCs/>
                <w:szCs w:val="21"/>
              </w:rPr>
            </w:pPr>
          </w:p>
        </w:tc>
        <w:tc>
          <w:tcPr>
            <w:tcW w:w="462" w:type="pct"/>
            <w:vMerge w:val="continue"/>
          </w:tcPr>
          <w:p w14:paraId="42E80658">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BFEF8AF">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12</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w:t>
            </w:r>
            <w:r>
              <w:rPr>
                <w:rFonts w:hint="eastAsia"/>
              </w:rPr>
              <w:t>与国家</w:t>
            </w:r>
            <w:r>
              <w:rPr>
                <w:rStyle w:val="19"/>
                <w:rFonts w:hint="eastAsia" w:ascii="宋体" w:hAnsi="宋体" w:cs="宋体"/>
                <w:b w:val="0"/>
                <w:color w:val="333333"/>
                <w:szCs w:val="21"/>
                <w:shd w:val="clear" w:color="auto" w:fill="FFFFFF"/>
              </w:rPr>
              <w:t>重大公卫系统有对接经验。</w:t>
            </w:r>
          </w:p>
        </w:tc>
      </w:tr>
      <w:tr w14:paraId="547A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89" w:type="pct"/>
            <w:vMerge w:val="restart"/>
            <w:vAlign w:val="center"/>
          </w:tcPr>
          <w:p w14:paraId="327BA554">
            <w:pPr>
              <w:spacing w:line="440" w:lineRule="exact"/>
              <w:jc w:val="center"/>
              <w:rPr>
                <w:rFonts w:hint="eastAsia" w:ascii="宋体" w:hAnsi="宋体" w:cs="宋体"/>
                <w:b/>
                <w:bCs/>
                <w:szCs w:val="21"/>
              </w:rPr>
            </w:pPr>
            <w:r>
              <w:rPr>
                <w:rFonts w:ascii="宋体" w:hAnsi="宋体" w:cs="宋体"/>
                <w:b/>
                <w:bCs/>
                <w:szCs w:val="21"/>
              </w:rPr>
              <w:t>2</w:t>
            </w:r>
          </w:p>
          <w:p w14:paraId="46E81196">
            <w:pPr>
              <w:spacing w:line="440" w:lineRule="exact"/>
              <w:jc w:val="center"/>
              <w:rPr>
                <w:rFonts w:hint="eastAsia" w:ascii="宋体" w:hAnsi="宋体" w:cs="宋体"/>
                <w:b/>
                <w:bCs/>
                <w:szCs w:val="21"/>
              </w:rPr>
            </w:pPr>
          </w:p>
        </w:tc>
        <w:tc>
          <w:tcPr>
            <w:tcW w:w="462" w:type="pct"/>
            <w:vMerge w:val="restart"/>
            <w:vAlign w:val="center"/>
          </w:tcPr>
          <w:p w14:paraId="1E4D007D">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性能与安全</w:t>
            </w:r>
          </w:p>
        </w:tc>
        <w:tc>
          <w:tcPr>
            <w:tcW w:w="4149" w:type="pct"/>
            <w:vAlign w:val="center"/>
          </w:tcPr>
          <w:p w14:paraId="36463744">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Style w:val="19"/>
                <w:rFonts w:hint="eastAsia" w:ascii="宋体" w:hAnsi="宋体" w:cs="宋体"/>
                <w:b w:val="0"/>
                <w:szCs w:val="21"/>
              </w:rPr>
            </w:pPr>
            <w:r>
              <w:rPr>
                <w:rFonts w:hint="eastAsia" w:ascii="Times New Roman" w:hAnsi="Times New Roman" w:cs="Times New Roman"/>
                <w:color w:val="333333"/>
                <w:szCs w:val="21"/>
                <w:shd w:val="clear" w:color="auto" w:fill="FFFFFF"/>
              </w:rPr>
              <w:t>（13）</w:t>
            </w:r>
            <w:r>
              <w:rPr>
                <w:rFonts w:hint="eastAsia" w:ascii="宋体" w:hAnsi="宋体" w:cs="宋体"/>
                <w:color w:val="333333"/>
                <w:szCs w:val="21"/>
                <w:shd w:val="clear" w:color="auto" w:fill="FFFFFF"/>
              </w:rPr>
              <w:t>数据加密：敏感信息（如病理结果）加密（TLS 1.2+），接入省里提供的专门加密接口，调用统一加密服务；完成省里要求的应用系统三级等保，代码审计。</w:t>
            </w:r>
          </w:p>
        </w:tc>
      </w:tr>
      <w:tr w14:paraId="0CA6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9" w:type="pct"/>
            <w:vMerge w:val="continue"/>
            <w:vAlign w:val="center"/>
          </w:tcPr>
          <w:p w14:paraId="7F852B61">
            <w:pPr>
              <w:spacing w:line="440" w:lineRule="exact"/>
              <w:jc w:val="center"/>
              <w:rPr>
                <w:rFonts w:hint="eastAsia" w:ascii="宋体" w:hAnsi="宋体" w:cs="宋体"/>
                <w:b/>
                <w:bCs/>
                <w:szCs w:val="21"/>
              </w:rPr>
            </w:pPr>
          </w:p>
        </w:tc>
        <w:tc>
          <w:tcPr>
            <w:tcW w:w="462" w:type="pct"/>
            <w:vMerge w:val="continue"/>
          </w:tcPr>
          <w:p w14:paraId="441DA3BB">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32DE13B0">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14</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定期漏洞扫描与渗透测试，配合完成省里针对应用系统的各类漏扫、渗透、加密、审计监控等安全要求，并根据反馈信息进行全方面的修复和补丁。</w:t>
            </w:r>
          </w:p>
        </w:tc>
      </w:tr>
      <w:tr w14:paraId="2E2E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 w:type="pct"/>
            <w:vMerge w:val="continue"/>
            <w:vAlign w:val="center"/>
          </w:tcPr>
          <w:p w14:paraId="71E1FC88">
            <w:pPr>
              <w:spacing w:line="440" w:lineRule="exact"/>
              <w:jc w:val="center"/>
              <w:rPr>
                <w:rFonts w:hint="eastAsia" w:ascii="宋体" w:hAnsi="宋体" w:cs="宋体"/>
                <w:b/>
                <w:bCs/>
                <w:szCs w:val="21"/>
              </w:rPr>
            </w:pPr>
          </w:p>
        </w:tc>
        <w:tc>
          <w:tcPr>
            <w:tcW w:w="462" w:type="pct"/>
            <w:vMerge w:val="continue"/>
          </w:tcPr>
          <w:p w14:paraId="03C21B38">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5A1E080">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15</w:t>
            </w:r>
            <w:r>
              <w:rPr>
                <w:rFonts w:hint="eastAsia" w:ascii="Times New Roman" w:hAnsi="Times New Roman" w:cs="Times New Roman"/>
                <w:color w:val="333333"/>
                <w:szCs w:val="21"/>
                <w:shd w:val="clear" w:color="auto" w:fill="FFFFFF"/>
              </w:rPr>
              <w:t>）</w:t>
            </w:r>
            <w:r>
              <w:rPr>
                <w:rStyle w:val="19"/>
                <w:rFonts w:hint="eastAsia" w:ascii="宋体" w:hAnsi="宋体" w:cs="宋体"/>
                <w:b w:val="0"/>
                <w:color w:val="333333"/>
                <w:szCs w:val="21"/>
                <w:shd w:val="clear" w:color="auto" w:fill="FFFFFF"/>
              </w:rPr>
              <w:t>开发商公司其他类似系统等保、软著等相关应用系统证书证明。</w:t>
            </w:r>
          </w:p>
        </w:tc>
      </w:tr>
    </w:tbl>
    <w:p w14:paraId="3B8B5038">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项目实施与验收</w:t>
      </w:r>
    </w:p>
    <w:p w14:paraId="681C6A90">
      <w:pPr>
        <w:pStyle w:val="27"/>
        <w:numPr>
          <w:ilvl w:val="0"/>
          <w:numId w:val="15"/>
        </w:numPr>
        <w:spacing w:line="360" w:lineRule="auto"/>
        <w:outlineLvl w:val="1"/>
        <w:rPr>
          <w:rFonts w:hint="eastAsia" w:ascii="宋体" w:hAnsi="宋体" w:cs="宋体"/>
          <w:b/>
          <w:szCs w:val="21"/>
        </w:rPr>
      </w:pPr>
      <w:r>
        <w:rPr>
          <w:rFonts w:ascii="宋体" w:hAnsi="宋体" w:cs="宋体"/>
          <w:b/>
          <w:szCs w:val="21"/>
        </w:rPr>
        <w:t>项目实施要求</w:t>
      </w:r>
    </w:p>
    <w:p w14:paraId="5E3B2F73">
      <w:pPr>
        <w:numPr>
          <w:ilvl w:val="0"/>
          <w:numId w:val="16"/>
        </w:numPr>
        <w:spacing w:line="360" w:lineRule="auto"/>
        <w:rPr>
          <w:color w:val="000000"/>
        </w:rPr>
      </w:pPr>
      <w:r>
        <w:rPr>
          <w:color w:val="000000"/>
        </w:rPr>
        <w:t>投标</w:t>
      </w:r>
      <w:r>
        <w:rPr>
          <w:rFonts w:hint="eastAsia"/>
          <w:color w:val="000000"/>
        </w:rPr>
        <w:t>人</w:t>
      </w:r>
      <w:r>
        <w:rPr>
          <w:color w:val="000000"/>
        </w:rPr>
        <w:t>需要根据项目建设内容和进度需要，派驻具有一定资质能力水平的成员组成项目小组对系统进行实施及服务。</w:t>
      </w:r>
    </w:p>
    <w:p w14:paraId="27F321CC">
      <w:pPr>
        <w:numPr>
          <w:ilvl w:val="0"/>
          <w:numId w:val="16"/>
        </w:numPr>
        <w:spacing w:line="360" w:lineRule="auto"/>
        <w:rPr>
          <w:color w:val="000000"/>
        </w:rPr>
      </w:pPr>
      <w:r>
        <w:rPr>
          <w:rFonts w:hint="eastAsia"/>
          <w:color w:val="000000"/>
        </w:rPr>
        <w:t>项目</w:t>
      </w:r>
      <w:r>
        <w:rPr>
          <w:color w:val="000000"/>
        </w:rPr>
        <w:t>投标人应确保在合同签订后</w:t>
      </w:r>
      <w:r>
        <w:rPr>
          <w:rFonts w:hint="eastAsia"/>
          <w:color w:val="000000"/>
          <w:u w:val="single"/>
        </w:rPr>
        <w:t>3</w:t>
      </w:r>
      <w:r>
        <w:rPr>
          <w:color w:val="000000"/>
          <w:u w:val="single"/>
        </w:rPr>
        <w:t>个月</w:t>
      </w:r>
      <w:r>
        <w:rPr>
          <w:color w:val="000000"/>
        </w:rPr>
        <w:t>内完成系统上线</w:t>
      </w:r>
      <w:r>
        <w:rPr>
          <w:rFonts w:hint="eastAsia"/>
          <w:color w:val="000000"/>
        </w:rPr>
        <w:t>应用，除非因甲方需求变更、政策变化或其他不可抗力因素导致项目延期，经双方协商一致，可适当延长项目实施时间。实施</w:t>
      </w:r>
      <w:r>
        <w:rPr>
          <w:color w:val="000000"/>
        </w:rPr>
        <w:t>期间可</w:t>
      </w:r>
      <w:r>
        <w:rPr>
          <w:rFonts w:hint="eastAsia"/>
          <w:color w:val="000000"/>
        </w:rPr>
        <w:t>根据</w:t>
      </w:r>
      <w:r>
        <w:rPr>
          <w:color w:val="000000"/>
        </w:rPr>
        <w:t>用户的需要及政策的变化而对系统进行相应的</w:t>
      </w:r>
      <w:r>
        <w:rPr>
          <w:rFonts w:hint="eastAsia"/>
          <w:color w:val="000000"/>
        </w:rPr>
        <w:t>实施方案调整和软件</w:t>
      </w:r>
      <w:r>
        <w:rPr>
          <w:color w:val="000000"/>
        </w:rPr>
        <w:t>客户化修改。</w:t>
      </w:r>
    </w:p>
    <w:p w14:paraId="0F86A357">
      <w:pPr>
        <w:pStyle w:val="27"/>
        <w:numPr>
          <w:ilvl w:val="0"/>
          <w:numId w:val="15"/>
        </w:numPr>
        <w:spacing w:line="360" w:lineRule="auto"/>
        <w:outlineLvl w:val="1"/>
        <w:rPr>
          <w:rFonts w:hint="eastAsia" w:ascii="宋体" w:hAnsi="宋体" w:cs="宋体"/>
          <w:b/>
          <w:szCs w:val="21"/>
        </w:rPr>
      </w:pPr>
      <w:r>
        <w:rPr>
          <w:rFonts w:ascii="宋体" w:hAnsi="宋体" w:cs="宋体"/>
          <w:b/>
          <w:szCs w:val="21"/>
        </w:rPr>
        <w:t>培训要求</w:t>
      </w:r>
    </w:p>
    <w:p w14:paraId="00581D7E">
      <w:pPr>
        <w:numPr>
          <w:ilvl w:val="0"/>
          <w:numId w:val="17"/>
        </w:numPr>
        <w:spacing w:line="360" w:lineRule="auto"/>
        <w:rPr>
          <w:color w:val="000000"/>
        </w:rPr>
      </w:pPr>
      <w:r>
        <w:rPr>
          <w:color w:val="000000"/>
        </w:rPr>
        <w:t>投标人须在采购人指定的地点提供操作及维护培训，投标人须在投标文件中提供详细的培训计划，包括培训内容、培训时间等。</w:t>
      </w:r>
    </w:p>
    <w:p w14:paraId="5A0972E0">
      <w:pPr>
        <w:numPr>
          <w:ilvl w:val="0"/>
          <w:numId w:val="17"/>
        </w:numPr>
        <w:spacing w:line="360" w:lineRule="auto"/>
        <w:rPr>
          <w:color w:val="000000"/>
        </w:rPr>
      </w:pPr>
      <w:r>
        <w:rPr>
          <w:color w:val="000000"/>
        </w:rPr>
        <w:t>投标人提供的负责培训的人员应具有3年以上的相关应用系统</w:t>
      </w:r>
      <w:r>
        <w:rPr>
          <w:rFonts w:hint="eastAsia"/>
          <w:color w:val="000000"/>
        </w:rPr>
        <w:t>实施或产品负责</w:t>
      </w:r>
      <w:r>
        <w:rPr>
          <w:color w:val="000000"/>
        </w:rPr>
        <w:t>经验。</w:t>
      </w:r>
    </w:p>
    <w:p w14:paraId="089CA462">
      <w:pPr>
        <w:numPr>
          <w:ilvl w:val="0"/>
          <w:numId w:val="17"/>
        </w:numPr>
        <w:spacing w:line="360" w:lineRule="auto"/>
        <w:rPr>
          <w:rFonts w:hint="eastAsia" w:hAnsi="宋体" w:cs="宋体"/>
          <w:szCs w:val="21"/>
        </w:rPr>
      </w:pPr>
      <w:r>
        <w:rPr>
          <w:color w:val="000000"/>
        </w:rPr>
        <w:t>技术培训费用应包含在投标总价中。</w:t>
      </w:r>
    </w:p>
    <w:p w14:paraId="22A34E68">
      <w:pPr>
        <w:pStyle w:val="27"/>
        <w:numPr>
          <w:ilvl w:val="0"/>
          <w:numId w:val="15"/>
        </w:numPr>
        <w:spacing w:line="360" w:lineRule="auto"/>
        <w:outlineLvl w:val="1"/>
        <w:rPr>
          <w:rFonts w:hint="eastAsia" w:ascii="宋体" w:hAnsi="宋体" w:cs="宋体"/>
          <w:b/>
          <w:szCs w:val="21"/>
        </w:rPr>
      </w:pPr>
      <w:r>
        <w:rPr>
          <w:rFonts w:ascii="宋体" w:hAnsi="宋体" w:cs="宋体"/>
          <w:b/>
          <w:szCs w:val="21"/>
        </w:rPr>
        <w:t>验收要求</w:t>
      </w:r>
    </w:p>
    <w:p w14:paraId="1BDB1D46">
      <w:pPr>
        <w:numPr>
          <w:ilvl w:val="0"/>
          <w:numId w:val="18"/>
        </w:numPr>
        <w:spacing w:line="360" w:lineRule="auto"/>
      </w:pPr>
      <w:r>
        <w:rPr>
          <w:rFonts w:hint="eastAsia"/>
          <w:color w:val="000000"/>
        </w:rPr>
        <w:t>项目完成系统软件基本功能建设，</w:t>
      </w:r>
      <w:r>
        <w:rPr>
          <w:color w:val="000000"/>
        </w:rPr>
        <w:t>中标人</w:t>
      </w:r>
      <w:r>
        <w:rPr>
          <w:rFonts w:hint="eastAsia"/>
          <w:color w:val="000000"/>
        </w:rPr>
        <w:t>可</w:t>
      </w:r>
      <w:r>
        <w:rPr>
          <w:color w:val="000000"/>
        </w:rPr>
        <w:t>提出</w:t>
      </w:r>
      <w:r>
        <w:rPr>
          <w:rFonts w:hint="eastAsia"/>
          <w:color w:val="000000"/>
        </w:rPr>
        <w:t>初步验收</w:t>
      </w:r>
      <w:r>
        <w:rPr>
          <w:color w:val="000000"/>
        </w:rPr>
        <w:t>申请</w:t>
      </w:r>
      <w:r>
        <w:rPr>
          <w:rFonts w:hint="eastAsia"/>
          <w:color w:val="000000"/>
        </w:rPr>
        <w:t>，初验通过后进入系统试运</w:t>
      </w:r>
      <w:r>
        <w:rPr>
          <w:rFonts w:hint="eastAsia"/>
        </w:rPr>
        <w:t>行。</w:t>
      </w:r>
    </w:p>
    <w:p w14:paraId="6DA91B47">
      <w:pPr>
        <w:numPr>
          <w:ilvl w:val="0"/>
          <w:numId w:val="18"/>
        </w:numPr>
        <w:spacing w:line="360" w:lineRule="auto"/>
      </w:pPr>
      <w:r>
        <w:rPr>
          <w:rFonts w:hint="eastAsia"/>
        </w:rPr>
        <w:t>系统试运行满一个月后，投标人可提出最终验收申请，由</w:t>
      </w:r>
      <w:r>
        <w:t>招标人组织验收。若系统在试运行期间出现不稳定情况，双方应协商确定解决方案，并根据实际情况调整验收时间。</w:t>
      </w:r>
    </w:p>
    <w:p w14:paraId="0760687A">
      <w:pPr>
        <w:numPr>
          <w:ilvl w:val="0"/>
          <w:numId w:val="18"/>
        </w:numPr>
        <w:spacing w:line="360" w:lineRule="auto"/>
      </w:pPr>
      <w:r>
        <w:t>验收</w:t>
      </w:r>
      <w:r>
        <w:rPr>
          <w:rFonts w:hint="eastAsia"/>
        </w:rPr>
        <w:t>时，需提供相关材料，包括需求分析、安装维护、系统接口、操作说明、数据库说明、培训记录、测试报告等相关文档，验收费用由投标人承担</w:t>
      </w:r>
      <w:r>
        <w:t>。</w:t>
      </w:r>
    </w:p>
    <w:p w14:paraId="03E6B7BD">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售后服务</w:t>
      </w:r>
    </w:p>
    <w:p w14:paraId="0BE0D1A7">
      <w:pPr>
        <w:numPr>
          <w:ilvl w:val="0"/>
          <w:numId w:val="19"/>
        </w:numPr>
        <w:spacing w:line="360" w:lineRule="auto"/>
        <w:rPr>
          <w:rFonts w:hint="eastAsia" w:ascii="宋体" w:hAnsi="宋体" w:cs="宋体"/>
          <w:bCs/>
          <w:color w:val="0000FF"/>
          <w:szCs w:val="21"/>
        </w:rPr>
      </w:pPr>
      <w:r>
        <w:rPr>
          <w:rFonts w:hint="eastAsia"/>
          <w:color w:val="0000FF"/>
        </w:rPr>
        <w:t>项目终验通过后，提供一</w:t>
      </w:r>
      <w:r>
        <w:rPr>
          <w:rFonts w:hint="eastAsia" w:ascii="宋体" w:hAnsi="宋体" w:cs="宋体"/>
          <w:bCs/>
          <w:color w:val="0000FF"/>
          <w:szCs w:val="21"/>
        </w:rPr>
        <w:t>年质保服务，</w:t>
      </w:r>
      <w:r>
        <w:rPr>
          <w:rFonts w:hint="eastAsia"/>
          <w:color w:val="0000FF"/>
        </w:rPr>
        <w:t>质保期内对于用户提出的改善体验、可靠性、安全性的需求，提供免费开发升级服务。</w:t>
      </w:r>
    </w:p>
    <w:p w14:paraId="6A399E98">
      <w:pPr>
        <w:numPr>
          <w:ilvl w:val="0"/>
          <w:numId w:val="19"/>
        </w:numPr>
        <w:spacing w:line="360" w:lineRule="auto"/>
        <w:rPr>
          <w:rFonts w:hint="eastAsia" w:ascii="宋体" w:hAnsi="宋体" w:cs="宋体"/>
          <w:bCs/>
          <w:color w:val="0000FF"/>
          <w:szCs w:val="21"/>
        </w:rPr>
      </w:pPr>
      <w:r>
        <w:rPr>
          <w:rFonts w:hint="eastAsia" w:ascii="宋体" w:hAnsi="宋体" w:cs="宋体"/>
          <w:bCs/>
          <w:color w:val="0000FF"/>
          <w:szCs w:val="21"/>
        </w:rPr>
        <w:t>项目软件系统实施与维保服务期间，安排专人负责信息系统运行保障，含所有投标内容软硬件的维护。</w:t>
      </w:r>
    </w:p>
    <w:p w14:paraId="1C39951C">
      <w:pPr>
        <w:numPr>
          <w:ilvl w:val="0"/>
          <w:numId w:val="19"/>
        </w:numPr>
        <w:spacing w:line="360" w:lineRule="auto"/>
        <w:rPr>
          <w:color w:val="0000FF"/>
        </w:rPr>
      </w:pPr>
      <w:r>
        <w:rPr>
          <w:rFonts w:hint="eastAsia"/>
          <w:color w:val="0000FF"/>
        </w:rPr>
        <w:t>因系统本身缺陷造成各种故障，卖方应在质保期内提供免费技术服务和维修。质保期外发生的故障，卖方将提供有偿技术服务和维修，以确保双方的长期合作和资源的合理分配。</w:t>
      </w:r>
    </w:p>
    <w:p w14:paraId="74F613D6">
      <w:pPr>
        <w:numPr>
          <w:ilvl w:val="0"/>
          <w:numId w:val="19"/>
        </w:numPr>
        <w:spacing w:line="360" w:lineRule="auto"/>
        <w:rPr>
          <w:color w:val="0000FF"/>
        </w:rPr>
      </w:pPr>
      <w:r>
        <w:rPr>
          <w:rFonts w:hint="eastAsia"/>
          <w:color w:val="0000FF"/>
        </w:rPr>
        <w:t>若供应方无力承担售后服务或响应不及时，双方应协商解决方案。在协商一致的情况下，供应方可有偿提供软件源代码，以保护供应方的知识产权和商业秘密，同时维护双方的合作关系。</w:t>
      </w:r>
    </w:p>
    <w:p w14:paraId="5F27D7BC">
      <w:pPr>
        <w:numPr>
          <w:ilvl w:val="0"/>
          <w:numId w:val="19"/>
        </w:numPr>
        <w:spacing w:line="360" w:lineRule="auto"/>
        <w:rPr>
          <w:color w:val="0000FF"/>
        </w:rPr>
      </w:pPr>
      <w:r>
        <w:rPr>
          <w:rFonts w:hint="eastAsia"/>
          <w:color w:val="0000FF"/>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0B7CB427">
      <w:pPr>
        <w:numPr>
          <w:ilvl w:val="0"/>
          <w:numId w:val="19"/>
        </w:numPr>
        <w:spacing w:line="360" w:lineRule="auto"/>
        <w:rPr>
          <w:color w:val="0000FF"/>
        </w:rPr>
      </w:pPr>
      <w:r>
        <w:rPr>
          <w:rFonts w:hint="eastAsia"/>
          <w:color w:val="0000FF"/>
        </w:rPr>
        <w:t>承接方必须保证解决项目所涉及的技术问题，如因技术原因无法满足院方需求，由此产生的风险由承接方承担。</w:t>
      </w:r>
    </w:p>
    <w:p w14:paraId="5E95197B">
      <w:pPr>
        <w:numPr>
          <w:ilvl w:val="0"/>
          <w:numId w:val="19"/>
        </w:numPr>
        <w:spacing w:line="360" w:lineRule="auto"/>
        <w:rPr>
          <w:color w:val="0000FF"/>
        </w:rPr>
      </w:pPr>
      <w:r>
        <w:rPr>
          <w:rFonts w:hint="eastAsia"/>
          <w:color w:val="0000FF"/>
        </w:rPr>
        <w:t>在项日实施与维保期间内，若承接方在服务过程中发生以下行为，经院方确认后，每次根据标准进行扣罚：</w:t>
      </w:r>
    </w:p>
    <w:p w14:paraId="71CF4979">
      <w:pPr>
        <w:numPr>
          <w:ilvl w:val="0"/>
          <w:numId w:val="20"/>
        </w:numPr>
        <w:spacing w:line="360" w:lineRule="auto"/>
        <w:rPr>
          <w:color w:val="0000FF"/>
        </w:rPr>
      </w:pPr>
      <w:r>
        <w:rPr>
          <w:rFonts w:hint="eastAsia"/>
          <w:color w:val="0000FF"/>
        </w:rPr>
        <w:t>遇到乘大或紧急事件要求承接方派驻应急人员现场解决，但承接方无正当理由不履行的，每发生一次从项目合同金额中扣除3000元，视作一次不良行为。</w:t>
      </w:r>
    </w:p>
    <w:p w14:paraId="65FF5A0D">
      <w:pPr>
        <w:numPr>
          <w:ilvl w:val="0"/>
          <w:numId w:val="20"/>
        </w:numPr>
        <w:spacing w:line="360" w:lineRule="auto"/>
        <w:rPr>
          <w:color w:val="0000FF"/>
        </w:rPr>
      </w:pPr>
      <w:r>
        <w:rPr>
          <w:rFonts w:hint="eastAsia"/>
          <w:color w:val="0000FF"/>
        </w:rPr>
        <w:t>未经我院信息中心审核同意，自行运维实施或调整数据库、网络、服务器等操作，导致引发严重信息系统故障或不良事件，每发生一次从本项目合同金额中扣除3000元，视作一次不良行为。</w:t>
      </w:r>
    </w:p>
    <w:p w14:paraId="3DAC49F8">
      <w:pPr>
        <w:numPr>
          <w:ilvl w:val="0"/>
          <w:numId w:val="20"/>
        </w:numPr>
        <w:spacing w:line="360" w:lineRule="auto"/>
        <w:rPr>
          <w:color w:val="0000FF"/>
        </w:rPr>
      </w:pPr>
      <w:r>
        <w:rPr>
          <w:rFonts w:hint="eastAsia"/>
          <w:color w:val="0000FF"/>
        </w:rPr>
        <w:t>因承接方自身软件或系统架构缺陷原因，导致引发医院核心信息系统宕机事件，每发生一次即视作一次不良行为，并从本合同项目金额中扣罚:接到通知后宕机修复时间如在60分钟（含）以内扣罚1000元，如在60分钟以上则每增加 60分钟（含）以内追加扣罚2000元。</w:t>
      </w:r>
    </w:p>
    <w:p w14:paraId="09853443">
      <w:pPr>
        <w:numPr>
          <w:ilvl w:val="0"/>
          <w:numId w:val="20"/>
        </w:numPr>
        <w:spacing w:line="360" w:lineRule="auto"/>
        <w:rPr>
          <w:rFonts w:hint="eastAsia" w:hAnsi="宋体" w:cs="宋体"/>
          <w:szCs w:val="21"/>
        </w:rPr>
      </w:pPr>
      <w:r>
        <w:rPr>
          <w:rFonts w:hint="eastAsia"/>
          <w:color w:val="0000FF"/>
        </w:rPr>
        <w:t>要求保质保量的完成项目合同需求，其中影响系统错误类需求14天完成率达到90%以上，影响业务类需求30天完成率达到90%以上，系统优化类需求90天完成率达到90%以上。按每月度考核一次完成率，如需求完成不符合要求，每发生一次，视作一次不良行为。</w:t>
      </w:r>
    </w:p>
    <w:p w14:paraId="246256CF">
      <w:pPr>
        <w:pStyle w:val="2"/>
        <w:numPr>
          <w:ilvl w:val="0"/>
          <w:numId w:val="1"/>
        </w:numPr>
        <w:tabs>
          <w:tab w:val="left" w:pos="720"/>
          <w:tab w:val="left" w:pos="1980"/>
        </w:tabs>
        <w:spacing w:line="440" w:lineRule="exact"/>
        <w:rPr>
          <w:rFonts w:hint="eastAsia" w:hAnsi="宋体" w:cs="宋体"/>
          <w:sz w:val="21"/>
          <w:szCs w:val="21"/>
          <w:lang w:val="en-US" w:eastAsia="zh-CN"/>
        </w:rPr>
      </w:pPr>
      <w:r>
        <w:rPr>
          <w:rFonts w:hint="eastAsia" w:hAnsi="宋体" w:cs="宋体"/>
          <w:sz w:val="21"/>
          <w:szCs w:val="21"/>
          <w:lang w:val="en-US" w:eastAsia="zh-CN"/>
        </w:rPr>
        <w:t>付款方式：</w:t>
      </w:r>
    </w:p>
    <w:p w14:paraId="4ECA4FD1">
      <w:pPr>
        <w:numPr>
          <w:ilvl w:val="0"/>
          <w:numId w:val="0"/>
        </w:numPr>
        <w:spacing w:line="360" w:lineRule="auto"/>
        <w:ind w:leftChars="0" w:firstLine="420" w:firstLineChars="0"/>
        <w:rPr>
          <w:rFonts w:hint="eastAsia"/>
        </w:rPr>
      </w:pPr>
      <w:r>
        <w:rPr>
          <w:rFonts w:hint="eastAsia"/>
        </w:rPr>
        <w:t>采购人在合同生效且项目具备实施条件后支付合同金额的</w:t>
      </w:r>
      <w:r>
        <w:rPr>
          <w:rFonts w:hint="eastAsia"/>
          <w:lang w:val="en-US" w:eastAsia="zh-CN"/>
        </w:rPr>
        <w:t>3</w:t>
      </w:r>
      <w:r>
        <w:rPr>
          <w:rFonts w:hint="eastAsia"/>
        </w:rPr>
        <w:t>0%作为预付款；项目初验后支付合同价的30%，终验完成支付合同价的</w:t>
      </w:r>
      <w:r>
        <w:rPr>
          <w:rFonts w:hint="eastAsia"/>
          <w:lang w:val="en-US" w:eastAsia="zh-CN"/>
        </w:rPr>
        <w:t>4</w:t>
      </w:r>
      <w:r>
        <w:rPr>
          <w:rFonts w:hint="eastAsia"/>
        </w:rPr>
        <w:t>0%。</w:t>
      </w:r>
    </w:p>
    <w:p w14:paraId="38F0369B">
      <w:pPr>
        <w:pStyle w:val="14"/>
      </w:pPr>
      <w:bookmarkStart w:id="2" w:name="_Toc186548465"/>
      <w:r>
        <w:rPr>
          <w:rFonts w:hint="eastAsia"/>
        </w:rPr>
        <w:t>第三章</w:t>
      </w:r>
      <w:r>
        <w:rPr>
          <w:rFonts w:hint="eastAsia"/>
        </w:rPr>
        <w:tab/>
      </w:r>
      <w:r>
        <w:rPr>
          <w:rFonts w:hint="eastAsia"/>
        </w:rPr>
        <w:t>响应文件格式</w:t>
      </w:r>
      <w:bookmarkEnd w:id="2"/>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671"/>
        <w:gridCol w:w="4152"/>
        <w:gridCol w:w="1884"/>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980" w:type="pct"/>
            <w:vAlign w:val="center"/>
          </w:tcPr>
          <w:p w14:paraId="7AD36BC2">
            <w:r>
              <w:rPr>
                <w:rFonts w:hint="eastAsia"/>
              </w:rPr>
              <w:t>组成</w:t>
            </w:r>
          </w:p>
        </w:tc>
        <w:tc>
          <w:tcPr>
            <w:tcW w:w="24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980" w:type="pct"/>
            <w:vAlign w:val="center"/>
          </w:tcPr>
          <w:p w14:paraId="108CEF3E">
            <w:r>
              <w:rPr>
                <w:rFonts w:hint="eastAsia"/>
              </w:rPr>
              <w:t>封面</w:t>
            </w:r>
          </w:p>
        </w:tc>
        <w:tc>
          <w:tcPr>
            <w:tcW w:w="24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980" w:type="pct"/>
            <w:vMerge w:val="restart"/>
            <w:vAlign w:val="center"/>
          </w:tcPr>
          <w:p w14:paraId="0A7F5D4A">
            <w:r>
              <w:rPr>
                <w:rFonts w:hint="eastAsia"/>
              </w:rPr>
              <w:t>资格</w:t>
            </w:r>
            <w:r>
              <w:t>证明文件</w:t>
            </w:r>
          </w:p>
        </w:tc>
        <w:tc>
          <w:tcPr>
            <w:tcW w:w="24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980" w:type="pct"/>
            <w:vMerge w:val="continue"/>
            <w:vAlign w:val="center"/>
          </w:tcPr>
          <w:p w14:paraId="22A92A81"/>
        </w:tc>
        <w:tc>
          <w:tcPr>
            <w:tcW w:w="24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980" w:type="pct"/>
            <w:vMerge w:val="continue"/>
            <w:vAlign w:val="center"/>
          </w:tcPr>
          <w:p w14:paraId="377F9832"/>
        </w:tc>
        <w:tc>
          <w:tcPr>
            <w:tcW w:w="24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980" w:type="pct"/>
            <w:vMerge w:val="continue"/>
            <w:vAlign w:val="center"/>
          </w:tcPr>
          <w:p w14:paraId="0E2E1B77"/>
        </w:tc>
        <w:tc>
          <w:tcPr>
            <w:tcW w:w="24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980" w:type="pct"/>
            <w:vMerge w:val="restart"/>
            <w:vAlign w:val="center"/>
          </w:tcPr>
          <w:p w14:paraId="08CB0121">
            <w:r>
              <w:rPr>
                <w:rFonts w:hint="eastAsia" w:eastAsiaTheme="minorEastAsia"/>
                <w:sz w:val="24"/>
                <w:szCs w:val="22"/>
              </w:rPr>
              <w:t>商务技术文件</w:t>
            </w:r>
          </w:p>
        </w:tc>
        <w:tc>
          <w:tcPr>
            <w:tcW w:w="24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980" w:type="pct"/>
            <w:vMerge w:val="continue"/>
          </w:tcPr>
          <w:p w14:paraId="06F9A4F5"/>
        </w:tc>
        <w:tc>
          <w:tcPr>
            <w:tcW w:w="24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980" w:type="pct"/>
            <w:vMerge w:val="continue"/>
          </w:tcPr>
          <w:p w14:paraId="27959F38"/>
        </w:tc>
        <w:tc>
          <w:tcPr>
            <w:tcW w:w="2435" w:type="pct"/>
            <w:vAlign w:val="center"/>
          </w:tcPr>
          <w:p w14:paraId="71F1370B">
            <w:r>
              <w:t>经营许可证或生产许可证（</w:t>
            </w:r>
            <w:r>
              <w:rPr>
                <w:rFonts w:hint="eastAsia"/>
              </w:rPr>
              <w:t>若</w:t>
            </w:r>
            <w:r>
              <w:t>需要）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980" w:type="pct"/>
            <w:vMerge w:val="continue"/>
          </w:tcPr>
          <w:p w14:paraId="428EF442"/>
        </w:tc>
        <w:tc>
          <w:tcPr>
            <w:tcW w:w="2435" w:type="pct"/>
            <w:vAlign w:val="center"/>
          </w:tcPr>
          <w:p w14:paraId="3D92909D">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105" w:type="pct"/>
          </w:tcPr>
          <w:p w14:paraId="5705F5B5">
            <w:r>
              <w:rPr>
                <w:rFonts w:hint="eastAsia" w:ascii="Times New Roman" w:hAnsi="Times New Roman" w:eastAsia="宋体" w:cs="Times New Roman"/>
                <w:b/>
                <w:bCs/>
                <w:color w:val="auto"/>
                <w:lang w:val="en-US" w:eastAsia="zh-CN"/>
              </w:rPr>
              <w:t>须提供资质证书复印件加盖公章</w:t>
            </w:r>
          </w:p>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980" w:type="pct"/>
            <w:vMerge w:val="continue"/>
          </w:tcPr>
          <w:p w14:paraId="2AECBFF4"/>
        </w:tc>
        <w:tc>
          <w:tcPr>
            <w:tcW w:w="2435" w:type="pct"/>
            <w:vAlign w:val="center"/>
          </w:tcPr>
          <w:p w14:paraId="0A0F5EB0">
            <w:pPr>
              <w:rPr>
                <w:color w:val="auto"/>
              </w:rPr>
            </w:pPr>
            <w:r>
              <w:rPr>
                <w:color w:val="auto"/>
              </w:rPr>
              <w:t>厂家给经销商</w:t>
            </w:r>
            <w:r>
              <w:rPr>
                <w:rFonts w:hint="eastAsia"/>
                <w:color w:val="auto"/>
              </w:rPr>
              <w:t>的逐级</w:t>
            </w:r>
            <w:r>
              <w:rPr>
                <w:color w:val="auto"/>
              </w:rPr>
              <w:t>授权</w:t>
            </w:r>
            <w:r>
              <w:rPr>
                <w:rFonts w:hint="eastAsia"/>
                <w:color w:val="auto"/>
              </w:rPr>
              <w:t>书</w:t>
            </w:r>
            <w:r>
              <w:rPr>
                <w:color w:val="auto"/>
              </w:rPr>
              <w:t>（</w:t>
            </w:r>
            <w:r>
              <w:rPr>
                <w:rFonts w:hint="eastAsia"/>
                <w:color w:val="auto"/>
              </w:rPr>
              <w:t>若</w:t>
            </w:r>
            <w:r>
              <w:rPr>
                <w:color w:val="auto"/>
              </w:rPr>
              <w:t>需要）</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980" w:type="pct"/>
            <w:vMerge w:val="continue"/>
          </w:tcPr>
          <w:p w14:paraId="4C8C0932"/>
        </w:tc>
        <w:tc>
          <w:tcPr>
            <w:tcW w:w="2435" w:type="pct"/>
            <w:vAlign w:val="center"/>
          </w:tcPr>
          <w:p w14:paraId="165A7A03">
            <w:pPr>
              <w:rPr>
                <w:color w:val="auto"/>
              </w:rPr>
            </w:pPr>
            <w:r>
              <w:rPr>
                <w:color w:val="auto"/>
              </w:rP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980" w:type="pct"/>
            <w:vMerge w:val="continue"/>
          </w:tcPr>
          <w:p w14:paraId="2D4C3C2E"/>
        </w:tc>
        <w:tc>
          <w:tcPr>
            <w:tcW w:w="2435" w:type="pct"/>
            <w:vAlign w:val="center"/>
          </w:tcPr>
          <w:p w14:paraId="7749F8A5">
            <w:pPr>
              <w:rPr>
                <w:color w:val="auto"/>
              </w:rPr>
            </w:pPr>
            <w:r>
              <w:rPr>
                <w:color w:val="auto"/>
              </w:rPr>
              <w:t>配置清单</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980" w:type="pct"/>
            <w:vMerge w:val="continue"/>
          </w:tcPr>
          <w:p w14:paraId="48C0768A"/>
        </w:tc>
        <w:tc>
          <w:tcPr>
            <w:tcW w:w="2435" w:type="pct"/>
            <w:vAlign w:val="center"/>
          </w:tcPr>
          <w:p w14:paraId="1A906440">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980" w:type="pct"/>
            <w:vMerge w:val="continue"/>
          </w:tcPr>
          <w:p w14:paraId="73F066C1"/>
        </w:tc>
        <w:tc>
          <w:tcPr>
            <w:tcW w:w="2435" w:type="pct"/>
            <w:vAlign w:val="center"/>
          </w:tcPr>
          <w:p w14:paraId="68A2F764">
            <w:pPr>
              <w:rPr>
                <w:color w:val="auto"/>
              </w:rPr>
            </w:pPr>
            <w:r>
              <w:rPr>
                <w:color w:val="auto"/>
              </w:rPr>
              <w:t>保修方案</w:t>
            </w:r>
            <w:r>
              <w:rPr>
                <w:rFonts w:hint="eastAsia"/>
                <w:color w:val="auto"/>
              </w:rPr>
              <w:t>及出保后保修价格</w:t>
            </w:r>
          </w:p>
        </w:tc>
        <w:tc>
          <w:tcPr>
            <w:tcW w:w="1105" w:type="pct"/>
          </w:tcPr>
          <w:p w14:paraId="5B4DC1BC"/>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980" w:type="pct"/>
            <w:vMerge w:val="continue"/>
          </w:tcPr>
          <w:p w14:paraId="4EE301B3"/>
        </w:tc>
        <w:tc>
          <w:tcPr>
            <w:tcW w:w="2435" w:type="pct"/>
            <w:vAlign w:val="center"/>
          </w:tcPr>
          <w:p w14:paraId="75C51780">
            <w:pPr>
              <w:rPr>
                <w:color w:val="auto"/>
              </w:rPr>
            </w:pPr>
            <w:r>
              <w:rPr>
                <w:rFonts w:hint="eastAsia"/>
                <w:color w:val="auto"/>
              </w:rPr>
              <w:t>售后</w:t>
            </w:r>
            <w:r>
              <w:rPr>
                <w:color w:val="auto"/>
              </w:rP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75651D1B">
            <w:r>
              <w:rPr>
                <w:rFonts w:hint="eastAsia"/>
              </w:rPr>
              <w:t>16</w:t>
            </w:r>
          </w:p>
        </w:tc>
        <w:tc>
          <w:tcPr>
            <w:tcW w:w="980" w:type="pct"/>
            <w:vMerge w:val="continue"/>
          </w:tcPr>
          <w:p w14:paraId="431A82E1"/>
        </w:tc>
        <w:tc>
          <w:tcPr>
            <w:tcW w:w="2435" w:type="pct"/>
            <w:vAlign w:val="center"/>
          </w:tcPr>
          <w:p w14:paraId="6B1BC522">
            <w:pPr>
              <w:rPr>
                <w:rFonts w:hint="eastAsia" w:eastAsia="宋体"/>
                <w:lang w:eastAsia="zh-CN"/>
              </w:rPr>
            </w:pPr>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r>
              <w:rPr>
                <w:rFonts w:hint="eastAsia" w:hAnsi="宋体"/>
                <w:kern w:val="0"/>
                <w:szCs w:val="21"/>
                <w:lang w:eastAsia="zh-CN"/>
              </w:rPr>
              <w:t>（</w:t>
            </w:r>
            <w:r>
              <w:rPr>
                <w:rFonts w:hint="eastAsia" w:hAnsi="宋体"/>
                <w:kern w:val="0"/>
                <w:szCs w:val="21"/>
                <w:lang w:val="en-US" w:eastAsia="zh-CN"/>
              </w:rPr>
              <w:t>2022年至今</w:t>
            </w:r>
            <w:r>
              <w:rPr>
                <w:rFonts w:hint="eastAsia" w:hAnsi="宋体"/>
                <w:kern w:val="0"/>
                <w:szCs w:val="21"/>
                <w:lang w:eastAsia="zh-CN"/>
              </w:rPr>
              <w:t>）</w:t>
            </w:r>
          </w:p>
        </w:tc>
        <w:tc>
          <w:tcPr>
            <w:tcW w:w="1105" w:type="pct"/>
          </w:tcPr>
          <w:p w14:paraId="2FB8157B">
            <w:pPr>
              <w:rPr>
                <w:b/>
              </w:rPr>
            </w:pPr>
            <w:r>
              <w:rPr>
                <w:rFonts w:hint="eastAsia"/>
                <w:b/>
              </w:rPr>
              <w:t>合同配置及价格清晰可见</w:t>
            </w:r>
            <w:r>
              <w:rPr>
                <w:rFonts w:hint="eastAsia"/>
                <w:b/>
                <w:lang w:eastAsia="zh-CN"/>
              </w:rPr>
              <w:t>，</w:t>
            </w:r>
            <w:r>
              <w:rPr>
                <w:rFonts w:hint="eastAsia"/>
                <w:b/>
                <w:lang w:val="en-US" w:eastAsia="zh-CN"/>
              </w:rPr>
              <w:t>且加盖公章</w:t>
            </w:r>
            <w:r>
              <w:rPr>
                <w:rFonts w:hint="eastAsia"/>
                <w:b/>
              </w:rPr>
              <w:t>，否则案例无效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39D52D9A">
            <w:r>
              <w:rPr>
                <w:rFonts w:hint="eastAsia"/>
              </w:rPr>
              <w:t>17</w:t>
            </w:r>
          </w:p>
        </w:tc>
        <w:tc>
          <w:tcPr>
            <w:tcW w:w="980" w:type="pct"/>
            <w:vMerge w:val="continue"/>
          </w:tcPr>
          <w:p w14:paraId="42433062"/>
        </w:tc>
        <w:tc>
          <w:tcPr>
            <w:tcW w:w="24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4FD47E6B">
            <w:r>
              <w:rPr>
                <w:rFonts w:hint="eastAsia"/>
              </w:rPr>
              <w:t>18</w:t>
            </w:r>
          </w:p>
        </w:tc>
        <w:tc>
          <w:tcPr>
            <w:tcW w:w="980" w:type="pct"/>
            <w:vAlign w:val="center"/>
          </w:tcPr>
          <w:p w14:paraId="2602B3F4">
            <w:r>
              <w:rPr>
                <w:rFonts w:hint="eastAsia" w:eastAsiaTheme="minorEastAsia"/>
                <w:sz w:val="24"/>
                <w:szCs w:val="22"/>
              </w:rPr>
              <w:t>报价文件</w:t>
            </w:r>
          </w:p>
        </w:tc>
        <w:tc>
          <w:tcPr>
            <w:tcW w:w="24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1"/>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4"/>
        <w:spacing w:line="360" w:lineRule="auto"/>
        <w:jc w:val="both"/>
        <w:rPr>
          <w:sz w:val="21"/>
          <w:szCs w:val="21"/>
        </w:rPr>
      </w:pPr>
    </w:p>
    <w:p w14:paraId="39780EEB">
      <w:pPr>
        <w:pStyle w:val="34"/>
        <w:spacing w:line="360" w:lineRule="auto"/>
        <w:jc w:val="both"/>
        <w:rPr>
          <w:sz w:val="21"/>
          <w:szCs w:val="21"/>
        </w:rPr>
      </w:pPr>
    </w:p>
    <w:p w14:paraId="55179E46">
      <w:pPr>
        <w:pStyle w:val="34"/>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4"/>
        <w:spacing w:line="360" w:lineRule="auto"/>
        <w:jc w:val="both"/>
        <w:rPr>
          <w:sz w:val="21"/>
          <w:szCs w:val="21"/>
        </w:rPr>
      </w:pPr>
    </w:p>
    <w:p w14:paraId="6AC076C4">
      <w:pPr>
        <w:pStyle w:val="34"/>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4"/>
      </w:pPr>
      <w:bookmarkStart w:id="3" w:name="_Toc186548466"/>
      <w:r>
        <w:rPr>
          <w:rFonts w:hint="eastAsia"/>
        </w:rPr>
        <w:t>第四章</w:t>
      </w:r>
      <w:r>
        <w:rPr>
          <w:rFonts w:hint="eastAsia"/>
        </w:rPr>
        <w:tab/>
      </w:r>
      <w:r>
        <w:rPr>
          <w:rFonts w:hint="eastAsia"/>
        </w:rPr>
        <w:t>合同主要条款</w:t>
      </w:r>
      <w:bookmarkEnd w:id="3"/>
    </w:p>
    <w:p w14:paraId="108B0266">
      <w:pPr>
        <w:jc w:val="center"/>
        <w:rPr>
          <w:rFonts w:hint="eastAsia"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11555F0C">
      <w:pPr>
        <w:jc w:val="center"/>
        <w:rPr>
          <w:rFonts w:hint="eastAsia" w:ascii="楷体_GB2312" w:eastAsia="楷体_GB2312"/>
          <w:b/>
          <w:bCs/>
          <w:color w:val="FF0000"/>
          <w:sz w:val="28"/>
          <w:szCs w:val="28"/>
          <w:lang w:eastAsia="zh-CN"/>
        </w:rPr>
      </w:pPr>
      <w:r>
        <w:rPr>
          <w:rFonts w:hint="eastAsia" w:ascii="楷体_GB2312" w:eastAsia="楷体_GB2312"/>
          <w:b/>
          <w:bCs/>
          <w:color w:val="FF0000"/>
          <w:sz w:val="28"/>
          <w:szCs w:val="28"/>
          <w:lang w:eastAsia="zh-CN"/>
        </w:rPr>
        <w:t>(最终以双方签字盖章的文本为准)</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4750E3D7">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48D5E92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1C4825A4">
      <w:pPr>
        <w:ind w:left="-540" w:leftChars="-257" w:right="-512" w:rightChars="-244" w:firstLine="420" w:firstLineChars="200"/>
        <w:rPr>
          <w:rFonts w:hint="eastAsia" w:ascii="新宋体" w:hAnsi="新宋体" w:eastAsia="新宋体"/>
          <w:szCs w:val="21"/>
        </w:rPr>
      </w:pPr>
    </w:p>
    <w:tbl>
      <w:tblPr>
        <w:tblStyle w:val="16"/>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30FB4FE8">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50745F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1B7F99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091E4A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6A184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401642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6BACE80">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343544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7A8D39EA">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6F3CFCE">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277C6D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6812DD2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4F819A3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790DA38">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4B10686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C8798C3">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78E08F6D">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59EB4FB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3D9AD03D">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项目终验合格后质保 壹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6B58C5A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rPr>
        <w:t>甲方采用银行转帐或电汇方式将款项汇入乙方指定账户，付款时间如下：</w:t>
      </w:r>
    </w:p>
    <w:p w14:paraId="48EEF0CA">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1.</w:t>
      </w:r>
      <w:r>
        <w:rPr>
          <w:rFonts w:hint="eastAsia" w:ascii="新宋体" w:hAnsi="新宋体" w:eastAsia="新宋体"/>
          <w:szCs w:val="21"/>
        </w:rPr>
        <w:t>本合同签订之日起，在收到乙方开具的正式票据的3个月内，甲方向乙方指定账户支付项目款的30 %，即人民币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55EB04C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2.</w:t>
      </w:r>
      <w:r>
        <w:rPr>
          <w:rFonts w:hint="eastAsia" w:ascii="新宋体" w:hAnsi="新宋体" w:eastAsia="新宋体"/>
          <w:szCs w:val="21"/>
        </w:rPr>
        <w:t xml:space="preserve">按照项目进度安排，在初验合格后，收到乙方开具的正式票据的3个月内，甲方向乙方支付项目款的30%，即人民币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28DAB68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3.</w:t>
      </w:r>
      <w:r>
        <w:rPr>
          <w:rFonts w:hint="eastAsia" w:ascii="新宋体" w:hAnsi="新宋体" w:eastAsia="新宋体"/>
          <w:szCs w:val="21"/>
        </w:rPr>
        <w:t>终验合格且经甲方书面认可后</w:t>
      </w:r>
      <w:bookmarkStart w:id="4" w:name="_Hlk180564210"/>
      <w:r>
        <w:rPr>
          <w:rFonts w:hint="eastAsia" w:ascii="新宋体" w:hAnsi="新宋体" w:eastAsia="新宋体"/>
          <w:szCs w:val="21"/>
        </w:rPr>
        <w:t>，收到乙方开具的正式票据的3个月内，</w:t>
      </w:r>
      <w:bookmarkEnd w:id="4"/>
      <w:r>
        <w:rPr>
          <w:rFonts w:hint="eastAsia" w:ascii="新宋体" w:hAnsi="新宋体" w:eastAsia="新宋体"/>
          <w:szCs w:val="21"/>
        </w:rPr>
        <w:t>甲方向乙方支付项目款的40%余款，即人民币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6D22A4FC">
      <w:pPr>
        <w:snapToGrid w:val="0"/>
        <w:ind w:left="-420" w:leftChars="-400" w:right="-487" w:rightChars="-232" w:hanging="420" w:hangingChars="200"/>
        <w:rPr>
          <w:rFonts w:hint="eastAsia" w:ascii="新宋体" w:hAnsi="新宋体" w:eastAsia="新宋体"/>
          <w:szCs w:val="21"/>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6"/>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4"/>
        <w:spacing w:line="360" w:lineRule="auto"/>
        <w:jc w:val="both"/>
        <w:rPr>
          <w:rFonts w:hAnsi="宋体"/>
          <w:sz w:val="21"/>
          <w:szCs w:val="21"/>
        </w:rPr>
      </w:pPr>
    </w:p>
    <w:p w14:paraId="33A78AE3">
      <w:pPr>
        <w:pStyle w:val="34"/>
        <w:spacing w:line="360" w:lineRule="auto"/>
        <w:jc w:val="both"/>
        <w:rPr>
          <w:rFonts w:hAnsi="宋体"/>
          <w:sz w:val="21"/>
          <w:szCs w:val="21"/>
        </w:rPr>
      </w:pPr>
    </w:p>
    <w:p w14:paraId="3D88004E">
      <w:pPr>
        <w:pStyle w:val="34"/>
        <w:spacing w:line="360" w:lineRule="auto"/>
        <w:jc w:val="both"/>
        <w:rPr>
          <w:rFonts w:hAnsi="宋体"/>
          <w:sz w:val="21"/>
          <w:szCs w:val="21"/>
        </w:rPr>
      </w:pPr>
    </w:p>
    <w:p w14:paraId="25808202">
      <w:pPr>
        <w:pStyle w:val="34"/>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9"/>
      <w:jc w:val="center"/>
    </w:pPr>
  </w:p>
  <w:p w14:paraId="2AEB575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9"/>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C8AC8EF"/>
    <w:multiLevelType w:val="multilevel"/>
    <w:tmpl w:val="9C8AC8EF"/>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0F1ACD9"/>
    <w:multiLevelType w:val="multilevel"/>
    <w:tmpl w:val="B0F1ACD9"/>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B5E306ED"/>
    <w:multiLevelType w:val="multilevel"/>
    <w:tmpl w:val="B5E306E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F205925"/>
    <w:multiLevelType w:val="multilevel"/>
    <w:tmpl w:val="BF20592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CF092B84"/>
    <w:multiLevelType w:val="multilevel"/>
    <w:tmpl w:val="CF092B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7F9FE59"/>
    <w:multiLevelType w:val="multilevel"/>
    <w:tmpl w:val="D7F9FE5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DCBA6B53"/>
    <w:multiLevelType w:val="multilevel"/>
    <w:tmpl w:val="DCBA6B5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F4B5D9F5"/>
    <w:multiLevelType w:val="multilevel"/>
    <w:tmpl w:val="F4B5D9F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0248C179"/>
    <w:multiLevelType w:val="multilevel"/>
    <w:tmpl w:val="0248C179"/>
    <w:lvl w:ilvl="0" w:tentative="0">
      <w:start w:val="1"/>
      <w:numFmt w:val="chineseCountingThousand"/>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D62ECE"/>
    <w:multiLevelType w:val="multilevel"/>
    <w:tmpl w:val="03D62EC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0E640482"/>
    <w:multiLevelType w:val="multilevel"/>
    <w:tmpl w:val="0E640482"/>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2">
    <w:nsid w:val="2470EC97"/>
    <w:multiLevelType w:val="multilevel"/>
    <w:tmpl w:val="2470EC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25B654F3"/>
    <w:multiLevelType w:val="multilevel"/>
    <w:tmpl w:val="25B654F3"/>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8F537B"/>
    <w:multiLevelType w:val="multilevel"/>
    <w:tmpl w:val="2A8F537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46A08BB8"/>
    <w:multiLevelType w:val="multilevel"/>
    <w:tmpl w:val="46A08BB8"/>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6">
    <w:nsid w:val="4C1BAE26"/>
    <w:multiLevelType w:val="multilevel"/>
    <w:tmpl w:val="4C1BAE26"/>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7">
    <w:nsid w:val="59ADCABA"/>
    <w:multiLevelType w:val="multilevel"/>
    <w:tmpl w:val="59ADCAB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A241D34"/>
    <w:multiLevelType w:val="multilevel"/>
    <w:tmpl w:val="5A241D3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0382F6E"/>
    <w:multiLevelType w:val="multilevel"/>
    <w:tmpl w:val="60382F6E"/>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5"/>
  </w:num>
  <w:num w:numId="2">
    <w:abstractNumId w:val="17"/>
  </w:num>
  <w:num w:numId="3">
    <w:abstractNumId w:val="4"/>
  </w:num>
  <w:num w:numId="4">
    <w:abstractNumId w:val="3"/>
  </w:num>
  <w:num w:numId="5">
    <w:abstractNumId w:val="10"/>
  </w:num>
  <w:num w:numId="6">
    <w:abstractNumId w:val="13"/>
  </w:num>
  <w:num w:numId="7">
    <w:abstractNumId w:val="9"/>
  </w:num>
  <w:num w:numId="8">
    <w:abstractNumId w:val="14"/>
  </w:num>
  <w:num w:numId="9">
    <w:abstractNumId w:val="0"/>
  </w:num>
  <w:num w:numId="10">
    <w:abstractNumId w:val="18"/>
  </w:num>
  <w:num w:numId="11">
    <w:abstractNumId w:val="8"/>
  </w:num>
  <w:num w:numId="12">
    <w:abstractNumId w:val="12"/>
  </w:num>
  <w:num w:numId="13">
    <w:abstractNumId w:val="7"/>
  </w:num>
  <w:num w:numId="14">
    <w:abstractNumId w:val="6"/>
  </w:num>
  <w:num w:numId="15">
    <w:abstractNumId w:val="1"/>
  </w:num>
  <w:num w:numId="16">
    <w:abstractNumId w:val="16"/>
  </w:num>
  <w:num w:numId="17">
    <w:abstractNumId w:val="19"/>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CB7B00"/>
    <w:rsid w:val="04154B1B"/>
    <w:rsid w:val="042E69E2"/>
    <w:rsid w:val="04582D83"/>
    <w:rsid w:val="053C0C8A"/>
    <w:rsid w:val="05FF0420"/>
    <w:rsid w:val="06376942"/>
    <w:rsid w:val="078A03D3"/>
    <w:rsid w:val="092071F7"/>
    <w:rsid w:val="098A2D84"/>
    <w:rsid w:val="09B060FC"/>
    <w:rsid w:val="0ADA132B"/>
    <w:rsid w:val="0BE70350"/>
    <w:rsid w:val="0C724374"/>
    <w:rsid w:val="0CB101B0"/>
    <w:rsid w:val="0DD30A2B"/>
    <w:rsid w:val="0E3C7F4D"/>
    <w:rsid w:val="0EAF7832"/>
    <w:rsid w:val="103A048B"/>
    <w:rsid w:val="112B402D"/>
    <w:rsid w:val="11A82642"/>
    <w:rsid w:val="11D84F6D"/>
    <w:rsid w:val="12771554"/>
    <w:rsid w:val="12D04739"/>
    <w:rsid w:val="131E2DE2"/>
    <w:rsid w:val="133D454B"/>
    <w:rsid w:val="13963C5C"/>
    <w:rsid w:val="139F03F6"/>
    <w:rsid w:val="14D56CBC"/>
    <w:rsid w:val="14DA2F92"/>
    <w:rsid w:val="1525798D"/>
    <w:rsid w:val="153B2D0D"/>
    <w:rsid w:val="18DE45A6"/>
    <w:rsid w:val="19435583"/>
    <w:rsid w:val="19771B7E"/>
    <w:rsid w:val="1AE06FED"/>
    <w:rsid w:val="1BD866B3"/>
    <w:rsid w:val="1CA0088A"/>
    <w:rsid w:val="1DBF0627"/>
    <w:rsid w:val="1DC32EB5"/>
    <w:rsid w:val="1EB61656"/>
    <w:rsid w:val="1FE04BDC"/>
    <w:rsid w:val="204A184E"/>
    <w:rsid w:val="205D447F"/>
    <w:rsid w:val="20971013"/>
    <w:rsid w:val="21A61FC4"/>
    <w:rsid w:val="220A4192"/>
    <w:rsid w:val="22AC349C"/>
    <w:rsid w:val="22B91715"/>
    <w:rsid w:val="24D6105D"/>
    <w:rsid w:val="24E567F1"/>
    <w:rsid w:val="264F486A"/>
    <w:rsid w:val="27BA3F65"/>
    <w:rsid w:val="281573ED"/>
    <w:rsid w:val="288D1B1B"/>
    <w:rsid w:val="29505072"/>
    <w:rsid w:val="29B42C36"/>
    <w:rsid w:val="2AA05E26"/>
    <w:rsid w:val="2B350611"/>
    <w:rsid w:val="2B836D64"/>
    <w:rsid w:val="2BC96E6C"/>
    <w:rsid w:val="2E304F81"/>
    <w:rsid w:val="304070FC"/>
    <w:rsid w:val="30890978"/>
    <w:rsid w:val="32777E7D"/>
    <w:rsid w:val="33453773"/>
    <w:rsid w:val="33DD1D36"/>
    <w:rsid w:val="33F702EF"/>
    <w:rsid w:val="369E2CA4"/>
    <w:rsid w:val="37394099"/>
    <w:rsid w:val="382E5B98"/>
    <w:rsid w:val="38547ABE"/>
    <w:rsid w:val="38D1110E"/>
    <w:rsid w:val="3A6B1889"/>
    <w:rsid w:val="3A8066BC"/>
    <w:rsid w:val="3B9F1750"/>
    <w:rsid w:val="3BE64ED1"/>
    <w:rsid w:val="3C3C79E8"/>
    <w:rsid w:val="3CC14813"/>
    <w:rsid w:val="3F00274D"/>
    <w:rsid w:val="3F5039A5"/>
    <w:rsid w:val="3F5E7474"/>
    <w:rsid w:val="40B93AD3"/>
    <w:rsid w:val="40ED0E46"/>
    <w:rsid w:val="41132024"/>
    <w:rsid w:val="426254CD"/>
    <w:rsid w:val="43193DDE"/>
    <w:rsid w:val="43675A04"/>
    <w:rsid w:val="43D877F5"/>
    <w:rsid w:val="43E10162"/>
    <w:rsid w:val="444F611F"/>
    <w:rsid w:val="44760A9D"/>
    <w:rsid w:val="44B4311E"/>
    <w:rsid w:val="44F248E6"/>
    <w:rsid w:val="45CC5137"/>
    <w:rsid w:val="45FF375F"/>
    <w:rsid w:val="46162856"/>
    <w:rsid w:val="46EE732F"/>
    <w:rsid w:val="47CC2624"/>
    <w:rsid w:val="48AB372A"/>
    <w:rsid w:val="48CB3DCC"/>
    <w:rsid w:val="48D569F9"/>
    <w:rsid w:val="498D1081"/>
    <w:rsid w:val="4A5611F5"/>
    <w:rsid w:val="4CA037FA"/>
    <w:rsid w:val="4D73058E"/>
    <w:rsid w:val="4D7F33D7"/>
    <w:rsid w:val="5085694D"/>
    <w:rsid w:val="509D0B67"/>
    <w:rsid w:val="50E33C7D"/>
    <w:rsid w:val="51172D37"/>
    <w:rsid w:val="51644DBE"/>
    <w:rsid w:val="52685679"/>
    <w:rsid w:val="542B1BC3"/>
    <w:rsid w:val="54B020C8"/>
    <w:rsid w:val="55E262B1"/>
    <w:rsid w:val="568B3E88"/>
    <w:rsid w:val="579B178C"/>
    <w:rsid w:val="596A6026"/>
    <w:rsid w:val="599364B0"/>
    <w:rsid w:val="5A492DA3"/>
    <w:rsid w:val="5A6645C8"/>
    <w:rsid w:val="5B912A21"/>
    <w:rsid w:val="5D891708"/>
    <w:rsid w:val="5E7B5E08"/>
    <w:rsid w:val="5EC724E8"/>
    <w:rsid w:val="5F543E6A"/>
    <w:rsid w:val="5FE1582B"/>
    <w:rsid w:val="5FE62E42"/>
    <w:rsid w:val="5FF34165"/>
    <w:rsid w:val="60996056"/>
    <w:rsid w:val="61DD1805"/>
    <w:rsid w:val="6280132C"/>
    <w:rsid w:val="631A5FB8"/>
    <w:rsid w:val="63400343"/>
    <w:rsid w:val="65794AEE"/>
    <w:rsid w:val="65817895"/>
    <w:rsid w:val="65FC33BF"/>
    <w:rsid w:val="66096397"/>
    <w:rsid w:val="67980EC5"/>
    <w:rsid w:val="680D2FC5"/>
    <w:rsid w:val="69D95C63"/>
    <w:rsid w:val="69E2467A"/>
    <w:rsid w:val="6AB9187F"/>
    <w:rsid w:val="6B737C7F"/>
    <w:rsid w:val="6C134FBF"/>
    <w:rsid w:val="6C8934D3"/>
    <w:rsid w:val="6DD703B2"/>
    <w:rsid w:val="6F776FE8"/>
    <w:rsid w:val="709938DD"/>
    <w:rsid w:val="7185070D"/>
    <w:rsid w:val="724F1D63"/>
    <w:rsid w:val="73B01345"/>
    <w:rsid w:val="73B726D3"/>
    <w:rsid w:val="75410DEE"/>
    <w:rsid w:val="76807428"/>
    <w:rsid w:val="76C25A93"/>
    <w:rsid w:val="76EC08E6"/>
    <w:rsid w:val="7AD41AC7"/>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semiHidden/>
    <w:unhideWhenUsed/>
    <w:qFormat/>
    <w:uiPriority w:val="0"/>
    <w:pPr>
      <w:jc w:val="left"/>
    </w:pPr>
  </w:style>
  <w:style w:type="paragraph" w:styleId="5">
    <w:name w:val="Body Text"/>
    <w:basedOn w:val="1"/>
    <w:link w:val="36"/>
    <w:qFormat/>
    <w:uiPriority w:val="0"/>
    <w:pPr>
      <w:widowControl/>
      <w:jc w:val="left"/>
    </w:pPr>
    <w:rPr>
      <w:rFonts w:eastAsia="PMingLiU"/>
      <w:kern w:val="0"/>
      <w:sz w:val="24"/>
      <w:szCs w:val="20"/>
      <w:lang w:eastAsia="en-US"/>
    </w:rPr>
  </w:style>
  <w:style w:type="paragraph" w:styleId="6">
    <w:name w:val="Body Text Indent"/>
    <w:basedOn w:val="1"/>
    <w:link w:val="35"/>
    <w:qFormat/>
    <w:uiPriority w:val="0"/>
    <w:pPr>
      <w:widowControl/>
      <w:ind w:left="-270" w:firstLine="270"/>
      <w:jc w:val="left"/>
    </w:pPr>
    <w:rPr>
      <w:rFonts w:eastAsia="PMingLiU"/>
      <w:kern w:val="0"/>
      <w:sz w:val="24"/>
      <w:szCs w:val="20"/>
      <w:lang w:val="en-GB" w:eastAsia="en-US"/>
    </w:rPr>
  </w:style>
  <w:style w:type="paragraph" w:styleId="7">
    <w:name w:val="Plain Text"/>
    <w:basedOn w:val="1"/>
    <w:link w:val="33"/>
    <w:qFormat/>
    <w:uiPriority w:val="0"/>
    <w:rPr>
      <w:rFonts w:ascii="宋体" w:hAnsi="Courier New"/>
      <w:szCs w:val="20"/>
    </w:rPr>
  </w:style>
  <w:style w:type="paragraph" w:styleId="8">
    <w:name w:val="Balloon Text"/>
    <w:basedOn w:val="1"/>
    <w:semiHidden/>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next w:val="1"/>
    <w:link w:val="51"/>
    <w:qFormat/>
    <w:uiPriority w:val="0"/>
    <w:pPr>
      <w:spacing w:before="240" w:after="60"/>
      <w:jc w:val="center"/>
      <w:outlineLvl w:val="0"/>
    </w:pPr>
    <w:rPr>
      <w:rFonts w:asciiTheme="majorHAnsi" w:hAnsiTheme="majorHAnsi" w:cstheme="majorBidi"/>
      <w:b/>
      <w:bCs/>
      <w:sz w:val="32"/>
      <w:szCs w:val="32"/>
    </w:rPr>
  </w:style>
  <w:style w:type="paragraph" w:styleId="15">
    <w:name w:val="annotation subject"/>
    <w:basedOn w:val="4"/>
    <w:next w:val="4"/>
    <w:link w:val="46"/>
    <w:semiHidden/>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Emphasis"/>
    <w:qFormat/>
    <w:uiPriority w:val="20"/>
    <w:rPr>
      <w:color w:val="DD4B39"/>
    </w:rPr>
  </w:style>
  <w:style w:type="character" w:styleId="21">
    <w:name w:val="Hyperlink"/>
    <w:qFormat/>
    <w:uiPriority w:val="99"/>
    <w:rPr>
      <w:color w:val="0000FF"/>
      <w:u w:val="single"/>
    </w:rPr>
  </w:style>
  <w:style w:type="character" w:styleId="22">
    <w:name w:val="annotation reference"/>
    <w:basedOn w:val="18"/>
    <w:semiHidden/>
    <w:unhideWhenUsed/>
    <w:qFormat/>
    <w:uiPriority w:val="0"/>
    <w:rPr>
      <w:sz w:val="21"/>
      <w:szCs w:val="21"/>
    </w:rPr>
  </w:style>
  <w:style w:type="paragraph" w:customStyle="1" w:styleId="23">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24">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5">
    <w:name w:val="页眉 Char"/>
    <w:link w:val="10"/>
    <w:qFormat/>
    <w:uiPriority w:val="0"/>
    <w:rPr>
      <w:kern w:val="2"/>
      <w:sz w:val="18"/>
      <w:szCs w:val="18"/>
    </w:rPr>
  </w:style>
  <w:style w:type="character" w:customStyle="1" w:styleId="26">
    <w:name w:val="页脚 Char"/>
    <w:link w:val="9"/>
    <w:qFormat/>
    <w:uiPriority w:val="99"/>
    <w:rPr>
      <w:kern w:val="2"/>
      <w:sz w:val="18"/>
      <w:szCs w:val="18"/>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Char"/>
    <w:basedOn w:val="1"/>
    <w:qFormat/>
    <w:uiPriority w:val="0"/>
    <w:pPr>
      <w:spacing w:line="360" w:lineRule="auto"/>
      <w:ind w:firstLine="200" w:firstLineChars="200"/>
    </w:pPr>
    <w:rPr>
      <w:rFonts w:ascii="宋体" w:hAnsi="宋体" w:cs="宋体"/>
      <w:sz w:val="24"/>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style-span"/>
    <w:basedOn w:val="18"/>
    <w:qFormat/>
    <w:uiPriority w:val="0"/>
  </w:style>
  <w:style w:type="paragraph" w:customStyle="1" w:styleId="31">
    <w:name w:val="列出段落1"/>
    <w:basedOn w:val="1"/>
    <w:qFormat/>
    <w:uiPriority w:val="0"/>
    <w:pPr>
      <w:ind w:firstLine="420" w:firstLineChars="200"/>
    </w:pPr>
  </w:style>
  <w:style w:type="character" w:customStyle="1" w:styleId="32">
    <w:name w:val="bumpedfont20"/>
    <w:basedOn w:val="18"/>
    <w:qFormat/>
    <w:uiPriority w:val="0"/>
  </w:style>
  <w:style w:type="character" w:customStyle="1" w:styleId="33">
    <w:name w:val="纯文本 Char"/>
    <w:link w:val="7"/>
    <w:qFormat/>
    <w:uiPriority w:val="0"/>
    <w:rPr>
      <w:rFonts w:ascii="宋体" w:hAnsi="Courier New"/>
      <w:kern w:val="2"/>
      <w:sz w:val="21"/>
    </w:rPr>
  </w:style>
  <w:style w:type="paragraph" w:styleId="34">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5">
    <w:name w:val="正文文本缩进 Char"/>
    <w:link w:val="6"/>
    <w:qFormat/>
    <w:uiPriority w:val="0"/>
    <w:rPr>
      <w:rFonts w:eastAsia="PMingLiU"/>
      <w:sz w:val="24"/>
      <w:lang w:val="en-GB" w:eastAsia="en-US"/>
    </w:rPr>
  </w:style>
  <w:style w:type="character" w:customStyle="1" w:styleId="36">
    <w:name w:val="正文文本 Char"/>
    <w:link w:val="5"/>
    <w:qFormat/>
    <w:uiPriority w:val="0"/>
    <w:rPr>
      <w:rFonts w:eastAsia="PMingLiU"/>
      <w:sz w:val="24"/>
      <w:lang w:eastAsia="en-US"/>
    </w:rPr>
  </w:style>
  <w:style w:type="character" w:customStyle="1" w:styleId="37">
    <w:name w:val="short_text"/>
    <w:qFormat/>
    <w:uiPriority w:val="0"/>
  </w:style>
  <w:style w:type="character" w:customStyle="1" w:styleId="38">
    <w:name w:val="st1"/>
    <w:qFormat/>
    <w:uiPriority w:val="0"/>
  </w:style>
  <w:style w:type="character" w:customStyle="1" w:styleId="39">
    <w:name w:val="apple-converted-space"/>
    <w:basedOn w:val="18"/>
    <w:qFormat/>
    <w:uiPriority w:val="99"/>
  </w:style>
  <w:style w:type="paragraph" w:customStyle="1" w:styleId="40">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1">
    <w:name w:val="网格型1"/>
    <w:basedOn w:val="1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2">
    <w:name w:val="_Style 2"/>
    <w:basedOn w:val="1"/>
    <w:qFormat/>
    <w:uiPriority w:val="34"/>
    <w:pPr>
      <w:ind w:firstLine="420" w:firstLineChars="200"/>
    </w:pPr>
  </w:style>
  <w:style w:type="character" w:customStyle="1" w:styleId="43">
    <w:name w:val="标题 1 Char"/>
    <w:basedOn w:val="18"/>
    <w:link w:val="2"/>
    <w:qFormat/>
    <w:uiPriority w:val="9"/>
    <w:rPr>
      <w:rFonts w:asciiTheme="minorHAnsi" w:hAnsiTheme="minorHAnsi" w:eastAsiaTheme="minorEastAsia" w:cstheme="minorBidi"/>
      <w:b/>
      <w:bCs/>
      <w:kern w:val="44"/>
      <w:sz w:val="44"/>
      <w:szCs w:val="44"/>
    </w:rPr>
  </w:style>
  <w:style w:type="paragraph" w:customStyle="1" w:styleId="44">
    <w:name w:val="列出段落2"/>
    <w:basedOn w:val="1"/>
    <w:qFormat/>
    <w:uiPriority w:val="0"/>
    <w:pPr>
      <w:ind w:firstLine="420" w:firstLineChars="200"/>
    </w:pPr>
    <w:rPr>
      <w:rFonts w:ascii="Calibri" w:hAnsi="Calibri"/>
      <w:szCs w:val="22"/>
    </w:rPr>
  </w:style>
  <w:style w:type="character" w:customStyle="1" w:styleId="45">
    <w:name w:val="批注文字 Char"/>
    <w:basedOn w:val="18"/>
    <w:link w:val="4"/>
    <w:semiHidden/>
    <w:qFormat/>
    <w:uiPriority w:val="0"/>
    <w:rPr>
      <w:kern w:val="2"/>
      <w:sz w:val="21"/>
      <w:szCs w:val="24"/>
    </w:rPr>
  </w:style>
  <w:style w:type="character" w:customStyle="1" w:styleId="46">
    <w:name w:val="批注主题 Char"/>
    <w:basedOn w:val="45"/>
    <w:link w:val="15"/>
    <w:semiHidden/>
    <w:qFormat/>
    <w:uiPriority w:val="0"/>
    <w:rPr>
      <w:b/>
      <w:bCs/>
      <w:kern w:val="2"/>
      <w:sz w:val="21"/>
      <w:szCs w:val="24"/>
    </w:rPr>
  </w:style>
  <w:style w:type="table" w:customStyle="1" w:styleId="47">
    <w:name w:val="网格型2"/>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标题 Char"/>
    <w:basedOn w:val="18"/>
    <w:link w:val="14"/>
    <w:qFormat/>
    <w:uiPriority w:val="0"/>
    <w:rPr>
      <w:rFonts w:asciiTheme="majorHAnsi" w:hAnsiTheme="majorHAnsi" w:cstheme="majorBidi"/>
      <w:b/>
      <w:bCs/>
      <w:kern w:val="2"/>
      <w:sz w:val="32"/>
      <w:szCs w:val="32"/>
    </w:rPr>
  </w:style>
  <w:style w:type="paragraph" w:customStyle="1" w:styleId="52">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3">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4">
    <w:name w:val="p1"/>
    <w:basedOn w:val="1"/>
    <w:qFormat/>
    <w:uiPriority w:val="0"/>
    <w:pPr>
      <w:jc w:val="left"/>
    </w:pPr>
    <w:rPr>
      <w:rFonts w:ascii="Helvetica" w:hAnsi="Helvetica" w:eastAsia="Helvetica"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18</Pages>
  <Words>2778</Words>
  <Characters>2925</Characters>
  <Lines>56</Lines>
  <Paragraphs>16</Paragraphs>
  <TotalTime>0</TotalTime>
  <ScaleCrop>false</ScaleCrop>
  <LinksUpToDate>false</LinksUpToDate>
  <CharactersWithSpaces>2950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2025-09-09T02:54:33Z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