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6"/>
        <w:widowControl w:val="0"/>
        <w:snapToGrid w:val="0"/>
        <w:spacing w:line="360" w:lineRule="auto"/>
        <w:ind w:firstLine="418" w:firstLineChars="52"/>
        <w:jc w:val="center"/>
        <w:rPr>
          <w:rFonts w:hint="eastAsia" w:ascii="宋体" w:hAnsi="宋体"/>
          <w:color w:val="auto"/>
          <w:sz w:val="80"/>
          <w:szCs w:val="80"/>
        </w:rPr>
      </w:pPr>
    </w:p>
    <w:p>
      <w:pPr>
        <w:pStyle w:val="46"/>
        <w:widowControl w:val="0"/>
        <w:snapToGrid w:val="0"/>
        <w:spacing w:line="360" w:lineRule="auto"/>
        <w:ind w:firstLine="418" w:firstLineChars="52"/>
        <w:jc w:val="center"/>
        <w:rPr>
          <w:rFonts w:hint="eastAsia" w:ascii="宋体" w:hAnsi="宋体"/>
          <w:color w:val="auto"/>
          <w:sz w:val="80"/>
          <w:szCs w:val="80"/>
        </w:rPr>
      </w:pPr>
      <w:r>
        <w:rPr>
          <w:rFonts w:hint="eastAsia" w:ascii="宋体" w:hAnsi="宋体"/>
          <w:color w:val="auto"/>
          <w:sz w:val="80"/>
          <w:szCs w:val="80"/>
        </w:rPr>
        <w:t>院内采购文件</w:t>
      </w:r>
    </w:p>
    <w:p>
      <w:pPr>
        <w:pStyle w:val="46"/>
        <w:widowControl w:val="0"/>
        <w:snapToGrid w:val="0"/>
        <w:spacing w:line="360" w:lineRule="auto"/>
        <w:ind w:firstLine="0"/>
        <w:jc w:val="center"/>
        <w:rPr>
          <w:bCs/>
          <w:color w:val="auto"/>
          <w:kern w:val="2"/>
          <w:sz w:val="32"/>
          <w:szCs w:val="32"/>
        </w:rPr>
      </w:pPr>
    </w:p>
    <w:p>
      <w:pPr>
        <w:pStyle w:val="46"/>
        <w:widowControl w:val="0"/>
        <w:snapToGrid w:val="0"/>
        <w:spacing w:line="360" w:lineRule="auto"/>
        <w:ind w:firstLine="0"/>
        <w:jc w:val="center"/>
        <w:rPr>
          <w:bCs/>
          <w:color w:val="auto"/>
          <w:kern w:val="2"/>
          <w:sz w:val="32"/>
          <w:szCs w:val="32"/>
        </w:rPr>
      </w:pPr>
    </w:p>
    <w:p>
      <w:pPr>
        <w:pStyle w:val="46"/>
        <w:widowControl w:val="0"/>
        <w:snapToGrid w:val="0"/>
        <w:spacing w:line="360" w:lineRule="auto"/>
        <w:ind w:firstLine="0"/>
        <w:jc w:val="center"/>
        <w:rPr>
          <w:bCs/>
          <w:color w:val="auto"/>
          <w:kern w:val="2"/>
          <w:sz w:val="32"/>
          <w:szCs w:val="32"/>
        </w:rPr>
      </w:pPr>
    </w:p>
    <w:p>
      <w:pPr>
        <w:pStyle w:val="46"/>
        <w:widowControl w:val="0"/>
        <w:snapToGrid w:val="0"/>
        <w:spacing w:line="360" w:lineRule="auto"/>
        <w:ind w:firstLine="0"/>
        <w:jc w:val="center"/>
        <w:rPr>
          <w:bCs/>
          <w:color w:val="auto"/>
          <w:kern w:val="2"/>
          <w:sz w:val="32"/>
          <w:szCs w:val="32"/>
        </w:rPr>
      </w:pPr>
    </w:p>
    <w:p>
      <w:pPr>
        <w:pStyle w:val="46"/>
        <w:widowControl w:val="0"/>
        <w:snapToGrid w:val="0"/>
        <w:spacing w:line="360" w:lineRule="auto"/>
        <w:ind w:firstLine="0"/>
        <w:jc w:val="center"/>
        <w:rPr>
          <w:bCs/>
          <w:color w:val="auto"/>
          <w:kern w:val="2"/>
          <w:sz w:val="32"/>
          <w:szCs w:val="32"/>
        </w:rPr>
      </w:pPr>
    </w:p>
    <w:p>
      <w:pPr>
        <w:pStyle w:val="46"/>
        <w:widowControl w:val="0"/>
        <w:snapToGrid w:val="0"/>
        <w:spacing w:line="360" w:lineRule="auto"/>
        <w:ind w:firstLine="0"/>
        <w:jc w:val="center"/>
        <w:rPr>
          <w:rFonts w:hint="eastAsia" w:eastAsia="宋体"/>
          <w:bCs/>
          <w:color w:val="auto"/>
          <w:kern w:val="2"/>
          <w:sz w:val="32"/>
          <w:szCs w:val="32"/>
          <w:lang w:eastAsia="zh-CN"/>
        </w:rPr>
      </w:pPr>
      <w:r>
        <w:rPr>
          <w:rFonts w:hint="eastAsia"/>
          <w:bCs/>
          <w:color w:val="auto"/>
          <w:kern w:val="2"/>
          <w:sz w:val="32"/>
          <w:szCs w:val="32"/>
        </w:rPr>
        <w:t xml:space="preserve">项目名称： </w:t>
      </w:r>
      <w:r>
        <w:rPr>
          <w:rFonts w:hint="eastAsia"/>
          <w:bCs/>
          <w:color w:val="auto"/>
          <w:kern w:val="2"/>
          <w:sz w:val="32"/>
          <w:szCs w:val="32"/>
          <w:lang w:eastAsia="zh-CN"/>
        </w:rPr>
        <w:t>精浆生化试剂</w:t>
      </w:r>
      <w:bookmarkStart w:id="9" w:name="_GoBack"/>
      <w:bookmarkEnd w:id="9"/>
    </w:p>
    <w:p>
      <w:pPr>
        <w:spacing w:line="360" w:lineRule="auto"/>
        <w:jc w:val="center"/>
        <w:rPr>
          <w:rFonts w:hint="eastAsia" w:ascii="宋体" w:hAnsi="宋体"/>
          <w:b/>
          <w:sz w:val="32"/>
          <w:u w:val="single"/>
        </w:rPr>
      </w:pPr>
      <w:r>
        <w:rPr>
          <w:b/>
          <w:bCs/>
          <w:sz w:val="32"/>
          <w:szCs w:val="32"/>
        </w:rPr>
        <w:t>项目编号：</w:t>
      </w:r>
      <w:r>
        <w:rPr>
          <w:rFonts w:hint="eastAsia"/>
          <w:b/>
          <w:bCs/>
          <w:sz w:val="32"/>
          <w:szCs w:val="32"/>
        </w:rPr>
        <w:t>CGZX</w:t>
      </w:r>
      <w:r>
        <w:rPr>
          <w:b/>
          <w:bCs/>
          <w:sz w:val="32"/>
          <w:szCs w:val="32"/>
        </w:rPr>
        <w:t>-</w:t>
      </w:r>
      <w:r>
        <w:rPr>
          <w:rFonts w:hint="eastAsia"/>
          <w:b/>
          <w:bCs/>
          <w:sz w:val="32"/>
          <w:szCs w:val="32"/>
        </w:rPr>
        <w:t>HCSJ</w:t>
      </w:r>
      <w:r>
        <w:rPr>
          <w:b/>
          <w:bCs/>
          <w:sz w:val="32"/>
          <w:szCs w:val="32"/>
        </w:rPr>
        <w:t>-202</w:t>
      </w:r>
      <w:r>
        <w:rPr>
          <w:rFonts w:hint="eastAsia"/>
          <w:b/>
          <w:bCs/>
          <w:sz w:val="32"/>
          <w:szCs w:val="32"/>
        </w:rPr>
        <w:t>60130</w:t>
      </w:r>
    </w:p>
    <w:p>
      <w:pPr>
        <w:pStyle w:val="46"/>
        <w:widowControl w:val="0"/>
        <w:snapToGrid w:val="0"/>
        <w:spacing w:line="360" w:lineRule="auto"/>
        <w:ind w:firstLine="0"/>
        <w:jc w:val="center"/>
        <w:rPr>
          <w:rFonts w:hint="eastAsia" w:ascii="宋体" w:hAnsi="宋体"/>
          <w:color w:val="auto"/>
        </w:rPr>
      </w:pPr>
    </w:p>
    <w:p>
      <w:pPr>
        <w:pStyle w:val="46"/>
        <w:spacing w:line="360" w:lineRule="auto"/>
        <w:ind w:firstLine="0"/>
        <w:jc w:val="center"/>
        <w:rPr>
          <w:rFonts w:hint="eastAsia" w:ascii="宋体" w:hAnsi="宋体"/>
          <w:color w:val="auto"/>
          <w:sz w:val="32"/>
          <w:szCs w:val="32"/>
        </w:rPr>
      </w:pPr>
    </w:p>
    <w:p>
      <w:pPr>
        <w:pStyle w:val="46"/>
        <w:spacing w:line="360" w:lineRule="auto"/>
        <w:ind w:firstLine="0"/>
        <w:jc w:val="center"/>
        <w:rPr>
          <w:rFonts w:hint="eastAsia" w:ascii="宋体" w:hAnsi="宋体"/>
          <w:color w:val="auto"/>
          <w:sz w:val="32"/>
          <w:szCs w:val="32"/>
        </w:rPr>
      </w:pPr>
    </w:p>
    <w:p>
      <w:pPr>
        <w:pStyle w:val="46"/>
        <w:spacing w:line="360" w:lineRule="auto"/>
        <w:ind w:firstLine="0"/>
        <w:jc w:val="center"/>
        <w:rPr>
          <w:rFonts w:hint="eastAsia" w:ascii="宋体" w:hAnsi="宋体"/>
          <w:color w:val="auto"/>
          <w:sz w:val="32"/>
          <w:szCs w:val="32"/>
        </w:rPr>
      </w:pPr>
    </w:p>
    <w:p>
      <w:pPr>
        <w:pStyle w:val="46"/>
        <w:spacing w:line="360" w:lineRule="auto"/>
        <w:ind w:firstLine="0"/>
        <w:jc w:val="center"/>
        <w:rPr>
          <w:rFonts w:hint="eastAsia" w:ascii="宋体" w:hAnsi="宋体"/>
          <w:color w:val="auto"/>
          <w:sz w:val="32"/>
          <w:szCs w:val="32"/>
        </w:rPr>
      </w:pPr>
    </w:p>
    <w:p>
      <w:pPr>
        <w:pStyle w:val="46"/>
        <w:spacing w:line="360" w:lineRule="auto"/>
        <w:ind w:firstLine="0"/>
        <w:jc w:val="center"/>
        <w:rPr>
          <w:rFonts w:hint="eastAsia" w:ascii="宋体" w:hAnsi="宋体"/>
          <w:color w:val="auto"/>
          <w:sz w:val="32"/>
          <w:szCs w:val="32"/>
        </w:rPr>
      </w:pPr>
    </w:p>
    <w:p>
      <w:pPr>
        <w:pStyle w:val="46"/>
        <w:spacing w:line="360" w:lineRule="auto"/>
        <w:ind w:firstLine="0"/>
        <w:jc w:val="center"/>
        <w:rPr>
          <w:rFonts w:hint="eastAsia" w:ascii="宋体" w:hAnsi="宋体"/>
          <w:color w:val="auto"/>
          <w:sz w:val="32"/>
          <w:szCs w:val="32"/>
        </w:rPr>
      </w:pPr>
      <w:r>
        <w:rPr>
          <w:rFonts w:hint="eastAsia" w:ascii="宋体" w:hAnsi="宋体"/>
          <w:color w:val="auto"/>
          <w:sz w:val="32"/>
          <w:szCs w:val="32"/>
        </w:rPr>
        <w:t>采购单位：浙江大学医学院附属妇产科医院</w:t>
      </w:r>
    </w:p>
    <w:p>
      <w:pPr>
        <w:pStyle w:val="46"/>
        <w:spacing w:line="360" w:lineRule="auto"/>
        <w:ind w:firstLine="0"/>
        <w:jc w:val="center"/>
        <w:rPr>
          <w:rFonts w:hint="eastAsia" w:ascii="宋体" w:hAnsi="宋体"/>
          <w:sz w:val="32"/>
          <w:szCs w:val="32"/>
        </w:rPr>
      </w:pPr>
      <w:r>
        <w:rPr>
          <w:rFonts w:hint="eastAsia" w:ascii="宋体" w:hAnsi="宋体"/>
          <w:sz w:val="32"/>
          <w:szCs w:val="32"/>
        </w:rPr>
        <w:t>二〇二六</w:t>
      </w:r>
      <w:r>
        <w:rPr>
          <w:rFonts w:ascii="宋体" w:hAnsi="宋体"/>
          <w:sz w:val="32"/>
          <w:szCs w:val="32"/>
        </w:rPr>
        <w:t>年</w:t>
      </w:r>
      <w:r>
        <w:rPr>
          <w:rFonts w:hint="eastAsia" w:ascii="宋体" w:hAnsi="宋体"/>
          <w:sz w:val="32"/>
          <w:szCs w:val="32"/>
        </w:rPr>
        <w:t>一</w:t>
      </w:r>
      <w:r>
        <w:rPr>
          <w:rFonts w:ascii="宋体" w:hAnsi="宋体"/>
          <w:sz w:val="32"/>
          <w:szCs w:val="32"/>
        </w:rPr>
        <w:t>月</w:t>
      </w:r>
    </w:p>
    <w:p>
      <w:pPr>
        <w:jc w:val="center"/>
        <w:rPr>
          <w:b/>
          <w:bCs/>
          <w:sz w:val="32"/>
        </w:rPr>
      </w:pPr>
    </w:p>
    <w:p>
      <w:pPr>
        <w:widowControl/>
        <w:jc w:val="center"/>
        <w:rPr>
          <w:b/>
          <w:bCs/>
          <w:sz w:val="48"/>
          <w:szCs w:val="48"/>
        </w:rPr>
      </w:pPr>
      <w:r>
        <w:rPr>
          <w:rFonts w:hint="eastAsia"/>
          <w:b/>
          <w:bCs/>
          <w:sz w:val="48"/>
          <w:szCs w:val="48"/>
        </w:rPr>
        <w:t>目  录</w:t>
      </w:r>
    </w:p>
    <w:p>
      <w:pPr>
        <w:jc w:val="center"/>
        <w:rPr>
          <w:b/>
          <w:bCs/>
          <w:sz w:val="32"/>
        </w:rPr>
      </w:pPr>
    </w:p>
    <w:sdt>
      <w:sdtPr>
        <w:rPr>
          <w:rFonts w:ascii="Times New Roman" w:hAnsi="Times New Roman" w:eastAsia="宋体" w:cs="Times New Roman"/>
          <w:color w:val="auto"/>
          <w:kern w:val="2"/>
          <w:sz w:val="21"/>
          <w:szCs w:val="24"/>
          <w:lang w:val="zh-CN"/>
        </w:rPr>
        <w:id w:val="1608002201"/>
        <w:docPartObj>
          <w:docPartGallery w:val="Table of Contents"/>
          <w:docPartUnique/>
        </w:docPartObj>
      </w:sdtPr>
      <w:sdtEndPr>
        <w:rPr>
          <w:rFonts w:cs="Times New Roman" w:asciiTheme="minorEastAsia" w:hAnsiTheme="minorEastAsia" w:eastAsiaTheme="minorEastAsia"/>
          <w:b/>
          <w:bCs/>
          <w:color w:val="auto"/>
          <w:kern w:val="2"/>
          <w:sz w:val="30"/>
          <w:szCs w:val="30"/>
          <w:lang w:val="zh-CN"/>
        </w:rPr>
      </w:sdtEndPr>
      <w:sdtContent>
        <w:p>
          <w:pPr>
            <w:pStyle w:val="47"/>
          </w:pPr>
        </w:p>
        <w:p>
          <w:pPr>
            <w:pStyle w:val="10"/>
            <w:tabs>
              <w:tab w:val="right" w:leader="dot" w:pos="8296"/>
            </w:tabs>
            <w:rPr>
              <w:rFonts w:hint="eastAsia" w:asciiTheme="minorHAnsi" w:hAnsiTheme="minorHAnsi" w:eastAsiaTheme="minorEastAsia" w:cstheme="minorBidi"/>
              <w:sz w:val="22"/>
              <w14:ligatures w14:val="standardContextual"/>
            </w:rPr>
          </w:pPr>
          <w:r>
            <w:rPr>
              <w:rFonts w:asciiTheme="minorEastAsia" w:hAnsiTheme="minorEastAsia" w:eastAsiaTheme="minorEastAsia"/>
              <w:b/>
              <w:sz w:val="30"/>
              <w:szCs w:val="30"/>
            </w:rPr>
            <w:fldChar w:fldCharType="begin"/>
          </w:r>
          <w:r>
            <w:rPr>
              <w:rFonts w:asciiTheme="minorEastAsia" w:hAnsiTheme="minorEastAsia" w:eastAsiaTheme="minorEastAsia"/>
              <w:b/>
              <w:sz w:val="30"/>
              <w:szCs w:val="30"/>
            </w:rPr>
            <w:instrText xml:space="preserve"> TOC \o "1-3" \h \z \u </w:instrText>
          </w:r>
          <w:r>
            <w:rPr>
              <w:rFonts w:asciiTheme="minorEastAsia" w:hAnsiTheme="minorEastAsia" w:eastAsiaTheme="minorEastAsia"/>
              <w:b/>
              <w:sz w:val="30"/>
              <w:szCs w:val="30"/>
            </w:rPr>
            <w:fldChar w:fldCharType="separate"/>
          </w:r>
          <w:r>
            <w:fldChar w:fldCharType="begin"/>
          </w:r>
          <w:r>
            <w:instrText xml:space="preserve"> HYPERLINK \l "_Toc220618496" </w:instrText>
          </w:r>
          <w:r>
            <w:fldChar w:fldCharType="separate"/>
          </w:r>
          <w:r>
            <w:rPr>
              <w:rStyle w:val="19"/>
            </w:rPr>
            <w:t xml:space="preserve">第一章 </w:t>
          </w:r>
          <w:r>
            <w:rPr>
              <w:rStyle w:val="19"/>
              <w:rFonts w:hint="eastAsia"/>
            </w:rPr>
            <w:t xml:space="preserve"> </w:t>
          </w:r>
          <w:r>
            <w:rPr>
              <w:rStyle w:val="19"/>
            </w:rPr>
            <w:t>采购公告</w:t>
          </w:r>
          <w:r>
            <w:rPr>
              <w:rFonts w:hint="eastAsia"/>
            </w:rPr>
            <w:tab/>
          </w:r>
          <w:r>
            <w:rPr>
              <w:rFonts w:hint="eastAsia"/>
            </w:rPr>
            <w:fldChar w:fldCharType="begin"/>
          </w:r>
          <w:r>
            <w:rPr>
              <w:rFonts w:hint="eastAsia"/>
            </w:rPr>
            <w:instrText xml:space="preserve"> </w:instrText>
          </w:r>
          <w:r>
            <w:instrText xml:space="preserve">PAGEREF _Toc220618496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pPr>
            <w:pStyle w:val="10"/>
            <w:tabs>
              <w:tab w:val="right" w:leader="dot" w:pos="8296"/>
            </w:tabs>
            <w:rPr>
              <w:rFonts w:hint="eastAsia" w:asciiTheme="minorHAnsi" w:hAnsiTheme="minorHAnsi" w:eastAsiaTheme="minorEastAsia" w:cstheme="minorBidi"/>
              <w:sz w:val="22"/>
              <w14:ligatures w14:val="standardContextual"/>
            </w:rPr>
          </w:pPr>
          <w:r>
            <w:fldChar w:fldCharType="begin"/>
          </w:r>
          <w:r>
            <w:instrText xml:space="preserve"> HYPERLINK \l "_Toc220618497" </w:instrText>
          </w:r>
          <w:r>
            <w:fldChar w:fldCharType="separate"/>
          </w:r>
          <w:r>
            <w:rPr>
              <w:rStyle w:val="19"/>
            </w:rPr>
            <w:t xml:space="preserve">第二章 </w:t>
          </w:r>
          <w:r>
            <w:rPr>
              <w:rStyle w:val="19"/>
              <w:rFonts w:hint="eastAsia"/>
            </w:rPr>
            <w:t xml:space="preserve"> </w:t>
          </w:r>
          <w:r>
            <w:rPr>
              <w:rStyle w:val="19"/>
            </w:rPr>
            <w:t>采购内容及需求</w:t>
          </w:r>
          <w:r>
            <w:rPr>
              <w:rFonts w:hint="eastAsia"/>
            </w:rPr>
            <w:tab/>
          </w:r>
          <w:r>
            <w:rPr>
              <w:rFonts w:hint="eastAsia"/>
            </w:rPr>
            <w:fldChar w:fldCharType="begin"/>
          </w:r>
          <w:r>
            <w:rPr>
              <w:rFonts w:hint="eastAsia"/>
            </w:rPr>
            <w:instrText xml:space="preserve"> </w:instrText>
          </w:r>
          <w:r>
            <w:instrText xml:space="preserve">PAGEREF _Toc220618497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pPr>
            <w:pStyle w:val="10"/>
            <w:tabs>
              <w:tab w:val="right" w:leader="dot" w:pos="8296"/>
            </w:tabs>
            <w:rPr>
              <w:rFonts w:hint="eastAsia" w:asciiTheme="minorHAnsi" w:hAnsiTheme="minorHAnsi" w:eastAsiaTheme="minorEastAsia" w:cstheme="minorBidi"/>
              <w:sz w:val="22"/>
              <w14:ligatures w14:val="standardContextual"/>
            </w:rPr>
          </w:pPr>
          <w:r>
            <w:fldChar w:fldCharType="begin"/>
          </w:r>
          <w:r>
            <w:instrText xml:space="preserve"> HYPERLINK \l "_Toc220618498" </w:instrText>
          </w:r>
          <w:r>
            <w:fldChar w:fldCharType="separate"/>
          </w:r>
          <w:r>
            <w:rPr>
              <w:rStyle w:val="19"/>
            </w:rPr>
            <w:t xml:space="preserve">第三章 </w:t>
          </w:r>
          <w:r>
            <w:rPr>
              <w:rStyle w:val="19"/>
              <w:rFonts w:hint="eastAsia"/>
            </w:rPr>
            <w:t xml:space="preserve"> </w:t>
          </w:r>
          <w:r>
            <w:rPr>
              <w:rStyle w:val="19"/>
            </w:rPr>
            <w:t>评分标准</w:t>
          </w:r>
          <w:r>
            <w:rPr>
              <w:rFonts w:hint="eastAsia"/>
            </w:rPr>
            <w:tab/>
          </w:r>
          <w:r>
            <w:rPr>
              <w:rFonts w:hint="eastAsia"/>
            </w:rPr>
            <w:fldChar w:fldCharType="begin"/>
          </w:r>
          <w:r>
            <w:rPr>
              <w:rFonts w:hint="eastAsia"/>
            </w:rPr>
            <w:instrText xml:space="preserve"> </w:instrText>
          </w:r>
          <w:r>
            <w:instrText xml:space="preserve">PAGEREF _Toc220618498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pPr>
            <w:pStyle w:val="10"/>
            <w:tabs>
              <w:tab w:val="left" w:pos="880"/>
              <w:tab w:val="right" w:leader="dot" w:pos="8296"/>
            </w:tabs>
            <w:rPr>
              <w:rFonts w:hint="eastAsia" w:asciiTheme="minorHAnsi" w:hAnsiTheme="minorHAnsi" w:eastAsiaTheme="minorEastAsia" w:cstheme="minorBidi"/>
              <w:sz w:val="22"/>
              <w14:ligatures w14:val="standardContextual"/>
            </w:rPr>
          </w:pPr>
          <w:r>
            <w:fldChar w:fldCharType="begin"/>
          </w:r>
          <w:r>
            <w:instrText xml:space="preserve"> HYPERLINK \l "_Toc220618499" </w:instrText>
          </w:r>
          <w:r>
            <w:fldChar w:fldCharType="separate"/>
          </w:r>
          <w:r>
            <w:rPr>
              <w:rStyle w:val="19"/>
            </w:rPr>
            <w:t>第四章</w:t>
          </w:r>
          <w:r>
            <w:rPr>
              <w:rFonts w:hint="eastAsia" w:asciiTheme="minorHAnsi" w:hAnsiTheme="minorHAnsi" w:eastAsiaTheme="minorEastAsia" w:cstheme="minorBidi"/>
              <w:sz w:val="22"/>
              <w14:ligatures w14:val="standardContextual"/>
            </w:rPr>
            <w:tab/>
          </w:r>
          <w:r>
            <w:rPr>
              <w:rStyle w:val="19"/>
            </w:rPr>
            <w:t>响应文件格式</w:t>
          </w:r>
          <w:r>
            <w:rPr>
              <w:rFonts w:hint="eastAsia"/>
            </w:rPr>
            <w:tab/>
          </w:r>
          <w:r>
            <w:rPr>
              <w:rFonts w:hint="eastAsia"/>
            </w:rPr>
            <w:fldChar w:fldCharType="begin"/>
          </w:r>
          <w:r>
            <w:rPr>
              <w:rFonts w:hint="eastAsia"/>
            </w:rPr>
            <w:instrText xml:space="preserve"> </w:instrText>
          </w:r>
          <w:r>
            <w:instrText xml:space="preserve">PAGEREF _Toc220618499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pPr>
            <w:pStyle w:val="10"/>
            <w:tabs>
              <w:tab w:val="left" w:pos="880"/>
              <w:tab w:val="right" w:leader="dot" w:pos="8296"/>
            </w:tabs>
            <w:rPr>
              <w:rFonts w:hint="eastAsia" w:asciiTheme="minorHAnsi" w:hAnsiTheme="minorHAnsi" w:eastAsiaTheme="minorEastAsia" w:cstheme="minorBidi"/>
              <w:sz w:val="22"/>
              <w14:ligatures w14:val="standardContextual"/>
            </w:rPr>
          </w:pPr>
          <w:r>
            <w:fldChar w:fldCharType="begin"/>
          </w:r>
          <w:r>
            <w:instrText xml:space="preserve"> HYPERLINK \l "_Toc220618500" </w:instrText>
          </w:r>
          <w:r>
            <w:fldChar w:fldCharType="separate"/>
          </w:r>
          <w:r>
            <w:rPr>
              <w:rStyle w:val="19"/>
            </w:rPr>
            <w:t>第五章</w:t>
          </w:r>
          <w:r>
            <w:rPr>
              <w:rFonts w:hint="eastAsia" w:asciiTheme="minorHAnsi" w:hAnsiTheme="minorHAnsi" w:eastAsiaTheme="minorEastAsia" w:cstheme="minorBidi"/>
              <w:sz w:val="22"/>
              <w14:ligatures w14:val="standardContextual"/>
            </w:rPr>
            <w:tab/>
          </w:r>
          <w:r>
            <w:rPr>
              <w:rStyle w:val="19"/>
            </w:rPr>
            <w:t>合同主要条款</w:t>
          </w:r>
          <w:r>
            <w:rPr>
              <w:rFonts w:hint="eastAsia"/>
            </w:rPr>
            <w:tab/>
          </w:r>
          <w:r>
            <w:rPr>
              <w:rFonts w:hint="eastAsia"/>
            </w:rPr>
            <w:fldChar w:fldCharType="begin"/>
          </w:r>
          <w:r>
            <w:rPr>
              <w:rFonts w:hint="eastAsia"/>
            </w:rPr>
            <w:instrText xml:space="preserve"> </w:instrText>
          </w:r>
          <w:r>
            <w:instrText xml:space="preserve">PAGEREF _Toc220618500 \h</w:instrText>
          </w:r>
          <w:r>
            <w:rPr>
              <w:rFonts w:hint="eastAsia"/>
            </w:rPr>
            <w:instrText xml:space="preserve"> </w:instrText>
          </w:r>
          <w:r>
            <w:rPr>
              <w:rFonts w:hint="eastAsia"/>
            </w:rPr>
            <w:fldChar w:fldCharType="separate"/>
          </w:r>
          <w:r>
            <w:t>16</w:t>
          </w:r>
          <w:r>
            <w:rPr>
              <w:rFonts w:hint="eastAsia"/>
            </w:rPr>
            <w:fldChar w:fldCharType="end"/>
          </w:r>
          <w:r>
            <w:rPr>
              <w:rFonts w:hint="eastAsia"/>
            </w:rPr>
            <w:fldChar w:fldCharType="end"/>
          </w:r>
        </w:p>
        <w:p>
          <w:pPr>
            <w:rPr>
              <w:rFonts w:hint="eastAsia" w:asciiTheme="minorEastAsia" w:hAnsiTheme="minorEastAsia" w:eastAsiaTheme="minorEastAsia"/>
              <w:b/>
              <w:sz w:val="30"/>
              <w:szCs w:val="30"/>
            </w:rPr>
          </w:pPr>
          <w:r>
            <w:rPr>
              <w:rFonts w:asciiTheme="minorEastAsia" w:hAnsiTheme="minorEastAsia" w:eastAsiaTheme="minorEastAsia"/>
              <w:b/>
              <w:bCs/>
              <w:sz w:val="30"/>
              <w:szCs w:val="30"/>
              <w:lang w:val="zh-CN"/>
            </w:rPr>
            <w:fldChar w:fldCharType="end"/>
          </w:r>
        </w:p>
      </w:sdtContent>
    </w:sdt>
    <w:p>
      <w:pPr>
        <w:jc w:val="left"/>
        <w:rPr>
          <w:b/>
          <w:bCs/>
          <w:sz w:val="32"/>
        </w:rPr>
      </w:pPr>
    </w:p>
    <w:p>
      <w:pPr>
        <w:jc w:val="center"/>
        <w:rPr>
          <w:b/>
          <w:bCs/>
          <w:sz w:val="32"/>
        </w:rPr>
      </w:pPr>
    </w:p>
    <w:p>
      <w:pPr>
        <w:widowControl/>
        <w:jc w:val="left"/>
        <w:rPr>
          <w:b/>
          <w:bCs/>
          <w:sz w:val="32"/>
        </w:rPr>
      </w:pPr>
      <w:r>
        <w:rPr>
          <w:b/>
          <w:bCs/>
          <w:sz w:val="32"/>
        </w:rPr>
        <w:br w:type="page"/>
      </w:r>
    </w:p>
    <w:p>
      <w:pPr>
        <w:pStyle w:val="12"/>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pPr>
    </w:p>
    <w:p>
      <w:pPr>
        <w:pStyle w:val="12"/>
      </w:pPr>
      <w:bookmarkStart w:id="0" w:name="_Toc220618496"/>
      <w:r>
        <w:rPr>
          <w:rFonts w:hint="eastAsia"/>
        </w:rPr>
        <w:t xml:space="preserve">第一章 </w:t>
      </w:r>
      <w:r>
        <w:t>采购公告</w:t>
      </w:r>
      <w:bookmarkEnd w:id="0"/>
    </w:p>
    <w:p>
      <w:pPr>
        <w:spacing w:line="360" w:lineRule="auto"/>
        <w:ind w:firstLine="482" w:firstLineChars="200"/>
        <w:rPr>
          <w:b/>
          <w:sz w:val="24"/>
        </w:rPr>
      </w:pPr>
    </w:p>
    <w:p>
      <w:pPr>
        <w:spacing w:line="360" w:lineRule="auto"/>
        <w:jc w:val="center"/>
        <w:rPr>
          <w:b/>
          <w:sz w:val="24"/>
        </w:rPr>
      </w:pPr>
      <w:r>
        <w:rPr>
          <w:rFonts w:hint="eastAsia"/>
          <w:b/>
          <w:sz w:val="24"/>
        </w:rPr>
        <w:t>浙大</w:t>
      </w:r>
      <w:r>
        <w:rPr>
          <w:b/>
          <w:sz w:val="24"/>
        </w:rPr>
        <w:t>妇院</w:t>
      </w:r>
      <w:r>
        <w:rPr>
          <w:rFonts w:hint="eastAsia"/>
          <w:b/>
          <w:sz w:val="24"/>
        </w:rPr>
        <w:t>院内</w:t>
      </w:r>
      <w:r>
        <w:rPr>
          <w:b/>
          <w:sz w:val="24"/>
        </w:rPr>
        <w:t>采购公告（</w:t>
      </w:r>
      <w:r>
        <w:rPr>
          <w:rFonts w:hint="eastAsia"/>
          <w:b/>
          <w:sz w:val="24"/>
        </w:rPr>
        <w:t>项目编号：CGZX-HCSJ-20260130</w:t>
      </w:r>
      <w:r>
        <w:rPr>
          <w:b/>
          <w:sz w:val="24"/>
        </w:rPr>
        <w:t>）</w:t>
      </w:r>
    </w:p>
    <w:p>
      <w:pPr>
        <w:spacing w:line="360" w:lineRule="auto"/>
        <w:ind w:firstLine="482" w:firstLineChars="200"/>
        <w:rPr>
          <w:b/>
          <w:sz w:val="24"/>
        </w:rPr>
      </w:pPr>
    </w:p>
    <w:p>
      <w:pPr>
        <w:spacing w:line="360" w:lineRule="auto"/>
        <w:ind w:firstLine="480" w:firstLineChars="200"/>
        <w:rPr>
          <w:sz w:val="24"/>
        </w:rPr>
      </w:pPr>
      <w:r>
        <w:rPr>
          <w:sz w:val="24"/>
        </w:rPr>
        <w:t>根据国家及浙江省有关文件精神和医院有关政策，我们坚持公开、公平、公正和诚信的原则，欢迎满足要求的供应商前来参与本项目采购</w:t>
      </w:r>
      <w:r>
        <w:rPr>
          <w:rFonts w:hint="eastAsia"/>
          <w:sz w:val="24"/>
        </w:rPr>
        <w:t>（采购文件详见附件）</w:t>
      </w:r>
      <w:r>
        <w:rPr>
          <w:sz w:val="24"/>
        </w:rPr>
        <w:t>。</w:t>
      </w:r>
    </w:p>
    <w:p>
      <w:pPr>
        <w:spacing w:line="360" w:lineRule="auto"/>
        <w:ind w:firstLine="480" w:firstLineChars="200"/>
        <w:rPr>
          <w:sz w:val="24"/>
        </w:rPr>
      </w:pPr>
    </w:p>
    <w:p>
      <w:pPr>
        <w:spacing w:line="360" w:lineRule="auto"/>
        <w:rPr>
          <w:b/>
          <w:bCs/>
          <w:sz w:val="24"/>
        </w:rPr>
      </w:pPr>
      <w:r>
        <w:rPr>
          <w:b/>
          <w:bCs/>
          <w:sz w:val="24"/>
        </w:rPr>
        <w:t>响应要求：</w:t>
      </w:r>
    </w:p>
    <w:p>
      <w:pPr>
        <w:spacing w:line="360" w:lineRule="auto"/>
        <w:rPr>
          <w:sz w:val="24"/>
        </w:rPr>
      </w:pPr>
      <w:r>
        <w:rPr>
          <w:sz w:val="24"/>
        </w:rPr>
        <w:t>1、提供有效的营业执照复印件并加盖公司公章。</w:t>
      </w:r>
    </w:p>
    <w:p>
      <w:pPr>
        <w:spacing w:line="360" w:lineRule="auto"/>
        <w:rPr>
          <w:sz w:val="24"/>
        </w:rPr>
      </w:pPr>
      <w:r>
        <w:rPr>
          <w:sz w:val="24"/>
        </w:rPr>
        <w:t>2、提供自采购公告发布之日起至公告截止日内任意时间的“信用中国”网站（www.creditchina.gov.cn）的响应供应商信用查询网页截图。</w:t>
      </w:r>
    </w:p>
    <w:p>
      <w:pPr>
        <w:spacing w:line="360" w:lineRule="auto"/>
        <w:rPr>
          <w:sz w:val="24"/>
        </w:rPr>
      </w:pPr>
      <w:r>
        <w:rPr>
          <w:rFonts w:hint="eastAsia"/>
          <w:sz w:val="24"/>
        </w:rPr>
        <w:t>3</w:t>
      </w:r>
      <w:r>
        <w:rPr>
          <w:sz w:val="24"/>
        </w:rPr>
        <w:t>、参与公司必须承诺所有数据要求真实可靠</w:t>
      </w:r>
      <w:r>
        <w:rPr>
          <w:rFonts w:hint="eastAsia"/>
          <w:sz w:val="24"/>
        </w:rPr>
        <w:t>，如发生所供货物与合同、采购文件要求不符，甲方（使用方）有权拒绝收货或退货并终止合同，由此产生的一切责任和后果由乙方承担</w:t>
      </w:r>
      <w:r>
        <w:rPr>
          <w:sz w:val="24"/>
        </w:rPr>
        <w:t>。</w:t>
      </w:r>
    </w:p>
    <w:p>
      <w:pPr>
        <w:spacing w:line="360" w:lineRule="auto"/>
        <w:rPr>
          <w:sz w:val="24"/>
        </w:rPr>
      </w:pPr>
      <w:r>
        <w:rPr>
          <w:rFonts w:hint="eastAsia"/>
          <w:sz w:val="24"/>
        </w:rPr>
        <w:t>4</w:t>
      </w:r>
      <w:r>
        <w:rPr>
          <w:sz w:val="24"/>
        </w:rPr>
        <w:t>、不接受联合体响应，不允许分包和转包。</w:t>
      </w:r>
    </w:p>
    <w:p>
      <w:pPr>
        <w:spacing w:line="360" w:lineRule="auto"/>
        <w:rPr>
          <w:sz w:val="24"/>
        </w:rPr>
      </w:pPr>
      <w:r>
        <w:rPr>
          <w:rFonts w:hint="eastAsia"/>
          <w:sz w:val="24"/>
        </w:rPr>
        <w:t>5</w:t>
      </w:r>
      <w:r>
        <w:rPr>
          <w:sz w:val="24"/>
        </w:rPr>
        <w:t>、响应文件一正三副（固定装订，不强制要求胶装），必须档案袋密封于</w:t>
      </w:r>
      <w:r>
        <w:rPr>
          <w:rFonts w:hint="eastAsia"/>
          <w:sz w:val="24"/>
        </w:rPr>
        <w:t>采购</w:t>
      </w:r>
      <w:r>
        <w:rPr>
          <w:sz w:val="24"/>
        </w:rPr>
        <w:t>现场统一递交，一个</w:t>
      </w:r>
      <w:r>
        <w:rPr>
          <w:rFonts w:hint="eastAsia"/>
          <w:sz w:val="24"/>
        </w:rPr>
        <w:t>项目</w:t>
      </w:r>
      <w:r>
        <w:rPr>
          <w:sz w:val="24"/>
        </w:rPr>
        <w:t>对应一个档案袋。</w:t>
      </w:r>
    </w:p>
    <w:p>
      <w:pPr>
        <w:spacing w:line="360" w:lineRule="auto"/>
        <w:rPr>
          <w:sz w:val="24"/>
        </w:rPr>
      </w:pPr>
      <w:r>
        <w:rPr>
          <w:rFonts w:hint="eastAsia"/>
          <w:sz w:val="24"/>
        </w:rPr>
        <w:t>6</w:t>
      </w:r>
      <w:r>
        <w:rPr>
          <w:sz w:val="24"/>
        </w:rPr>
        <w:t>、</w:t>
      </w:r>
      <w:r>
        <w:rPr>
          <w:rFonts w:hint="eastAsia"/>
          <w:sz w:val="24"/>
        </w:rPr>
        <w:t>采购时间初步定于</w:t>
      </w:r>
      <w:r>
        <w:rPr>
          <w:rFonts w:hint="eastAsia"/>
          <w:b/>
          <w:color w:val="FF0000"/>
          <w:sz w:val="24"/>
        </w:rPr>
        <w:t>202</w:t>
      </w:r>
      <w:r>
        <w:rPr>
          <w:b/>
          <w:color w:val="FF0000"/>
          <w:sz w:val="24"/>
        </w:rPr>
        <w:t>5</w:t>
      </w:r>
      <w:r>
        <w:rPr>
          <w:rFonts w:hint="eastAsia"/>
          <w:b/>
          <w:color w:val="FF0000"/>
          <w:sz w:val="24"/>
        </w:rPr>
        <w:t>年2月9日14:00</w:t>
      </w:r>
      <w:r>
        <w:rPr>
          <w:rFonts w:hint="eastAsia"/>
          <w:sz w:val="24"/>
        </w:rPr>
        <w:t>，地点：浙江大学医学院附属妇产科医院（杭州市学士路1号）</w:t>
      </w:r>
      <w:r>
        <w:rPr>
          <w:rFonts w:hint="eastAsia"/>
          <w:b/>
          <w:sz w:val="24"/>
        </w:rPr>
        <w:t>1号楼</w:t>
      </w:r>
      <w:r>
        <w:rPr>
          <w:b/>
          <w:sz w:val="24"/>
        </w:rPr>
        <w:t>13</w:t>
      </w:r>
      <w:r>
        <w:rPr>
          <w:rFonts w:hint="eastAsia"/>
          <w:b/>
          <w:sz w:val="24"/>
        </w:rPr>
        <w:t>楼1305会议室</w:t>
      </w:r>
      <w:r>
        <w:rPr>
          <w:rFonts w:hint="eastAsia"/>
          <w:sz w:val="24"/>
        </w:rPr>
        <w:t>，</w:t>
      </w:r>
      <w:r>
        <w:rPr>
          <w:b/>
          <w:bCs/>
          <w:color w:val="FF0000"/>
          <w:sz w:val="24"/>
        </w:rPr>
        <w:t>报名</w:t>
      </w:r>
      <w:r>
        <w:rPr>
          <w:b/>
          <w:color w:val="FF0000"/>
          <w:sz w:val="24"/>
        </w:rPr>
        <w:t>截止日期为</w:t>
      </w:r>
      <w:r>
        <w:rPr>
          <w:rFonts w:hint="eastAsia"/>
          <w:b/>
          <w:color w:val="FF0000"/>
          <w:sz w:val="24"/>
        </w:rPr>
        <w:t>2月6日16:00</w:t>
      </w:r>
      <w:r>
        <w:rPr>
          <w:sz w:val="24"/>
        </w:rPr>
        <w:t>（报名以邮件为准，邮件标题请注明采购编号及所投</w:t>
      </w:r>
      <w:r>
        <w:rPr>
          <w:rFonts w:hint="eastAsia"/>
          <w:sz w:val="24"/>
        </w:rPr>
        <w:t>项目</w:t>
      </w:r>
      <w:r>
        <w:rPr>
          <w:sz w:val="24"/>
        </w:rPr>
        <w:t>号，</w:t>
      </w:r>
      <w:r>
        <w:rPr>
          <w:b/>
          <w:sz w:val="24"/>
        </w:rPr>
        <w:t>邮件内容请注明</w:t>
      </w:r>
      <w:r>
        <w:rPr>
          <w:rFonts w:hint="eastAsia"/>
          <w:b/>
          <w:sz w:val="24"/>
        </w:rPr>
        <w:t>响应</w:t>
      </w:r>
      <w:r>
        <w:rPr>
          <w:b/>
          <w:sz w:val="24"/>
        </w:rPr>
        <w:t>公司名称、</w:t>
      </w:r>
      <w:r>
        <w:rPr>
          <w:rFonts w:hint="eastAsia"/>
          <w:b/>
          <w:sz w:val="24"/>
        </w:rPr>
        <w:t>授权</w:t>
      </w:r>
      <w:r>
        <w:rPr>
          <w:b/>
          <w:sz w:val="24"/>
        </w:rPr>
        <w:t>人姓名及联系方</w:t>
      </w:r>
      <w:r>
        <w:rPr>
          <w:rFonts w:hint="eastAsia"/>
          <w:b/>
          <w:sz w:val="24"/>
        </w:rPr>
        <w:t>式，生产厂家，规格型号，医疗器械注册证号、两定平台产品ID等</w:t>
      </w:r>
      <w:r>
        <w:rPr>
          <w:sz w:val="24"/>
        </w:rPr>
        <w:t>）</w:t>
      </w:r>
      <w:r>
        <w:rPr>
          <w:rFonts w:hint="eastAsia"/>
          <w:sz w:val="24"/>
        </w:rPr>
        <w:t>。</w:t>
      </w:r>
    </w:p>
    <w:p>
      <w:pPr>
        <w:spacing w:line="360" w:lineRule="auto"/>
        <w:rPr>
          <w:sz w:val="24"/>
        </w:rPr>
      </w:pPr>
      <w:r>
        <w:rPr>
          <w:rFonts w:hint="eastAsia"/>
          <w:sz w:val="24"/>
        </w:rPr>
        <w:t>7</w:t>
      </w:r>
      <w:r>
        <w:rPr>
          <w:sz w:val="24"/>
        </w:rPr>
        <w:t>、以上事项均为必须项，任何一项不满足均取消响应资格。</w:t>
      </w:r>
    </w:p>
    <w:p>
      <w:pPr>
        <w:spacing w:line="360" w:lineRule="auto"/>
        <w:rPr>
          <w:b/>
          <w:bCs/>
          <w:sz w:val="24"/>
        </w:rPr>
      </w:pPr>
    </w:p>
    <w:p>
      <w:pPr>
        <w:spacing w:line="360" w:lineRule="auto"/>
        <w:rPr>
          <w:b/>
          <w:bCs/>
          <w:sz w:val="24"/>
        </w:rPr>
      </w:pPr>
    </w:p>
    <w:p>
      <w:pPr>
        <w:spacing w:line="360" w:lineRule="auto"/>
        <w:rPr>
          <w:b/>
          <w:bCs/>
          <w:sz w:val="24"/>
        </w:rPr>
      </w:pPr>
      <w:r>
        <w:rPr>
          <w:b/>
          <w:bCs/>
          <w:sz w:val="24"/>
        </w:rPr>
        <w:t>其他事项：</w:t>
      </w:r>
    </w:p>
    <w:p>
      <w:pPr>
        <w:rPr>
          <w:sz w:val="24"/>
        </w:rPr>
      </w:pPr>
      <w:r>
        <w:rPr>
          <w:sz w:val="24"/>
        </w:rPr>
        <w:t>咨询、报名电话：</w:t>
      </w:r>
      <w:r>
        <w:rPr>
          <w:rFonts w:hint="eastAsia"/>
          <w:sz w:val="24"/>
        </w:rPr>
        <w:t>采购中心 施老师89991092</w:t>
      </w:r>
      <w:r>
        <w:rPr>
          <w:sz w:val="24"/>
        </w:rPr>
        <w:t>。EMAIL：</w:t>
      </w:r>
      <w:r>
        <w:rPr>
          <w:rFonts w:hint="eastAsia"/>
          <w:sz w:val="24"/>
        </w:rPr>
        <w:t>CGZX_SCF@163.com</w:t>
      </w:r>
    </w:p>
    <w:p>
      <w:r>
        <w:rPr>
          <w:rFonts w:hint="eastAsia"/>
        </w:rPr>
        <w:br w:type="page"/>
      </w:r>
    </w:p>
    <w:p>
      <w:pPr>
        <w:pStyle w:val="12"/>
      </w:pPr>
      <w:bookmarkStart w:id="1" w:name="_Toc220618497"/>
      <w:r>
        <w:rPr>
          <w:rFonts w:hint="eastAsia"/>
        </w:rPr>
        <w:t xml:space="preserve">第二章 </w:t>
      </w:r>
      <w:r>
        <w:t>采购内容</w:t>
      </w:r>
      <w:r>
        <w:rPr>
          <w:rFonts w:hint="eastAsia"/>
        </w:rPr>
        <w:t>及</w:t>
      </w:r>
      <w:r>
        <w:t>需求</w:t>
      </w:r>
      <w:bookmarkEnd w:id="1"/>
    </w:p>
    <w:p>
      <w:pPr>
        <w:rPr>
          <w:b/>
          <w:sz w:val="32"/>
          <w:szCs w:val="32"/>
        </w:rPr>
      </w:pPr>
      <w:r>
        <w:rPr>
          <w:rFonts w:hint="eastAsia"/>
          <w:b/>
          <w:sz w:val="32"/>
          <w:szCs w:val="32"/>
        </w:rPr>
        <w:t>一</w:t>
      </w:r>
      <w:r>
        <w:rPr>
          <w:b/>
          <w:sz w:val="32"/>
          <w:szCs w:val="32"/>
        </w:rPr>
        <w:t>、总体要求：</w:t>
      </w:r>
    </w:p>
    <w:p>
      <w:pPr>
        <w:spacing w:line="360" w:lineRule="auto"/>
        <w:rPr>
          <w:rFonts w:ascii="Calibri" w:hAnsi="Calibri"/>
          <w:sz w:val="24"/>
        </w:rPr>
      </w:pPr>
      <w:r>
        <w:rPr>
          <w:rFonts w:hint="eastAsia" w:ascii="Calibri" w:hAnsi="Calibri"/>
          <w:sz w:val="24"/>
        </w:rPr>
        <w:t>1、成交供应商在保证成交产品质量、执行国家物价的前提下按约定的品种、规格、数量、价格、供货方式等供货，保证临床使用不断档。</w:t>
      </w:r>
    </w:p>
    <w:p>
      <w:pPr>
        <w:spacing w:line="360" w:lineRule="auto"/>
        <w:rPr>
          <w:rFonts w:ascii="Calibri" w:hAnsi="Calibri"/>
          <w:sz w:val="24"/>
        </w:rPr>
      </w:pPr>
      <w:r>
        <w:rPr>
          <w:rFonts w:hint="eastAsia" w:ascii="Calibri" w:hAnsi="Calibri"/>
          <w:sz w:val="24"/>
        </w:rPr>
        <w:t>2、成交供应商必须产品齐全，不得以任何借口（如无货，采购量少等）不执行医院相关成交产品的采购计划。某些品种成交供应商确定无法供货，医院有权选择其他供应商。</w:t>
      </w:r>
    </w:p>
    <w:p>
      <w:pPr>
        <w:spacing w:line="360" w:lineRule="auto"/>
        <w:rPr>
          <w:rFonts w:ascii="Calibri" w:hAnsi="Calibri"/>
          <w:sz w:val="24"/>
        </w:rPr>
      </w:pPr>
      <w:r>
        <w:rPr>
          <w:rFonts w:hint="eastAsia" w:ascii="Calibri" w:hAnsi="Calibri"/>
          <w:sz w:val="24"/>
        </w:rPr>
        <w:t>3、签约或履约期间，有入围供应商不能签约或履约的，允许按评审结果排名先后替补。</w:t>
      </w:r>
    </w:p>
    <w:p>
      <w:pPr>
        <w:spacing w:line="360" w:lineRule="auto"/>
        <w:rPr>
          <w:rFonts w:ascii="Calibri" w:hAnsi="Calibri"/>
          <w:sz w:val="24"/>
        </w:rPr>
      </w:pPr>
      <w:r>
        <w:rPr>
          <w:rFonts w:hint="eastAsia" w:ascii="Calibri" w:hAnsi="Calibri"/>
          <w:sz w:val="24"/>
        </w:rPr>
        <w:t>4、若遇国家重大政策调整影响合同执行的情况，双方可共同友好协商解决。</w:t>
      </w:r>
    </w:p>
    <w:p>
      <w:pPr>
        <w:spacing w:line="360" w:lineRule="auto"/>
        <w:rPr>
          <w:rFonts w:ascii="Calibri" w:hAnsi="Calibri"/>
          <w:sz w:val="24"/>
        </w:rPr>
      </w:pPr>
      <w:r>
        <w:rPr>
          <w:rFonts w:hint="eastAsia" w:ascii="Calibri" w:hAnsi="Calibri"/>
          <w:sz w:val="24"/>
        </w:rPr>
        <w:t>5、项目开展如需配套设备，以租赁形式另行采购。</w:t>
      </w:r>
    </w:p>
    <w:p>
      <w:pPr>
        <w:spacing w:line="360" w:lineRule="auto"/>
        <w:rPr>
          <w:rFonts w:ascii="Calibri" w:hAnsi="Calibri"/>
          <w:sz w:val="24"/>
        </w:rPr>
      </w:pPr>
      <w:r>
        <w:rPr>
          <w:rFonts w:hint="eastAsia" w:ascii="Calibri" w:hAnsi="Calibri"/>
          <w:sz w:val="24"/>
        </w:rPr>
        <w:t>6、</w:t>
      </w:r>
      <w:r>
        <w:rPr>
          <w:rFonts w:hint="eastAsia" w:ascii="宋体" w:hAnsi="宋体"/>
          <w:color w:val="0D0D0D"/>
          <w:sz w:val="24"/>
        </w:rPr>
        <w:t>如果参与采购的产品所对应的目录是两定机构医疗保障信息平台目录内的，则相应参与采购的产品必须拥有产品代码（尚未列入两定机构医疗保障信息平台目录的除外）。若不能满足，则相应参与采购的产品作</w:t>
      </w:r>
      <w:r>
        <w:rPr>
          <w:rFonts w:hint="eastAsia" w:hAnsi="宋体"/>
          <w:sz w:val="24"/>
        </w:rPr>
        <w:t>废标处理</w:t>
      </w:r>
      <w:r>
        <w:rPr>
          <w:rFonts w:hint="eastAsia" w:ascii="宋体" w:hAnsi="宋体"/>
          <w:color w:val="0D0D0D"/>
          <w:sz w:val="24"/>
        </w:rPr>
        <w:t>。</w:t>
      </w:r>
    </w:p>
    <w:p>
      <w:pPr>
        <w:spacing w:line="360" w:lineRule="auto"/>
        <w:rPr>
          <w:sz w:val="24"/>
        </w:rPr>
      </w:pPr>
      <w:r>
        <w:rPr>
          <w:rFonts w:hint="eastAsia"/>
          <w:sz w:val="24"/>
        </w:rPr>
        <w:t>7、“</w:t>
      </w:r>
      <w:bookmarkStart w:id="2" w:name="OLE_LINK1"/>
      <w:r>
        <w:rPr>
          <w:rFonts w:hint="eastAsia"/>
          <w:sz w:val="24"/>
        </w:rPr>
        <w:t>▲</w:t>
      </w:r>
      <w:bookmarkEnd w:id="2"/>
      <w:r>
        <w:rPr>
          <w:rFonts w:hint="eastAsia"/>
          <w:sz w:val="24"/>
        </w:rPr>
        <w:t>”为实质性条款，若不满足响应无效。“</w:t>
      </w:r>
      <w:r>
        <w:rPr>
          <w:sz w:val="24"/>
        </w:rPr>
        <w:t>Δ</w:t>
      </w:r>
      <w:r>
        <w:rPr>
          <w:rFonts w:hint="eastAsia"/>
          <w:sz w:val="24"/>
        </w:rPr>
        <w:t>”为重点条款。</w:t>
      </w:r>
    </w:p>
    <w:p>
      <w:pPr>
        <w:rPr>
          <w:b/>
          <w:sz w:val="32"/>
          <w:szCs w:val="32"/>
        </w:rPr>
      </w:pP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textAlignment w:val="baseline"/>
        <w:rPr>
          <w:b/>
          <w:sz w:val="32"/>
          <w:szCs w:val="32"/>
        </w:rPr>
      </w:pPr>
      <w:r>
        <w:rPr>
          <w:rFonts w:hint="eastAsia"/>
          <w:b/>
          <w:sz w:val="32"/>
          <w:szCs w:val="32"/>
        </w:rPr>
        <w:t>二、采购内容技术</w:t>
      </w:r>
      <w:r>
        <w:rPr>
          <w:b/>
          <w:sz w:val="32"/>
          <w:szCs w:val="32"/>
        </w:rPr>
        <w:t>要求</w:t>
      </w:r>
      <w:r>
        <w:rPr>
          <w:rFonts w:hint="eastAsia"/>
          <w:b/>
          <w:sz w:val="32"/>
          <w:szCs w:val="32"/>
        </w:rPr>
        <w:t>：</w:t>
      </w:r>
    </w:p>
    <w:p>
      <w:pPr>
        <w:spacing w:line="360" w:lineRule="auto"/>
        <w:rPr>
          <w:b/>
          <w:szCs w:val="21"/>
        </w:rPr>
      </w:pPr>
      <w:bookmarkStart w:id="3" w:name="OLE_LINK3"/>
      <w:r>
        <w:rPr>
          <w:rFonts w:hint="eastAsia"/>
          <w:b/>
          <w:szCs w:val="21"/>
        </w:rPr>
        <w:t xml:space="preserve">项目一: </w:t>
      </w:r>
      <w:bookmarkEnd w:id="3"/>
      <w:r>
        <w:rPr>
          <w:rFonts w:hint="eastAsia"/>
          <w:b/>
          <w:szCs w:val="21"/>
        </w:rPr>
        <w:t>精浆生化试剂（预算45万元）</w:t>
      </w:r>
    </w:p>
    <w:tbl>
      <w:tblPr>
        <w:tblStyle w:val="15"/>
        <w:tblpPr w:leftFromText="180" w:rightFromText="180" w:vertAnchor="text" w:horzAnchor="page" w:tblpXSpec="center" w:tblpY="139"/>
        <w:tblOverlap w:val="never"/>
        <w:tblW w:w="572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0"/>
        <w:gridCol w:w="9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478" w:type="pct"/>
          </w:tcPr>
          <w:p>
            <w:pPr>
              <w:ind w:right="-340" w:rightChars="-162" w:firstLine="211" w:firstLineChars="100"/>
              <w:jc w:val="left"/>
              <w:rPr>
                <w:rFonts w:hint="eastAsia" w:asciiTheme="majorEastAsia" w:hAnsiTheme="majorEastAsia" w:eastAsiaTheme="majorEastAsia"/>
                <w:bCs/>
                <w:szCs w:val="21"/>
              </w:rPr>
            </w:pPr>
            <w:r>
              <w:rPr>
                <w:rFonts w:hint="eastAsia" w:asciiTheme="majorEastAsia" w:hAnsiTheme="majorEastAsia" w:eastAsiaTheme="majorEastAsia"/>
                <w:b/>
                <w:szCs w:val="21"/>
              </w:rPr>
              <w:t>一</w:t>
            </w:r>
          </w:p>
        </w:tc>
        <w:tc>
          <w:tcPr>
            <w:tcW w:w="4521" w:type="pct"/>
          </w:tcPr>
          <w:p>
            <w:pPr>
              <w:ind w:right="-340" w:rightChars="-162"/>
              <w:jc w:val="left"/>
              <w:rPr>
                <w:rFonts w:hint="eastAsia" w:asciiTheme="majorEastAsia" w:hAnsiTheme="majorEastAsia" w:eastAsiaTheme="majorEastAsia"/>
                <w:bCs/>
                <w:szCs w:val="21"/>
              </w:rPr>
            </w:pPr>
            <w:r>
              <w:rPr>
                <w:rFonts w:hint="eastAsia" w:asciiTheme="majorEastAsia" w:hAnsiTheme="majorEastAsia" w:eastAsiaTheme="majorEastAsia"/>
                <w:bCs/>
                <w:szCs w:val="21"/>
              </w:rPr>
              <w:t>项目概述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478" w:type="pct"/>
          </w:tcPr>
          <w:p>
            <w:pPr>
              <w:ind w:right="-340" w:rightChars="-162" w:firstLine="210" w:firstLineChars="100"/>
              <w:rPr>
                <w:rFonts w:hint="eastAsia" w:asciiTheme="majorEastAsia" w:hAnsiTheme="majorEastAsia" w:eastAsiaTheme="majorEastAsia"/>
                <w:bCs/>
                <w:szCs w:val="21"/>
              </w:rPr>
            </w:pPr>
            <w:r>
              <w:rPr>
                <w:rFonts w:hint="eastAsia" w:asciiTheme="majorEastAsia" w:hAnsiTheme="majorEastAsia" w:eastAsiaTheme="majorEastAsia"/>
                <w:bCs/>
                <w:szCs w:val="21"/>
              </w:rPr>
              <w:t>1.1</w:t>
            </w:r>
          </w:p>
        </w:tc>
        <w:tc>
          <w:tcPr>
            <w:tcW w:w="4521" w:type="pct"/>
          </w:tcPr>
          <w:p>
            <w:pPr>
              <w:ind w:right="-340" w:rightChars="-162"/>
              <w:rPr>
                <w:rFonts w:hint="eastAsia" w:asciiTheme="majorEastAsia" w:hAnsiTheme="majorEastAsia" w:eastAsiaTheme="majorEastAsia"/>
                <w:bCs/>
                <w:szCs w:val="21"/>
              </w:rPr>
            </w:pPr>
            <w:r>
              <w:rPr>
                <w:rFonts w:hint="eastAsia" w:asciiTheme="majorEastAsia" w:hAnsiTheme="majorEastAsia" w:eastAsiaTheme="majorEastAsia"/>
                <w:bCs/>
                <w:szCs w:val="21"/>
              </w:rPr>
              <w:t>项目用于精液的精浆生化分析及精子免疫性抗体分析。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478" w:type="pct"/>
          </w:tcPr>
          <w:p>
            <w:pPr>
              <w:ind w:right="-340" w:rightChars="-162" w:firstLine="210" w:firstLineChars="100"/>
              <w:rPr>
                <w:rFonts w:hint="eastAsia" w:asciiTheme="majorEastAsia" w:hAnsiTheme="majorEastAsia" w:eastAsiaTheme="majorEastAsia"/>
                <w:bCs/>
                <w:szCs w:val="21"/>
              </w:rPr>
            </w:pPr>
            <w:r>
              <w:rPr>
                <w:rFonts w:hint="eastAsia" w:asciiTheme="majorEastAsia" w:hAnsiTheme="majorEastAsia" w:eastAsiaTheme="majorEastAsia"/>
                <w:bCs/>
                <w:szCs w:val="21"/>
              </w:rPr>
              <w:t>1.2</w:t>
            </w:r>
          </w:p>
        </w:tc>
        <w:tc>
          <w:tcPr>
            <w:tcW w:w="4521" w:type="pct"/>
          </w:tcPr>
          <w:p>
            <w:pPr>
              <w:rPr>
                <w:rFonts w:hint="eastAsia" w:asciiTheme="majorEastAsia" w:hAnsiTheme="majorEastAsia" w:eastAsiaTheme="majorEastAsia"/>
                <w:bCs/>
                <w:szCs w:val="21"/>
              </w:rPr>
            </w:pPr>
            <w:r>
              <w:rPr>
                <w:rFonts w:hint="eastAsia" w:asciiTheme="majorEastAsia" w:hAnsiTheme="majorEastAsia" w:eastAsiaTheme="majorEastAsia"/>
                <w:bCs/>
                <w:szCs w:val="21"/>
              </w:rPr>
              <w:t>产品主要针对生殖中心育龄期男性不育症的诊断和病因查找、男性生育能力的评估、辅助生殖方法的选择及结局预测。对相关疾病诊断具有非常大的临床价值。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478" w:type="pct"/>
          </w:tcPr>
          <w:p>
            <w:pPr>
              <w:ind w:right="-340" w:rightChars="-162" w:firstLine="211" w:firstLineChars="100"/>
              <w:rPr>
                <w:rFonts w:hint="eastAsia" w:asciiTheme="majorEastAsia" w:hAnsiTheme="majorEastAsia" w:eastAsiaTheme="majorEastAsia"/>
                <w:b/>
                <w:szCs w:val="21"/>
              </w:rPr>
            </w:pPr>
            <w:r>
              <w:rPr>
                <w:rFonts w:hint="eastAsia" w:asciiTheme="majorEastAsia" w:hAnsiTheme="majorEastAsia" w:eastAsiaTheme="majorEastAsia"/>
                <w:b/>
                <w:szCs w:val="21"/>
              </w:rPr>
              <w:t>二</w:t>
            </w:r>
          </w:p>
        </w:tc>
        <w:tc>
          <w:tcPr>
            <w:tcW w:w="4521" w:type="pct"/>
          </w:tcPr>
          <w:p>
            <w:pPr>
              <w:ind w:right="-340" w:rightChars="-162"/>
              <w:rPr>
                <w:rFonts w:hint="eastAsia" w:asciiTheme="majorEastAsia" w:hAnsiTheme="majorEastAsia" w:eastAsiaTheme="majorEastAsia"/>
                <w:b/>
                <w:szCs w:val="21"/>
              </w:rPr>
            </w:pPr>
            <w:r>
              <w:rPr>
                <w:rFonts w:hint="eastAsia" w:ascii="宋体" w:hAnsi="宋体"/>
                <w:b/>
                <w:szCs w:val="21"/>
              </w:rPr>
              <w:t>项目要求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478" w:type="pct"/>
          </w:tcPr>
          <w:p>
            <w:pPr>
              <w:ind w:right="-340" w:rightChars="-162" w:firstLine="210" w:firstLineChars="100"/>
              <w:rPr>
                <w:rFonts w:hint="eastAsia" w:asciiTheme="majorEastAsia" w:hAnsiTheme="majorEastAsia" w:eastAsiaTheme="majorEastAsia"/>
                <w:bCs/>
                <w:szCs w:val="21"/>
              </w:rPr>
            </w:pPr>
            <w:r>
              <w:rPr>
                <w:rFonts w:hint="eastAsia" w:asciiTheme="majorEastAsia" w:hAnsiTheme="majorEastAsia" w:eastAsiaTheme="majorEastAsia"/>
                <w:bCs/>
                <w:szCs w:val="21"/>
              </w:rPr>
              <w:t>2.1</w:t>
            </w:r>
          </w:p>
        </w:tc>
        <w:tc>
          <w:tcPr>
            <w:tcW w:w="4521" w:type="pct"/>
          </w:tcPr>
          <w:p>
            <w:pPr>
              <w:ind w:right="-340" w:rightChars="-162"/>
              <w:rPr>
                <w:rFonts w:hint="eastAsia" w:asciiTheme="majorEastAsia" w:hAnsiTheme="majorEastAsia" w:eastAsiaTheme="majorEastAsia"/>
                <w:bCs/>
                <w:szCs w:val="21"/>
              </w:rPr>
            </w:pPr>
            <w:r>
              <w:rPr>
                <w:rFonts w:hint="eastAsia" w:ascii="宋体" w:hAnsi="宋体" w:cs="宋体"/>
                <w:b/>
                <w:bCs/>
                <w:color w:val="000000"/>
                <w:kern w:val="0"/>
                <w:szCs w:val="21"/>
              </w:rPr>
              <w:t>性能要求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8" w:type="pct"/>
          </w:tcPr>
          <w:p>
            <w:pPr>
              <w:ind w:right="-340" w:rightChars="-162" w:firstLine="210" w:firstLineChars="100"/>
              <w:rPr>
                <w:rFonts w:hint="eastAsia" w:asciiTheme="majorEastAsia" w:hAnsiTheme="majorEastAsia" w:eastAsiaTheme="majorEastAsia"/>
                <w:bCs/>
                <w:szCs w:val="21"/>
              </w:rPr>
            </w:pPr>
            <w:r>
              <w:rPr>
                <w:rFonts w:hint="eastAsia" w:asciiTheme="majorEastAsia" w:hAnsiTheme="majorEastAsia" w:eastAsiaTheme="majorEastAsia"/>
                <w:bCs/>
                <w:szCs w:val="21"/>
              </w:rPr>
              <w:t>2.1.1</w:t>
            </w:r>
          </w:p>
        </w:tc>
        <w:tc>
          <w:tcPr>
            <w:tcW w:w="4521" w:type="pct"/>
          </w:tcPr>
          <w:p>
            <w:pPr>
              <w:ind w:right="-340" w:rightChars="-162"/>
              <w:rPr>
                <w:rFonts w:hint="eastAsia" w:asciiTheme="majorEastAsia" w:hAnsiTheme="majorEastAsia" w:eastAsiaTheme="majorEastAsia"/>
                <w:bCs/>
                <w:szCs w:val="21"/>
              </w:rPr>
            </w:pPr>
            <w:r>
              <w:rPr>
                <w:rFonts w:hint="eastAsia" w:asciiTheme="majorEastAsia" w:hAnsiTheme="majorEastAsia" w:eastAsiaTheme="majorEastAsia"/>
                <w:bCs/>
                <w:szCs w:val="21"/>
              </w:rPr>
              <w:t>精浆锌测定：</w:t>
            </w:r>
          </w:p>
          <w:p>
            <w:pPr>
              <w:ind w:right="-340" w:rightChars="-162"/>
              <w:rPr>
                <w:rFonts w:hint="eastAsia" w:asciiTheme="majorEastAsia" w:hAnsiTheme="majorEastAsia" w:eastAsiaTheme="majorEastAsia"/>
                <w:bCs/>
                <w:szCs w:val="21"/>
              </w:rPr>
            </w:pPr>
            <w:r>
              <w:rPr>
                <w:rFonts w:hint="eastAsia" w:asciiTheme="majorEastAsia" w:hAnsiTheme="majorEastAsia" w:eastAsiaTheme="majorEastAsia"/>
                <w:bCs/>
                <w:szCs w:val="21"/>
              </w:rPr>
              <w:t>1、剂空白吸光度OD值应≤0.45</w:t>
            </w:r>
          </w:p>
          <w:p>
            <w:pPr>
              <w:ind w:right="-340" w:rightChars="-162"/>
              <w:rPr>
                <w:rFonts w:hint="eastAsia" w:asciiTheme="majorEastAsia" w:hAnsiTheme="majorEastAsia" w:eastAsiaTheme="majorEastAsia"/>
                <w:bCs/>
                <w:szCs w:val="21"/>
              </w:rPr>
            </w:pPr>
            <w:r>
              <w:rPr>
                <w:rFonts w:hint="eastAsia" w:asciiTheme="majorEastAsia" w:hAnsiTheme="majorEastAsia" w:eastAsiaTheme="majorEastAsia"/>
                <w:bCs/>
                <w:szCs w:val="21"/>
              </w:rPr>
              <w:t>2、重复性变异系数（CV）应≤8%</w:t>
            </w:r>
          </w:p>
          <w:p>
            <w:pPr>
              <w:ind w:right="-340" w:rightChars="-162"/>
              <w:rPr>
                <w:rFonts w:hint="eastAsia" w:asciiTheme="majorEastAsia" w:hAnsiTheme="majorEastAsia" w:eastAsiaTheme="majorEastAsia"/>
                <w:bCs/>
                <w:szCs w:val="21"/>
              </w:rPr>
            </w:pPr>
            <w:r>
              <w:rPr>
                <w:rFonts w:hint="eastAsia" w:asciiTheme="majorEastAsia" w:hAnsiTheme="majorEastAsia" w:eastAsiaTheme="majorEastAsia"/>
                <w:bCs/>
                <w:szCs w:val="21"/>
              </w:rPr>
              <w:t>3、准确度相对偏差应在±5%范围内</w:t>
            </w:r>
          </w:p>
          <w:p>
            <w:pPr>
              <w:ind w:right="-340" w:rightChars="-162"/>
              <w:rPr>
                <w:rFonts w:hint="eastAsia" w:asciiTheme="majorEastAsia" w:hAnsiTheme="majorEastAsia" w:eastAsiaTheme="majorEastAsia"/>
                <w:bCs/>
                <w:szCs w:val="21"/>
              </w:rPr>
            </w:pPr>
            <w:r>
              <w:rPr>
                <w:rFonts w:hint="eastAsia" w:asciiTheme="majorEastAsia" w:hAnsiTheme="majorEastAsia" w:eastAsiaTheme="majorEastAsia"/>
                <w:bCs/>
                <w:szCs w:val="21"/>
              </w:rPr>
              <w:t>5、锌校准液的均一性：瓶间重复性CV应≤10%</w:t>
            </w:r>
          </w:p>
          <w:p>
            <w:pPr>
              <w:ind w:right="-340" w:rightChars="-162"/>
              <w:rPr>
                <w:rFonts w:hint="eastAsia" w:asciiTheme="majorEastAsia" w:hAnsiTheme="majorEastAsia" w:eastAsiaTheme="majorEastAsia"/>
                <w:bCs/>
                <w:szCs w:val="21"/>
              </w:rPr>
            </w:pPr>
            <w:r>
              <w:rPr>
                <w:rFonts w:hint="eastAsia" w:asciiTheme="majorEastAsia" w:hAnsiTheme="majorEastAsia" w:eastAsiaTheme="majorEastAsia"/>
                <w:bCs/>
                <w:szCs w:val="21"/>
              </w:rPr>
              <w:t>6、线性：在0.2mmol/L-6.0mmol/L范围内，线性相关系数（r）≥0.9900</w:t>
            </w:r>
          </w:p>
          <w:p>
            <w:pPr>
              <w:ind w:right="-340" w:rightChars="-162"/>
              <w:rPr>
                <w:rFonts w:hint="eastAsia" w:asciiTheme="majorEastAsia" w:hAnsiTheme="majorEastAsia" w:eastAsiaTheme="majorEastAsia"/>
                <w:bCs/>
                <w:szCs w:val="21"/>
              </w:rPr>
            </w:pPr>
            <w:r>
              <w:rPr>
                <w:rFonts w:hint="eastAsia" w:asciiTheme="majorEastAsia" w:hAnsiTheme="majorEastAsia" w:eastAsiaTheme="majorEastAsia"/>
                <w:bCs/>
                <w:szCs w:val="21"/>
              </w:rPr>
              <w:t>7、锌质控品的测量准确度与理论值的相对偏差应在±5%范围内（提供注册的产品技术要求文件）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478" w:type="pct"/>
          </w:tcPr>
          <w:p>
            <w:pPr>
              <w:ind w:right="-340" w:rightChars="-162" w:firstLine="210" w:firstLineChars="100"/>
              <w:rPr>
                <w:rFonts w:hint="eastAsia" w:asciiTheme="majorEastAsia" w:hAnsiTheme="majorEastAsia" w:eastAsiaTheme="majorEastAsia"/>
                <w:bCs/>
                <w:szCs w:val="21"/>
              </w:rPr>
            </w:pPr>
            <w:r>
              <w:rPr>
                <w:rFonts w:hint="eastAsia" w:asciiTheme="majorEastAsia" w:hAnsiTheme="majorEastAsia" w:eastAsiaTheme="majorEastAsia"/>
                <w:bCs/>
                <w:szCs w:val="21"/>
              </w:rPr>
              <w:t>2.1.2</w:t>
            </w:r>
          </w:p>
        </w:tc>
        <w:tc>
          <w:tcPr>
            <w:tcW w:w="4521" w:type="pct"/>
          </w:tcPr>
          <w:p>
            <w:pPr>
              <w:ind w:right="-340" w:rightChars="-162"/>
              <w:rPr>
                <w:rFonts w:hint="eastAsia" w:ascii="宋体" w:hAnsi="宋体" w:cs="宋体"/>
                <w:szCs w:val="21"/>
              </w:rPr>
            </w:pPr>
            <w:r>
              <w:rPr>
                <w:rFonts w:hint="eastAsia" w:ascii="宋体" w:hAnsi="宋体" w:cs="宋体"/>
                <w:szCs w:val="21"/>
              </w:rPr>
              <w:t>精浆果糖测定（己糖激酶法）：</w:t>
            </w:r>
          </w:p>
          <w:p>
            <w:pPr>
              <w:ind w:right="-340" w:rightChars="-162"/>
              <w:rPr>
                <w:rFonts w:hint="eastAsia" w:ascii="宋体" w:hAnsi="宋体" w:cs="宋体"/>
                <w:szCs w:val="21"/>
              </w:rPr>
            </w:pPr>
            <w:r>
              <w:rPr>
                <w:rFonts w:hint="eastAsia" w:ascii="宋体" w:hAnsi="宋体" w:cs="宋体"/>
                <w:szCs w:val="21"/>
              </w:rPr>
              <w:t>1、空白限应≤0.5mmol/L</w:t>
            </w:r>
          </w:p>
          <w:p>
            <w:pPr>
              <w:ind w:right="-340" w:rightChars="-162"/>
              <w:rPr>
                <w:rFonts w:hint="eastAsia" w:ascii="宋体" w:hAnsi="宋体" w:cs="宋体"/>
                <w:szCs w:val="21"/>
              </w:rPr>
            </w:pPr>
            <w:r>
              <w:rPr>
                <w:rFonts w:hint="eastAsia" w:ascii="宋体" w:hAnsi="宋体" w:cs="宋体"/>
                <w:szCs w:val="21"/>
              </w:rPr>
              <w:t>2、重复性变异系数（CV）应≤8%</w:t>
            </w:r>
          </w:p>
          <w:p>
            <w:pPr>
              <w:ind w:right="-340" w:rightChars="-162"/>
              <w:rPr>
                <w:rFonts w:hint="eastAsia" w:ascii="宋体" w:hAnsi="宋体" w:cs="宋体"/>
                <w:szCs w:val="21"/>
              </w:rPr>
            </w:pPr>
            <w:r>
              <w:rPr>
                <w:rFonts w:hint="eastAsia" w:ascii="宋体" w:hAnsi="宋体" w:cs="宋体"/>
                <w:szCs w:val="21"/>
              </w:rPr>
              <w:t>3、准确度相对偏差应在±10%范围内</w:t>
            </w:r>
          </w:p>
          <w:p>
            <w:pPr>
              <w:ind w:right="-340" w:rightChars="-162"/>
              <w:rPr>
                <w:rFonts w:hint="eastAsia" w:ascii="宋体" w:hAnsi="宋体" w:cs="宋体"/>
                <w:szCs w:val="21"/>
              </w:rPr>
            </w:pPr>
            <w:r>
              <w:rPr>
                <w:rFonts w:hint="eastAsia" w:ascii="宋体" w:hAnsi="宋体" w:cs="宋体"/>
                <w:szCs w:val="21"/>
              </w:rPr>
              <w:t>4、线性：在2.5mmol/L-35.0mmol/L范围内，线性相关系数（r）≥0.9900。</w:t>
            </w:r>
          </w:p>
          <w:p>
            <w:pPr>
              <w:ind w:right="-340" w:rightChars="-162"/>
              <w:rPr>
                <w:rFonts w:hint="eastAsia" w:ascii="宋体" w:hAnsi="宋体" w:cs="宋体"/>
                <w:szCs w:val="21"/>
              </w:rPr>
            </w:pPr>
            <w:r>
              <w:rPr>
                <w:rFonts w:hint="eastAsia" w:asciiTheme="majorEastAsia" w:hAnsiTheme="majorEastAsia" w:eastAsiaTheme="majorEastAsia"/>
                <w:bCs/>
                <w:szCs w:val="21"/>
              </w:rPr>
              <w:t>5</w:t>
            </w:r>
            <w:r>
              <w:rPr>
                <w:rFonts w:hint="eastAsia" w:ascii="宋体" w:hAnsi="宋体" w:cs="宋体"/>
                <w:szCs w:val="21"/>
              </w:rPr>
              <w:t>、果糖质控品的测量准确度与理论值的相对偏差应在±5%范围内</w:t>
            </w:r>
            <w:r>
              <w:rPr>
                <w:rFonts w:hint="eastAsia" w:asciiTheme="majorEastAsia" w:hAnsiTheme="majorEastAsia" w:eastAsiaTheme="majorEastAsia"/>
                <w:bCs/>
                <w:szCs w:val="21"/>
              </w:rPr>
              <w:t>（提供注册的产品技术要求文件）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478" w:type="pct"/>
          </w:tcPr>
          <w:p>
            <w:pPr>
              <w:ind w:right="-340" w:rightChars="-162" w:firstLine="210" w:firstLineChars="100"/>
              <w:rPr>
                <w:rFonts w:hint="eastAsia" w:asciiTheme="majorEastAsia" w:hAnsiTheme="majorEastAsia" w:eastAsiaTheme="majorEastAsia"/>
                <w:bCs/>
                <w:szCs w:val="21"/>
              </w:rPr>
            </w:pPr>
            <w:r>
              <w:rPr>
                <w:rFonts w:hint="eastAsia" w:asciiTheme="majorEastAsia" w:hAnsiTheme="majorEastAsia" w:eastAsiaTheme="majorEastAsia"/>
                <w:bCs/>
                <w:szCs w:val="21"/>
              </w:rPr>
              <w:t>2.1.3</w:t>
            </w:r>
          </w:p>
        </w:tc>
        <w:tc>
          <w:tcPr>
            <w:tcW w:w="4521" w:type="pct"/>
          </w:tcPr>
          <w:p>
            <w:pPr>
              <w:ind w:right="-340" w:rightChars="-162"/>
              <w:rPr>
                <w:rFonts w:hint="eastAsia" w:asciiTheme="majorEastAsia" w:hAnsiTheme="majorEastAsia" w:eastAsiaTheme="majorEastAsia"/>
                <w:bCs/>
                <w:szCs w:val="21"/>
              </w:rPr>
            </w:pPr>
            <w:r>
              <w:rPr>
                <w:rFonts w:hint="eastAsia" w:asciiTheme="majorEastAsia" w:hAnsiTheme="majorEastAsia" w:eastAsiaTheme="majorEastAsia"/>
                <w:bCs/>
                <w:szCs w:val="21"/>
              </w:rPr>
              <w:t>精液酸性磷酸酶测定（速率法）：</w:t>
            </w:r>
          </w:p>
          <w:p>
            <w:pPr>
              <w:ind w:right="-340" w:rightChars="-162"/>
              <w:rPr>
                <w:rFonts w:hint="eastAsia" w:asciiTheme="majorEastAsia" w:hAnsiTheme="majorEastAsia" w:eastAsiaTheme="majorEastAsia"/>
                <w:bCs/>
                <w:szCs w:val="21"/>
              </w:rPr>
            </w:pPr>
            <w:r>
              <w:rPr>
                <w:rFonts w:hint="eastAsia" w:asciiTheme="majorEastAsia" w:hAnsiTheme="majorEastAsia" w:eastAsiaTheme="majorEastAsia"/>
                <w:bCs/>
                <w:szCs w:val="21"/>
              </w:rPr>
              <w:t>1、试剂空白吸光度OD值应≤0.30</w:t>
            </w:r>
          </w:p>
          <w:p>
            <w:pPr>
              <w:ind w:right="-340" w:rightChars="-162"/>
              <w:rPr>
                <w:rFonts w:hint="eastAsia" w:asciiTheme="majorEastAsia" w:hAnsiTheme="majorEastAsia" w:eastAsiaTheme="majorEastAsia"/>
                <w:bCs/>
                <w:szCs w:val="21"/>
              </w:rPr>
            </w:pPr>
            <w:r>
              <w:rPr>
                <w:rFonts w:hint="eastAsia" w:asciiTheme="majorEastAsia" w:hAnsiTheme="majorEastAsia" w:eastAsiaTheme="majorEastAsia"/>
                <w:bCs/>
                <w:szCs w:val="21"/>
              </w:rPr>
              <w:t>2、重复性变异系数（CV）应≤8%</w:t>
            </w:r>
          </w:p>
          <w:p>
            <w:pPr>
              <w:ind w:right="-340" w:rightChars="-162"/>
              <w:rPr>
                <w:rFonts w:hint="eastAsia" w:asciiTheme="majorEastAsia" w:hAnsiTheme="majorEastAsia" w:eastAsiaTheme="majorEastAsia"/>
                <w:bCs/>
                <w:szCs w:val="21"/>
              </w:rPr>
            </w:pPr>
            <w:r>
              <w:rPr>
                <w:rFonts w:hint="eastAsia" w:asciiTheme="majorEastAsia" w:hAnsiTheme="majorEastAsia" w:eastAsiaTheme="majorEastAsia"/>
                <w:bCs/>
                <w:szCs w:val="21"/>
              </w:rPr>
              <w:t>3、试剂批内瓶间差变异系数（CV）应≤10%</w:t>
            </w:r>
          </w:p>
          <w:p>
            <w:pPr>
              <w:ind w:right="-340" w:rightChars="-162"/>
              <w:rPr>
                <w:rFonts w:hint="eastAsia" w:asciiTheme="majorEastAsia" w:hAnsiTheme="majorEastAsia" w:eastAsiaTheme="majorEastAsia"/>
                <w:bCs/>
                <w:szCs w:val="21"/>
              </w:rPr>
            </w:pPr>
            <w:r>
              <w:rPr>
                <w:rFonts w:hint="eastAsia" w:asciiTheme="majorEastAsia" w:hAnsiTheme="majorEastAsia" w:eastAsiaTheme="majorEastAsia"/>
                <w:bCs/>
                <w:szCs w:val="21"/>
              </w:rPr>
              <w:t>4、线性：在35U/mL～1500U/mL范围内，线性相关系数（r）≥0.9900。</w:t>
            </w:r>
          </w:p>
          <w:p>
            <w:pPr>
              <w:rPr>
                <w:rFonts w:hint="eastAsia" w:asciiTheme="majorEastAsia" w:hAnsiTheme="majorEastAsia" w:eastAsiaTheme="majorEastAsia"/>
                <w:bCs/>
                <w:szCs w:val="21"/>
              </w:rPr>
            </w:pPr>
            <w:r>
              <w:rPr>
                <w:rFonts w:hint="eastAsia" w:asciiTheme="majorEastAsia" w:hAnsiTheme="majorEastAsia" w:eastAsiaTheme="majorEastAsia"/>
                <w:bCs/>
                <w:szCs w:val="21"/>
              </w:rPr>
              <w:t>5、酸性磷酸酶质控品的测量准确度与理论值的相对偏差应在±10%范围（提供注册的产品技术要求文件）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478" w:type="pct"/>
          </w:tcPr>
          <w:p>
            <w:pPr>
              <w:ind w:right="-340" w:rightChars="-162" w:firstLine="210" w:firstLineChars="100"/>
              <w:rPr>
                <w:rFonts w:hint="eastAsia" w:asciiTheme="majorEastAsia" w:hAnsiTheme="majorEastAsia" w:eastAsiaTheme="majorEastAsia"/>
                <w:bCs/>
                <w:szCs w:val="21"/>
              </w:rPr>
            </w:pPr>
            <w:r>
              <w:rPr>
                <w:rFonts w:hint="eastAsia" w:asciiTheme="majorEastAsia" w:hAnsiTheme="majorEastAsia" w:eastAsiaTheme="majorEastAsia"/>
                <w:bCs/>
                <w:szCs w:val="21"/>
              </w:rPr>
              <w:t>2.1.4</w:t>
            </w:r>
          </w:p>
        </w:tc>
        <w:tc>
          <w:tcPr>
            <w:tcW w:w="4521" w:type="pct"/>
          </w:tcPr>
          <w:p>
            <w:pPr>
              <w:ind w:right="-340" w:rightChars="-162"/>
              <w:rPr>
                <w:rFonts w:hint="eastAsia" w:asciiTheme="majorEastAsia" w:hAnsiTheme="majorEastAsia" w:eastAsiaTheme="majorEastAsia"/>
                <w:bCs/>
                <w:szCs w:val="21"/>
              </w:rPr>
            </w:pPr>
            <w:r>
              <w:rPr>
                <w:rFonts w:hint="eastAsia" w:asciiTheme="majorEastAsia" w:hAnsiTheme="majorEastAsia" w:eastAsiaTheme="majorEastAsia"/>
                <w:bCs/>
                <w:szCs w:val="21"/>
              </w:rPr>
              <w:t>精浆中性α—葡萄糖苷酶活性测定：</w:t>
            </w:r>
          </w:p>
          <w:p>
            <w:pPr>
              <w:ind w:right="-340" w:rightChars="-162"/>
              <w:rPr>
                <w:rFonts w:hint="eastAsia" w:asciiTheme="majorEastAsia" w:hAnsiTheme="majorEastAsia" w:eastAsiaTheme="majorEastAsia"/>
                <w:bCs/>
                <w:szCs w:val="21"/>
              </w:rPr>
            </w:pPr>
            <w:r>
              <w:rPr>
                <w:rFonts w:hint="eastAsia" w:asciiTheme="majorEastAsia" w:hAnsiTheme="majorEastAsia" w:eastAsiaTheme="majorEastAsia"/>
                <w:bCs/>
                <w:szCs w:val="21"/>
              </w:rPr>
              <w:t>1、空白限应≤0.5U/L</w:t>
            </w:r>
          </w:p>
          <w:p>
            <w:pPr>
              <w:ind w:right="-340" w:rightChars="-162"/>
              <w:rPr>
                <w:rFonts w:hint="eastAsia" w:asciiTheme="majorEastAsia" w:hAnsiTheme="majorEastAsia" w:eastAsiaTheme="majorEastAsia"/>
                <w:bCs/>
                <w:szCs w:val="21"/>
              </w:rPr>
            </w:pPr>
            <w:r>
              <w:rPr>
                <w:rFonts w:hint="eastAsia" w:asciiTheme="majorEastAsia" w:hAnsiTheme="majorEastAsia" w:eastAsiaTheme="majorEastAsia"/>
                <w:bCs/>
                <w:szCs w:val="21"/>
              </w:rPr>
              <w:t>2、重复性变异系数（CV）应≤8%</w:t>
            </w:r>
          </w:p>
          <w:p>
            <w:pPr>
              <w:ind w:right="-340" w:rightChars="-162"/>
              <w:rPr>
                <w:rFonts w:hint="eastAsia" w:asciiTheme="majorEastAsia" w:hAnsiTheme="majorEastAsia" w:eastAsiaTheme="majorEastAsia"/>
                <w:bCs/>
                <w:szCs w:val="21"/>
              </w:rPr>
            </w:pPr>
            <w:r>
              <w:rPr>
                <w:rFonts w:hint="eastAsia" w:asciiTheme="majorEastAsia" w:hAnsiTheme="majorEastAsia" w:eastAsiaTheme="majorEastAsia"/>
                <w:bCs/>
                <w:szCs w:val="21"/>
              </w:rPr>
              <w:t>3、试剂批内瓶间差变异系数（CV）应≤10%</w:t>
            </w:r>
          </w:p>
          <w:p>
            <w:pPr>
              <w:ind w:right="-340" w:rightChars="-162"/>
              <w:rPr>
                <w:rFonts w:hint="eastAsia" w:asciiTheme="majorEastAsia" w:hAnsiTheme="majorEastAsia" w:eastAsiaTheme="majorEastAsia"/>
                <w:bCs/>
                <w:szCs w:val="21"/>
              </w:rPr>
            </w:pPr>
            <w:r>
              <w:rPr>
                <w:rFonts w:hint="eastAsia" w:asciiTheme="majorEastAsia" w:hAnsiTheme="majorEastAsia" w:eastAsiaTheme="majorEastAsia"/>
                <w:bCs/>
                <w:szCs w:val="21"/>
              </w:rPr>
              <w:t>4、线性：在4U/L～60U/L范围内，线性相关系数（r）≥0.9900。</w:t>
            </w:r>
          </w:p>
          <w:p>
            <w:pPr>
              <w:ind w:right="-340" w:rightChars="-162"/>
              <w:rPr>
                <w:rFonts w:hint="eastAsia" w:asciiTheme="majorEastAsia" w:hAnsiTheme="majorEastAsia" w:eastAsiaTheme="majorEastAsia"/>
                <w:bCs/>
                <w:szCs w:val="21"/>
              </w:rPr>
            </w:pPr>
            <w:r>
              <w:rPr>
                <w:rFonts w:hint="eastAsia" w:asciiTheme="majorEastAsia" w:hAnsiTheme="majorEastAsia" w:eastAsiaTheme="majorEastAsia"/>
                <w:bCs/>
                <w:szCs w:val="21"/>
              </w:rPr>
              <w:t>5、NAG质控品的测量准确度与理论值的相对偏差应在±10%范围（提供注册的产品技术要求文件）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478" w:type="pct"/>
          </w:tcPr>
          <w:p>
            <w:pPr>
              <w:ind w:right="-340" w:rightChars="-162" w:firstLine="210" w:firstLineChars="100"/>
              <w:rPr>
                <w:rFonts w:hint="eastAsia" w:asciiTheme="majorEastAsia" w:hAnsiTheme="majorEastAsia" w:eastAsiaTheme="majorEastAsia"/>
                <w:bCs/>
                <w:szCs w:val="21"/>
              </w:rPr>
            </w:pPr>
            <w:r>
              <w:rPr>
                <w:rFonts w:hint="eastAsia" w:asciiTheme="majorEastAsia" w:hAnsiTheme="majorEastAsia" w:eastAsiaTheme="majorEastAsia"/>
                <w:bCs/>
                <w:szCs w:val="21"/>
              </w:rPr>
              <w:t>2.1.5</w:t>
            </w:r>
          </w:p>
        </w:tc>
        <w:tc>
          <w:tcPr>
            <w:tcW w:w="4521" w:type="pct"/>
          </w:tcPr>
          <w:p>
            <w:pPr>
              <w:ind w:right="-340" w:rightChars="-162"/>
              <w:rPr>
                <w:rFonts w:hint="eastAsia" w:asciiTheme="majorEastAsia" w:hAnsiTheme="majorEastAsia" w:eastAsiaTheme="majorEastAsia"/>
                <w:bCs/>
                <w:szCs w:val="21"/>
              </w:rPr>
            </w:pPr>
            <w:r>
              <w:rPr>
                <w:rFonts w:hint="eastAsia" w:asciiTheme="majorEastAsia" w:hAnsiTheme="majorEastAsia" w:eastAsiaTheme="majorEastAsia"/>
                <w:bCs/>
                <w:szCs w:val="21"/>
              </w:rPr>
              <w:t>精子顶体酶活性定量测定（固相BAPNA法）：</w:t>
            </w:r>
          </w:p>
          <w:p>
            <w:pPr>
              <w:ind w:right="-340" w:rightChars="-162"/>
              <w:rPr>
                <w:rFonts w:hint="eastAsia" w:asciiTheme="majorEastAsia" w:hAnsiTheme="majorEastAsia" w:eastAsiaTheme="majorEastAsia"/>
                <w:bCs/>
                <w:szCs w:val="21"/>
              </w:rPr>
            </w:pPr>
            <w:r>
              <w:rPr>
                <w:rFonts w:hint="eastAsia" w:asciiTheme="majorEastAsia" w:hAnsiTheme="majorEastAsia" w:eastAsiaTheme="majorEastAsia"/>
                <w:bCs/>
                <w:szCs w:val="21"/>
              </w:rPr>
              <w:t>1、空白限应≤2mIU/10</w:t>
            </w:r>
            <w:r>
              <w:rPr>
                <w:rFonts w:hint="eastAsia" w:asciiTheme="majorEastAsia" w:hAnsiTheme="majorEastAsia" w:eastAsiaTheme="majorEastAsia"/>
                <w:bCs/>
                <w:szCs w:val="21"/>
                <w:vertAlign w:val="superscript"/>
              </w:rPr>
              <w:t>6</w:t>
            </w:r>
            <w:r>
              <w:rPr>
                <w:rFonts w:hint="eastAsia" w:asciiTheme="majorEastAsia" w:hAnsiTheme="majorEastAsia" w:eastAsiaTheme="majorEastAsia"/>
                <w:bCs/>
                <w:szCs w:val="21"/>
              </w:rPr>
              <w:t>精子</w:t>
            </w:r>
          </w:p>
          <w:p>
            <w:pPr>
              <w:ind w:right="-340" w:rightChars="-162"/>
              <w:rPr>
                <w:rFonts w:hint="eastAsia" w:asciiTheme="majorEastAsia" w:hAnsiTheme="majorEastAsia" w:eastAsiaTheme="majorEastAsia"/>
                <w:bCs/>
                <w:szCs w:val="21"/>
              </w:rPr>
            </w:pPr>
            <w:r>
              <w:rPr>
                <w:rFonts w:hint="eastAsia" w:asciiTheme="majorEastAsia" w:hAnsiTheme="majorEastAsia" w:eastAsiaTheme="majorEastAsia"/>
                <w:bCs/>
                <w:szCs w:val="21"/>
              </w:rPr>
              <w:t>2、分析灵敏度测定浓度为 64.9μIU/10</w:t>
            </w:r>
            <w:r>
              <w:rPr>
                <w:rFonts w:hint="eastAsia" w:asciiTheme="majorEastAsia" w:hAnsiTheme="majorEastAsia" w:eastAsiaTheme="majorEastAsia"/>
                <w:bCs/>
                <w:szCs w:val="21"/>
                <w:vertAlign w:val="superscript"/>
              </w:rPr>
              <w:t>6</w:t>
            </w:r>
            <w:r>
              <w:rPr>
                <w:rFonts w:hint="eastAsia" w:asciiTheme="majorEastAsia" w:hAnsiTheme="majorEastAsia" w:eastAsiaTheme="majorEastAsia"/>
                <w:bCs/>
                <w:szCs w:val="21"/>
              </w:rPr>
              <w:t>精子的样本时，吸光度差值△A应在 0.240~0.300范围内</w:t>
            </w:r>
          </w:p>
          <w:p>
            <w:pPr>
              <w:ind w:right="-340" w:rightChars="-162"/>
              <w:rPr>
                <w:rFonts w:hint="eastAsia" w:asciiTheme="majorEastAsia" w:hAnsiTheme="majorEastAsia" w:eastAsiaTheme="majorEastAsia"/>
                <w:bCs/>
                <w:szCs w:val="21"/>
              </w:rPr>
            </w:pPr>
            <w:r>
              <w:rPr>
                <w:rFonts w:hint="eastAsia" w:asciiTheme="majorEastAsia" w:hAnsiTheme="majorEastAsia" w:eastAsiaTheme="majorEastAsia"/>
                <w:bCs/>
                <w:szCs w:val="21"/>
              </w:rPr>
              <w:t>3、重复性变异系数(CV)应≤8%</w:t>
            </w:r>
          </w:p>
          <w:p>
            <w:pPr>
              <w:ind w:right="-340" w:rightChars="-162"/>
              <w:rPr>
                <w:rFonts w:hint="eastAsia" w:asciiTheme="majorEastAsia" w:hAnsiTheme="majorEastAsia" w:eastAsiaTheme="majorEastAsia"/>
                <w:bCs/>
                <w:szCs w:val="21"/>
              </w:rPr>
            </w:pPr>
            <w:r>
              <w:rPr>
                <w:rFonts w:hint="eastAsia" w:asciiTheme="majorEastAsia" w:hAnsiTheme="majorEastAsia" w:eastAsiaTheme="majorEastAsia"/>
                <w:bCs/>
                <w:szCs w:val="21"/>
              </w:rPr>
              <w:t>4、灵敏度：≤2μIU/5ul；特异性：-8%≤干扰率（I）≤8%。</w:t>
            </w:r>
          </w:p>
          <w:p>
            <w:pPr>
              <w:ind w:right="-340" w:rightChars="-162"/>
              <w:rPr>
                <w:rFonts w:hint="eastAsia" w:asciiTheme="majorEastAsia" w:hAnsiTheme="majorEastAsia" w:eastAsiaTheme="majorEastAsia"/>
                <w:bCs/>
                <w:szCs w:val="21"/>
              </w:rPr>
            </w:pPr>
            <w:r>
              <w:rPr>
                <w:rFonts w:hint="eastAsia" w:asciiTheme="majorEastAsia" w:hAnsiTheme="majorEastAsia" w:eastAsiaTheme="majorEastAsia"/>
                <w:bCs/>
                <w:szCs w:val="21"/>
              </w:rPr>
              <w:t>5、顶体酶校准品的测量准确度与顶体酶校准品理论浓度的相对偏差应在+5.0%范围内（提供注册的产品技术要求文件）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478" w:type="pct"/>
          </w:tcPr>
          <w:p>
            <w:pPr>
              <w:ind w:right="-340" w:rightChars="-162" w:firstLine="210" w:firstLineChars="100"/>
              <w:rPr>
                <w:rFonts w:hint="eastAsia" w:asciiTheme="majorEastAsia" w:hAnsiTheme="majorEastAsia" w:eastAsiaTheme="majorEastAsia"/>
                <w:bCs/>
                <w:szCs w:val="21"/>
              </w:rPr>
            </w:pPr>
            <w:r>
              <w:rPr>
                <w:rFonts w:hint="eastAsia" w:asciiTheme="majorEastAsia" w:hAnsiTheme="majorEastAsia" w:eastAsiaTheme="majorEastAsia"/>
                <w:bCs/>
                <w:szCs w:val="21"/>
              </w:rPr>
              <w:t>2.1.6</w:t>
            </w:r>
          </w:p>
        </w:tc>
        <w:tc>
          <w:tcPr>
            <w:tcW w:w="4521" w:type="pct"/>
          </w:tcPr>
          <w:p>
            <w:pPr>
              <w:ind w:right="-340" w:rightChars="-162"/>
              <w:rPr>
                <w:rFonts w:hint="eastAsia" w:asciiTheme="majorEastAsia" w:hAnsiTheme="majorEastAsia" w:eastAsiaTheme="majorEastAsia"/>
                <w:bCs/>
                <w:szCs w:val="21"/>
              </w:rPr>
            </w:pPr>
            <w:r>
              <w:rPr>
                <w:rFonts w:hint="eastAsia" w:asciiTheme="majorEastAsia" w:hAnsiTheme="majorEastAsia" w:eastAsiaTheme="majorEastAsia"/>
                <w:bCs/>
                <w:szCs w:val="21"/>
              </w:rPr>
              <w:t>精浆柠檬酸定量检测：</w:t>
            </w:r>
          </w:p>
          <w:p>
            <w:pPr>
              <w:ind w:right="-340" w:rightChars="-162"/>
              <w:rPr>
                <w:rFonts w:hint="eastAsia" w:asciiTheme="majorEastAsia" w:hAnsiTheme="majorEastAsia" w:eastAsiaTheme="majorEastAsia"/>
                <w:bCs/>
                <w:szCs w:val="21"/>
              </w:rPr>
            </w:pPr>
            <w:r>
              <w:rPr>
                <w:rFonts w:hint="eastAsia" w:asciiTheme="majorEastAsia" w:hAnsiTheme="majorEastAsia" w:eastAsiaTheme="majorEastAsia"/>
                <w:bCs/>
                <w:szCs w:val="21"/>
              </w:rPr>
              <w:t>1、试剂空白吸光度OD值 应≤0.25</w:t>
            </w:r>
          </w:p>
          <w:p>
            <w:pPr>
              <w:ind w:right="-340" w:rightChars="-162"/>
              <w:rPr>
                <w:rFonts w:hint="eastAsia" w:asciiTheme="majorEastAsia" w:hAnsiTheme="majorEastAsia" w:eastAsiaTheme="majorEastAsia"/>
                <w:bCs/>
                <w:szCs w:val="21"/>
              </w:rPr>
            </w:pPr>
            <w:r>
              <w:rPr>
                <w:rFonts w:hint="eastAsia" w:asciiTheme="majorEastAsia" w:hAnsiTheme="majorEastAsia" w:eastAsiaTheme="majorEastAsia"/>
                <w:bCs/>
                <w:szCs w:val="21"/>
              </w:rPr>
              <w:t>2、分析灵敏度：测定浓度为26mmol/L的样本时，吸光度差值△A应在0.500~0.600范围内</w:t>
            </w:r>
          </w:p>
          <w:p>
            <w:pPr>
              <w:ind w:right="-340" w:rightChars="-162"/>
              <w:rPr>
                <w:rFonts w:hint="eastAsia" w:asciiTheme="majorEastAsia" w:hAnsiTheme="majorEastAsia" w:eastAsiaTheme="majorEastAsia"/>
                <w:bCs/>
                <w:szCs w:val="21"/>
              </w:rPr>
            </w:pPr>
            <w:r>
              <w:rPr>
                <w:rFonts w:hint="eastAsia" w:asciiTheme="majorEastAsia" w:hAnsiTheme="majorEastAsia" w:eastAsiaTheme="majorEastAsia"/>
                <w:bCs/>
                <w:szCs w:val="21"/>
              </w:rPr>
              <w:t>3、重复性变异系数（CV）应≤8%</w:t>
            </w:r>
          </w:p>
          <w:p>
            <w:pPr>
              <w:ind w:right="-340" w:rightChars="-162"/>
              <w:rPr>
                <w:rFonts w:hint="eastAsia" w:asciiTheme="majorEastAsia" w:hAnsiTheme="majorEastAsia" w:eastAsiaTheme="majorEastAsia"/>
                <w:bCs/>
                <w:szCs w:val="21"/>
              </w:rPr>
            </w:pPr>
            <w:r>
              <w:rPr>
                <w:rFonts w:hint="eastAsia" w:asciiTheme="majorEastAsia" w:hAnsiTheme="majorEastAsia" w:eastAsiaTheme="majorEastAsia"/>
                <w:bCs/>
                <w:szCs w:val="21"/>
              </w:rPr>
              <w:t>4、试剂批内瓶间差变异系数(CV)应≤10%</w:t>
            </w:r>
          </w:p>
          <w:p>
            <w:pPr>
              <w:ind w:right="-340" w:rightChars="-162"/>
              <w:rPr>
                <w:rFonts w:hint="eastAsia" w:asciiTheme="majorEastAsia" w:hAnsiTheme="majorEastAsia" w:eastAsiaTheme="majorEastAsia"/>
                <w:bCs/>
                <w:szCs w:val="21"/>
              </w:rPr>
            </w:pPr>
            <w:r>
              <w:rPr>
                <w:rFonts w:hint="eastAsia" w:asciiTheme="majorEastAsia" w:hAnsiTheme="majorEastAsia" w:eastAsiaTheme="majorEastAsia"/>
                <w:bCs/>
                <w:szCs w:val="21"/>
              </w:rPr>
              <w:t>5、准确度:相对偏差应在±5%范围内</w:t>
            </w:r>
          </w:p>
          <w:p>
            <w:pPr>
              <w:ind w:right="-340" w:rightChars="-162"/>
              <w:rPr>
                <w:rFonts w:hint="eastAsia" w:asciiTheme="majorEastAsia" w:hAnsiTheme="majorEastAsia" w:eastAsiaTheme="majorEastAsia"/>
                <w:bCs/>
                <w:szCs w:val="21"/>
              </w:rPr>
            </w:pPr>
            <w:r>
              <w:rPr>
                <w:rFonts w:hint="eastAsia" w:asciiTheme="majorEastAsia" w:hAnsiTheme="majorEastAsia" w:eastAsiaTheme="majorEastAsia"/>
                <w:bCs/>
                <w:szCs w:val="21"/>
              </w:rPr>
              <w:t>6、柠檬酸质控品的测量准确度与理论值的相对偏差应在+5%范围（提供注册的产品技术要求文件）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478" w:type="pct"/>
          </w:tcPr>
          <w:p>
            <w:pPr>
              <w:ind w:right="-340" w:rightChars="-162" w:firstLine="210" w:firstLineChars="100"/>
              <w:rPr>
                <w:rFonts w:hint="eastAsia" w:asciiTheme="majorEastAsia" w:hAnsiTheme="majorEastAsia" w:eastAsiaTheme="majorEastAsia"/>
                <w:bCs/>
                <w:szCs w:val="21"/>
              </w:rPr>
            </w:pPr>
            <w:r>
              <w:rPr>
                <w:rFonts w:hint="eastAsia" w:asciiTheme="majorEastAsia" w:hAnsiTheme="majorEastAsia" w:eastAsiaTheme="majorEastAsia"/>
                <w:bCs/>
                <w:szCs w:val="21"/>
              </w:rPr>
              <w:t>2.1.7</w:t>
            </w:r>
          </w:p>
        </w:tc>
        <w:tc>
          <w:tcPr>
            <w:tcW w:w="4521" w:type="pct"/>
          </w:tcPr>
          <w:p>
            <w:pPr>
              <w:ind w:right="-340" w:rightChars="-162"/>
              <w:rPr>
                <w:rFonts w:hint="eastAsia" w:asciiTheme="majorEastAsia" w:hAnsiTheme="majorEastAsia" w:eastAsiaTheme="majorEastAsia"/>
                <w:bCs/>
                <w:szCs w:val="21"/>
              </w:rPr>
            </w:pPr>
            <w:r>
              <w:rPr>
                <w:rFonts w:hint="eastAsia" w:asciiTheme="majorEastAsia" w:hAnsiTheme="majorEastAsia" w:eastAsiaTheme="majorEastAsia"/>
                <w:bCs/>
                <w:szCs w:val="21"/>
              </w:rPr>
              <w:t>精浆弹性硬蛋白酶定量测定（酶联免疫吸附法）：</w:t>
            </w:r>
          </w:p>
          <w:p>
            <w:pPr>
              <w:ind w:right="-340" w:rightChars="-162"/>
              <w:rPr>
                <w:rFonts w:hint="eastAsia" w:asciiTheme="majorEastAsia" w:hAnsiTheme="majorEastAsia" w:eastAsiaTheme="majorEastAsia"/>
                <w:bCs/>
                <w:szCs w:val="21"/>
              </w:rPr>
            </w:pPr>
            <w:r>
              <w:rPr>
                <w:rFonts w:hint="eastAsia" w:asciiTheme="majorEastAsia" w:hAnsiTheme="majorEastAsia" w:eastAsiaTheme="majorEastAsia"/>
                <w:bCs/>
                <w:szCs w:val="21"/>
              </w:rPr>
              <w:t>1、准确度回收率应在 90%~110%范围内</w:t>
            </w:r>
          </w:p>
          <w:p>
            <w:pPr>
              <w:ind w:right="-340" w:rightChars="-162"/>
              <w:rPr>
                <w:rFonts w:hint="eastAsia" w:asciiTheme="majorEastAsia" w:hAnsiTheme="majorEastAsia" w:eastAsiaTheme="majorEastAsia"/>
                <w:bCs/>
                <w:szCs w:val="21"/>
              </w:rPr>
            </w:pPr>
            <w:r>
              <w:rPr>
                <w:rFonts w:hint="eastAsia" w:asciiTheme="majorEastAsia" w:hAnsiTheme="majorEastAsia" w:eastAsiaTheme="majorEastAsia"/>
                <w:bCs/>
                <w:szCs w:val="21"/>
              </w:rPr>
              <w:t>2、灵敏度：≤50ng/mL</w:t>
            </w:r>
          </w:p>
          <w:p>
            <w:pPr>
              <w:ind w:right="-340" w:rightChars="-162"/>
              <w:rPr>
                <w:rFonts w:hint="eastAsia" w:asciiTheme="majorEastAsia" w:hAnsiTheme="majorEastAsia" w:eastAsiaTheme="majorEastAsia"/>
                <w:bCs/>
                <w:szCs w:val="21"/>
              </w:rPr>
            </w:pPr>
            <w:r>
              <w:rPr>
                <w:rFonts w:hint="eastAsia" w:asciiTheme="majorEastAsia" w:hAnsiTheme="majorEastAsia" w:eastAsiaTheme="majorEastAsia"/>
                <w:bCs/>
                <w:szCs w:val="21"/>
              </w:rPr>
              <w:t>3、线性：在50ng/m~3000ng/mL范围内，其线性相关系数r应≥0.990</w:t>
            </w:r>
          </w:p>
          <w:p>
            <w:pPr>
              <w:ind w:right="-340" w:rightChars="-162"/>
              <w:rPr>
                <w:rFonts w:hint="eastAsia" w:asciiTheme="majorEastAsia" w:hAnsiTheme="majorEastAsia" w:eastAsiaTheme="majorEastAsia"/>
                <w:bCs/>
                <w:szCs w:val="21"/>
              </w:rPr>
            </w:pPr>
            <w:r>
              <w:rPr>
                <w:rFonts w:hint="eastAsia" w:asciiTheme="majorEastAsia" w:hAnsiTheme="majorEastAsia" w:eastAsiaTheme="majorEastAsia"/>
                <w:bCs/>
                <w:szCs w:val="21"/>
              </w:rPr>
              <w:t>4、重复性批内变异系数（CV）应≤8%</w:t>
            </w:r>
          </w:p>
          <w:p>
            <w:pPr>
              <w:ind w:right="-340" w:rightChars="-162"/>
              <w:rPr>
                <w:rFonts w:hint="eastAsia" w:asciiTheme="majorEastAsia" w:hAnsiTheme="majorEastAsia" w:eastAsiaTheme="majorEastAsia"/>
                <w:bCs/>
                <w:szCs w:val="21"/>
              </w:rPr>
            </w:pPr>
            <w:r>
              <w:rPr>
                <w:rFonts w:hint="eastAsia" w:asciiTheme="majorEastAsia" w:hAnsiTheme="majorEastAsia" w:eastAsiaTheme="majorEastAsia"/>
                <w:bCs/>
                <w:szCs w:val="21"/>
              </w:rPr>
              <w:t>5、弹性蛋白酶质控品的测量准确度与理论浓度的相对偏差应在±10.0%范围内（提供注册的产品技术要求文件）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478" w:type="pct"/>
          </w:tcPr>
          <w:p>
            <w:pPr>
              <w:ind w:right="-340" w:rightChars="-162" w:firstLine="210" w:firstLineChars="100"/>
              <w:rPr>
                <w:rFonts w:hint="eastAsia" w:asciiTheme="majorEastAsia" w:hAnsiTheme="majorEastAsia" w:eastAsiaTheme="majorEastAsia"/>
                <w:bCs/>
                <w:szCs w:val="21"/>
              </w:rPr>
            </w:pPr>
            <w:r>
              <w:rPr>
                <w:rFonts w:hint="eastAsia" w:asciiTheme="majorEastAsia" w:hAnsiTheme="majorEastAsia" w:eastAsiaTheme="majorEastAsia"/>
                <w:bCs/>
                <w:szCs w:val="21"/>
              </w:rPr>
              <w:t>2.1.8</w:t>
            </w:r>
          </w:p>
        </w:tc>
        <w:tc>
          <w:tcPr>
            <w:tcW w:w="4521" w:type="pct"/>
          </w:tcPr>
          <w:p>
            <w:pPr>
              <w:ind w:right="-340" w:rightChars="-162"/>
              <w:rPr>
                <w:rFonts w:hint="eastAsia" w:asciiTheme="majorEastAsia" w:hAnsiTheme="majorEastAsia" w:eastAsiaTheme="majorEastAsia"/>
                <w:bCs/>
                <w:szCs w:val="21"/>
              </w:rPr>
            </w:pPr>
            <w:r>
              <w:rPr>
                <w:rFonts w:hint="eastAsia" w:asciiTheme="majorEastAsia" w:hAnsiTheme="majorEastAsia" w:eastAsiaTheme="majorEastAsia"/>
                <w:bCs/>
                <w:szCs w:val="21"/>
              </w:rPr>
              <w:t>精子膜表面抗体免疫珠试验：</w:t>
            </w:r>
          </w:p>
          <w:p>
            <w:pPr>
              <w:ind w:right="-340" w:rightChars="-162"/>
              <w:rPr>
                <w:rFonts w:hint="eastAsia" w:asciiTheme="majorEastAsia" w:hAnsiTheme="majorEastAsia" w:eastAsiaTheme="majorEastAsia"/>
                <w:bCs/>
                <w:szCs w:val="21"/>
              </w:rPr>
            </w:pPr>
            <w:r>
              <w:rPr>
                <w:rFonts w:hint="eastAsia" w:asciiTheme="majorEastAsia" w:hAnsiTheme="majorEastAsia" w:eastAsiaTheme="majorEastAsia"/>
                <w:bCs/>
                <w:szCs w:val="21"/>
              </w:rPr>
              <w:t>1、检出限MAR值应≤5%</w:t>
            </w:r>
          </w:p>
          <w:p>
            <w:pPr>
              <w:ind w:right="-340" w:rightChars="-162"/>
              <w:rPr>
                <w:rFonts w:hint="eastAsia" w:asciiTheme="majorEastAsia" w:hAnsiTheme="majorEastAsia" w:eastAsiaTheme="majorEastAsia"/>
                <w:bCs/>
                <w:szCs w:val="21"/>
              </w:rPr>
            </w:pPr>
            <w:r>
              <w:rPr>
                <w:rFonts w:hint="eastAsia" w:asciiTheme="majorEastAsia" w:hAnsiTheme="majorEastAsia" w:eastAsiaTheme="majorEastAsia"/>
                <w:bCs/>
                <w:szCs w:val="21"/>
              </w:rPr>
              <w:t>2、重复性变异系数(CV)应≤10%</w:t>
            </w:r>
          </w:p>
          <w:p>
            <w:pPr>
              <w:ind w:right="-340" w:rightChars="-162"/>
              <w:rPr>
                <w:rFonts w:hint="eastAsia" w:asciiTheme="majorEastAsia" w:hAnsiTheme="majorEastAsia" w:eastAsiaTheme="majorEastAsia"/>
                <w:bCs/>
                <w:szCs w:val="21"/>
              </w:rPr>
            </w:pPr>
            <w:r>
              <w:rPr>
                <w:rFonts w:hint="eastAsia" w:asciiTheme="majorEastAsia" w:hAnsiTheme="majorEastAsia" w:eastAsiaTheme="majorEastAsia"/>
                <w:bCs/>
                <w:szCs w:val="21"/>
              </w:rPr>
              <w:t>3、MARIgG质控品的测量准确度：与理论 MAR值的相对偏差应在+15.0%范围（提供注册的产品技术要求文件）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478" w:type="pct"/>
          </w:tcPr>
          <w:p>
            <w:pPr>
              <w:ind w:right="-340" w:rightChars="-162" w:firstLine="210" w:firstLineChars="100"/>
              <w:rPr>
                <w:rFonts w:hint="eastAsia" w:asciiTheme="majorEastAsia" w:hAnsiTheme="majorEastAsia" w:eastAsiaTheme="majorEastAsia"/>
                <w:bCs/>
                <w:szCs w:val="21"/>
              </w:rPr>
            </w:pPr>
            <w:r>
              <w:rPr>
                <w:rFonts w:hint="eastAsia" w:asciiTheme="majorEastAsia" w:hAnsiTheme="majorEastAsia" w:eastAsiaTheme="majorEastAsia"/>
                <w:bCs/>
                <w:szCs w:val="21"/>
              </w:rPr>
              <w:t>2.1.9</w:t>
            </w:r>
          </w:p>
        </w:tc>
        <w:tc>
          <w:tcPr>
            <w:tcW w:w="4521" w:type="pct"/>
          </w:tcPr>
          <w:p>
            <w:pPr>
              <w:ind w:right="-340" w:rightChars="-162"/>
              <w:rPr>
                <w:rFonts w:hint="eastAsia" w:asciiTheme="majorEastAsia" w:hAnsiTheme="majorEastAsia" w:eastAsiaTheme="majorEastAsia"/>
                <w:bCs/>
                <w:szCs w:val="21"/>
              </w:rPr>
            </w:pPr>
            <w:r>
              <w:rPr>
                <w:rFonts w:hint="eastAsia" w:asciiTheme="majorEastAsia" w:hAnsiTheme="majorEastAsia" w:eastAsiaTheme="majorEastAsia"/>
                <w:bCs/>
                <w:szCs w:val="21"/>
              </w:rPr>
              <w:t>精液液化剂</w:t>
            </w:r>
          </w:p>
          <w:p>
            <w:pPr>
              <w:ind w:right="-340" w:rightChars="-162"/>
              <w:rPr>
                <w:rFonts w:hint="eastAsia" w:asciiTheme="majorEastAsia" w:hAnsiTheme="majorEastAsia" w:eastAsiaTheme="majorEastAsia"/>
                <w:bCs/>
                <w:szCs w:val="21"/>
              </w:rPr>
            </w:pPr>
            <w:r>
              <w:rPr>
                <w:rFonts w:hint="eastAsia" w:asciiTheme="majorEastAsia" w:hAnsiTheme="majorEastAsia" w:eastAsiaTheme="majorEastAsia"/>
                <w:bCs/>
                <w:szCs w:val="21"/>
              </w:rPr>
              <w:t>1、用于精液检查前促进液化迟缓精液标本的液化、降低精液的粘稠度。</w:t>
            </w:r>
          </w:p>
          <w:p>
            <w:pPr>
              <w:ind w:right="-340" w:rightChars="-162"/>
              <w:rPr>
                <w:rFonts w:hint="eastAsia" w:asciiTheme="majorEastAsia" w:hAnsiTheme="majorEastAsia" w:eastAsiaTheme="majorEastAsia"/>
                <w:bCs/>
                <w:szCs w:val="21"/>
              </w:rPr>
            </w:pPr>
            <w:r>
              <w:rPr>
                <w:rFonts w:hint="eastAsia" w:asciiTheme="majorEastAsia" w:hAnsiTheme="majorEastAsia" w:eastAsiaTheme="majorEastAsia"/>
                <w:bCs/>
                <w:szCs w:val="21"/>
              </w:rPr>
              <w:t>2、液化能力：60min内液化完全。</w:t>
            </w:r>
          </w:p>
          <w:p>
            <w:pPr>
              <w:ind w:right="-340" w:rightChars="-162"/>
              <w:rPr>
                <w:rFonts w:hint="eastAsia" w:asciiTheme="majorEastAsia" w:hAnsiTheme="majorEastAsia" w:eastAsiaTheme="majorEastAsia"/>
                <w:bCs/>
                <w:szCs w:val="21"/>
              </w:rPr>
            </w:pPr>
            <w:r>
              <w:rPr>
                <w:rFonts w:hint="eastAsia" w:asciiTheme="majorEastAsia" w:hAnsiTheme="majorEastAsia" w:eastAsiaTheme="majorEastAsia"/>
                <w:bCs/>
                <w:szCs w:val="21"/>
              </w:rPr>
              <w:t>3、液化剂添加后对精子活力的影响：90min内与对照组无显著性差异。</w:t>
            </w:r>
          </w:p>
          <w:p>
            <w:pPr>
              <w:ind w:right="-340" w:rightChars="-162"/>
              <w:rPr>
                <w:rFonts w:hint="eastAsia" w:asciiTheme="majorEastAsia" w:hAnsiTheme="majorEastAsia" w:eastAsiaTheme="majorEastAsia"/>
                <w:bCs/>
                <w:szCs w:val="21"/>
              </w:rPr>
            </w:pPr>
            <w:r>
              <w:rPr>
                <w:rFonts w:hint="eastAsia" w:asciiTheme="majorEastAsia" w:hAnsiTheme="majorEastAsia" w:eastAsiaTheme="majorEastAsia"/>
                <w:bCs/>
                <w:szCs w:val="21"/>
              </w:rPr>
              <w:t>4、液化剂以纯化水1:100稀释后对精浆生化、免疫检测值的影响：与纯化水检测结果无显著性差异。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478" w:type="pct"/>
          </w:tcPr>
          <w:p>
            <w:pPr>
              <w:ind w:right="-340" w:rightChars="-162" w:firstLine="210" w:firstLineChars="100"/>
              <w:rPr>
                <w:rFonts w:hint="eastAsia" w:asciiTheme="majorEastAsia" w:hAnsiTheme="majorEastAsia" w:eastAsiaTheme="majorEastAsia"/>
                <w:bCs/>
                <w:szCs w:val="21"/>
              </w:rPr>
            </w:pPr>
            <w:r>
              <w:rPr>
                <w:rFonts w:hint="eastAsia" w:asciiTheme="majorEastAsia" w:hAnsiTheme="majorEastAsia" w:eastAsiaTheme="majorEastAsia"/>
                <w:bCs/>
                <w:szCs w:val="21"/>
              </w:rPr>
              <w:t>2.1.10</w:t>
            </w:r>
          </w:p>
        </w:tc>
        <w:tc>
          <w:tcPr>
            <w:tcW w:w="4521" w:type="pct"/>
          </w:tcPr>
          <w:p>
            <w:pPr>
              <w:ind w:right="-340" w:rightChars="-162"/>
              <w:rPr>
                <w:rFonts w:hint="eastAsia" w:asciiTheme="majorEastAsia" w:hAnsiTheme="majorEastAsia" w:eastAsiaTheme="majorEastAsia"/>
                <w:bCs/>
                <w:szCs w:val="21"/>
              </w:rPr>
            </w:pPr>
            <w:r>
              <w:rPr>
                <w:rFonts w:hint="eastAsia" w:asciiTheme="majorEastAsia" w:hAnsiTheme="majorEastAsia" w:eastAsiaTheme="majorEastAsia"/>
                <w:bCs/>
                <w:szCs w:val="21"/>
              </w:rPr>
              <w:t>精浆复合质控品</w:t>
            </w:r>
          </w:p>
          <w:p>
            <w:pPr>
              <w:pStyle w:val="24"/>
              <w:numPr>
                <w:ilvl w:val="0"/>
                <w:numId w:val="1"/>
              </w:numPr>
              <w:ind w:right="-340" w:rightChars="-162" w:firstLineChars="0"/>
              <w:rPr>
                <w:rFonts w:hint="eastAsia" w:asciiTheme="majorEastAsia" w:hAnsiTheme="majorEastAsia" w:eastAsiaTheme="majorEastAsia"/>
                <w:bCs/>
                <w:szCs w:val="21"/>
              </w:rPr>
            </w:pPr>
            <w:r>
              <w:rPr>
                <w:rFonts w:hint="eastAsia" w:asciiTheme="majorEastAsia" w:hAnsiTheme="majorEastAsia" w:eastAsiaTheme="majorEastAsia"/>
                <w:bCs/>
                <w:szCs w:val="21"/>
              </w:rPr>
              <w:t>用于精浆生化和免疫项目质量控制的复合型质控品。</w:t>
            </w:r>
          </w:p>
          <w:p>
            <w:pPr>
              <w:pStyle w:val="24"/>
              <w:numPr>
                <w:ilvl w:val="0"/>
                <w:numId w:val="1"/>
              </w:numPr>
              <w:ind w:right="-340" w:rightChars="-162" w:firstLineChars="0"/>
              <w:rPr>
                <w:rFonts w:hint="eastAsia" w:asciiTheme="majorEastAsia" w:hAnsiTheme="majorEastAsia" w:eastAsiaTheme="majorEastAsia"/>
                <w:bCs/>
                <w:szCs w:val="21"/>
              </w:rPr>
            </w:pPr>
            <w:r>
              <w:rPr>
                <w:rFonts w:hint="eastAsia" w:asciiTheme="majorEastAsia" w:hAnsiTheme="majorEastAsia" w:eastAsiaTheme="majorEastAsia"/>
                <w:bCs/>
                <w:szCs w:val="21"/>
              </w:rPr>
              <w:t>质控项目：精浆果糖定量检测、精浆中性a-葡糖苷酶定量检测、精浆锌定量检测、精浆酸性磷酸酶定量检测、精浆柠檬酸定量检测、精浆弹性蛋白酶定量检测、精子顶体酶活性定量检测。</w:t>
            </w:r>
          </w:p>
          <w:p>
            <w:pPr>
              <w:ind w:right="-340" w:rightChars="-162"/>
              <w:rPr>
                <w:rFonts w:hint="eastAsia" w:asciiTheme="majorEastAsia" w:hAnsiTheme="majorEastAsia" w:eastAsiaTheme="majorEastAsia"/>
                <w:bCs/>
                <w:szCs w:val="21"/>
              </w:rPr>
            </w:pPr>
            <w:r>
              <w:rPr>
                <w:rFonts w:hint="eastAsia" w:asciiTheme="majorEastAsia" w:hAnsiTheme="majorEastAsia" w:eastAsiaTheme="majorEastAsia"/>
                <w:bCs/>
                <w:szCs w:val="21"/>
              </w:rPr>
              <w:t>3、瓶内均一性：变异系数（CV）≤8%，瓶间均一性：变异系数（CV）≤10%。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478" w:type="pct"/>
          </w:tcPr>
          <w:p>
            <w:pPr>
              <w:ind w:right="-340" w:rightChars="-162" w:firstLine="211" w:firstLineChars="100"/>
              <w:rPr>
                <w:rFonts w:hint="eastAsia" w:asciiTheme="majorEastAsia" w:hAnsiTheme="majorEastAsia" w:eastAsiaTheme="majorEastAsia"/>
                <w:b/>
                <w:szCs w:val="21"/>
              </w:rPr>
            </w:pPr>
            <w:r>
              <w:rPr>
                <w:rFonts w:hint="eastAsia" w:asciiTheme="majorEastAsia" w:hAnsiTheme="majorEastAsia" w:eastAsiaTheme="majorEastAsia"/>
                <w:b/>
                <w:szCs w:val="21"/>
              </w:rPr>
              <w:t>三</w:t>
            </w:r>
          </w:p>
        </w:tc>
        <w:tc>
          <w:tcPr>
            <w:tcW w:w="4521" w:type="pct"/>
          </w:tcPr>
          <w:p>
            <w:pPr>
              <w:ind w:right="-340" w:rightChars="-162"/>
              <w:rPr>
                <w:rFonts w:hint="eastAsia" w:asciiTheme="majorEastAsia" w:hAnsiTheme="majorEastAsia" w:eastAsiaTheme="majorEastAsia"/>
                <w:b/>
                <w:szCs w:val="21"/>
              </w:rPr>
            </w:pPr>
            <w:r>
              <w:rPr>
                <w:rFonts w:hint="eastAsia" w:ascii="宋体" w:hAnsi="宋体" w:cs="宋体"/>
                <w:b/>
                <w:bCs/>
                <w:color w:val="000000"/>
                <w:kern w:val="0"/>
                <w:szCs w:val="21"/>
              </w:rPr>
              <w:t>配套检测设备要求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478" w:type="pct"/>
          </w:tcPr>
          <w:p>
            <w:pPr>
              <w:ind w:right="-340" w:rightChars="-162" w:firstLine="210" w:firstLineChars="100"/>
              <w:rPr>
                <w:rFonts w:hint="eastAsia" w:asciiTheme="majorEastAsia" w:hAnsiTheme="majorEastAsia" w:eastAsiaTheme="majorEastAsia"/>
                <w:bCs/>
                <w:szCs w:val="21"/>
              </w:rPr>
            </w:pPr>
            <w:r>
              <w:rPr>
                <w:rFonts w:hint="eastAsia" w:asciiTheme="majorEastAsia" w:hAnsiTheme="majorEastAsia" w:eastAsiaTheme="majorEastAsia"/>
                <w:bCs/>
                <w:szCs w:val="21"/>
              </w:rPr>
              <w:t>3.1</w:t>
            </w:r>
          </w:p>
        </w:tc>
        <w:tc>
          <w:tcPr>
            <w:tcW w:w="4521" w:type="pct"/>
          </w:tcPr>
          <w:p>
            <w:pPr>
              <w:ind w:right="-340" w:rightChars="-162"/>
              <w:rPr>
                <w:rFonts w:hint="eastAsia" w:asciiTheme="majorEastAsia" w:hAnsiTheme="majorEastAsia" w:eastAsiaTheme="majorEastAsia"/>
                <w:bCs/>
                <w:szCs w:val="21"/>
              </w:rPr>
            </w:pPr>
            <w:r>
              <w:rPr>
                <w:rFonts w:hint="eastAsia" w:asciiTheme="majorEastAsia" w:hAnsiTheme="majorEastAsia" w:eastAsiaTheme="majorEastAsia"/>
                <w:bCs/>
                <w:szCs w:val="21"/>
              </w:rPr>
              <w:t>全自动精浆生化分析仪（含精浆生化数据分析处理软件）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478" w:type="pct"/>
          </w:tcPr>
          <w:p>
            <w:pPr>
              <w:ind w:right="-340" w:rightChars="-162" w:firstLine="210" w:firstLineChars="100"/>
              <w:jc w:val="left"/>
              <w:rPr>
                <w:rFonts w:hint="eastAsia" w:asciiTheme="majorEastAsia" w:hAnsiTheme="majorEastAsia" w:eastAsiaTheme="majorEastAsia"/>
                <w:bCs/>
                <w:szCs w:val="21"/>
              </w:rPr>
            </w:pPr>
            <w:r>
              <w:rPr>
                <w:rFonts w:hint="eastAsia" w:asciiTheme="majorEastAsia" w:hAnsiTheme="majorEastAsia" w:eastAsiaTheme="majorEastAsia"/>
                <w:bCs/>
                <w:szCs w:val="21"/>
              </w:rPr>
              <w:t>四</w:t>
            </w:r>
          </w:p>
        </w:tc>
        <w:tc>
          <w:tcPr>
            <w:tcW w:w="4521" w:type="pct"/>
          </w:tcPr>
          <w:p>
            <w:pPr>
              <w:ind w:right="-340" w:rightChars="-162"/>
              <w:rPr>
                <w:rFonts w:hint="eastAsia" w:asciiTheme="majorEastAsia" w:hAnsiTheme="majorEastAsia" w:eastAsiaTheme="majorEastAsia"/>
                <w:b/>
                <w:szCs w:val="21"/>
              </w:rPr>
            </w:pPr>
            <w:r>
              <w:rPr>
                <w:rFonts w:hint="eastAsia" w:asciiTheme="majorEastAsia" w:hAnsiTheme="majorEastAsia" w:eastAsiaTheme="majorEastAsia"/>
                <w:b/>
                <w:szCs w:val="21"/>
              </w:rPr>
              <w:t>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478" w:type="pct"/>
          </w:tcPr>
          <w:p>
            <w:pPr>
              <w:ind w:right="-340" w:rightChars="-162" w:firstLine="210" w:firstLineChars="100"/>
              <w:jc w:val="left"/>
              <w:rPr>
                <w:rFonts w:hint="eastAsia" w:asciiTheme="majorEastAsia" w:hAnsiTheme="majorEastAsia" w:eastAsiaTheme="majorEastAsia"/>
                <w:bCs/>
                <w:szCs w:val="21"/>
              </w:rPr>
            </w:pPr>
            <w:r>
              <w:rPr>
                <w:rFonts w:hint="eastAsia" w:asciiTheme="majorEastAsia" w:hAnsiTheme="majorEastAsia" w:eastAsiaTheme="majorEastAsia"/>
                <w:bCs/>
                <w:szCs w:val="21"/>
              </w:rPr>
              <w:t>4.1</w:t>
            </w:r>
          </w:p>
        </w:tc>
        <w:tc>
          <w:tcPr>
            <w:tcW w:w="4521" w:type="pct"/>
            <w:vAlign w:val="center"/>
          </w:tcPr>
          <w:p>
            <w:pPr>
              <w:ind w:left="105" w:leftChars="50" w:right="105" w:rightChars="50"/>
              <w:rPr>
                <w:rFonts w:hint="eastAsia" w:asciiTheme="majorEastAsia" w:hAnsiTheme="majorEastAsia" w:eastAsiaTheme="majorEastAsia"/>
                <w:bCs/>
                <w:szCs w:val="21"/>
              </w:rPr>
            </w:pPr>
            <w:r>
              <w:rPr>
                <w:rFonts w:hint="eastAsia" w:asciiTheme="majorEastAsia" w:hAnsiTheme="majorEastAsia" w:eastAsiaTheme="majorEastAsia"/>
                <w:bCs/>
                <w:szCs w:val="21"/>
              </w:rPr>
              <w:t>故障响应时间＜2小时，如6小时内无法解决需提供应急方案。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478" w:type="pct"/>
          </w:tcPr>
          <w:p>
            <w:pPr>
              <w:ind w:right="-340" w:rightChars="-162" w:firstLine="210" w:firstLineChars="100"/>
              <w:jc w:val="left"/>
              <w:rPr>
                <w:rFonts w:hint="eastAsia" w:asciiTheme="majorEastAsia" w:hAnsiTheme="majorEastAsia" w:eastAsiaTheme="majorEastAsia"/>
                <w:bCs/>
                <w:szCs w:val="21"/>
              </w:rPr>
            </w:pPr>
            <w:r>
              <w:rPr>
                <w:rFonts w:hint="eastAsia" w:asciiTheme="majorEastAsia" w:hAnsiTheme="majorEastAsia" w:eastAsiaTheme="majorEastAsia"/>
                <w:bCs/>
                <w:szCs w:val="21"/>
              </w:rPr>
              <w:t>4.2</w:t>
            </w:r>
          </w:p>
        </w:tc>
        <w:tc>
          <w:tcPr>
            <w:tcW w:w="4521" w:type="pct"/>
            <w:vAlign w:val="center"/>
          </w:tcPr>
          <w:p>
            <w:pPr>
              <w:ind w:left="105" w:leftChars="50" w:right="105" w:rightChars="50"/>
              <w:rPr>
                <w:rFonts w:hint="eastAsia" w:asciiTheme="majorEastAsia" w:hAnsiTheme="majorEastAsia" w:eastAsiaTheme="majorEastAsia"/>
                <w:bCs/>
                <w:szCs w:val="21"/>
              </w:rPr>
            </w:pPr>
            <w:r>
              <w:rPr>
                <w:rFonts w:hint="eastAsia" w:asciiTheme="majorEastAsia" w:hAnsiTheme="majorEastAsia" w:eastAsiaTheme="majorEastAsia"/>
                <w:bCs/>
                <w:szCs w:val="21"/>
              </w:rPr>
              <w:t>提供配套设备月保养及年度校准，并出具正式校准报告。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478" w:type="pct"/>
          </w:tcPr>
          <w:p>
            <w:pPr>
              <w:ind w:right="-340" w:rightChars="-162" w:firstLine="210" w:firstLineChars="100"/>
              <w:jc w:val="left"/>
              <w:rPr>
                <w:rFonts w:hint="eastAsia" w:asciiTheme="majorEastAsia" w:hAnsiTheme="majorEastAsia" w:eastAsiaTheme="majorEastAsia"/>
                <w:bCs/>
                <w:szCs w:val="21"/>
              </w:rPr>
            </w:pPr>
            <w:r>
              <w:rPr>
                <w:rFonts w:hint="eastAsia" w:asciiTheme="majorEastAsia" w:hAnsiTheme="majorEastAsia" w:eastAsiaTheme="majorEastAsia"/>
                <w:bCs/>
                <w:szCs w:val="21"/>
              </w:rPr>
              <w:t>4.3</w:t>
            </w:r>
          </w:p>
        </w:tc>
        <w:tc>
          <w:tcPr>
            <w:tcW w:w="4521" w:type="pct"/>
            <w:vAlign w:val="center"/>
          </w:tcPr>
          <w:p>
            <w:pPr>
              <w:ind w:left="105" w:leftChars="50" w:right="105" w:rightChars="50"/>
              <w:rPr>
                <w:rFonts w:hint="eastAsia" w:asciiTheme="majorEastAsia" w:hAnsiTheme="majorEastAsia" w:eastAsiaTheme="majorEastAsia"/>
                <w:bCs/>
                <w:szCs w:val="21"/>
              </w:rPr>
            </w:pPr>
            <w:r>
              <w:rPr>
                <w:rFonts w:hint="eastAsia" w:asciiTheme="majorEastAsia" w:hAnsiTheme="majorEastAsia" w:eastAsiaTheme="majorEastAsia"/>
                <w:bCs/>
                <w:szCs w:val="21"/>
              </w:rPr>
              <w:t>按时配送、应急供货、具有突发公共事件处置方案。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478" w:type="pct"/>
          </w:tcPr>
          <w:p>
            <w:pPr>
              <w:ind w:right="-340" w:rightChars="-162" w:firstLine="210" w:firstLineChars="100"/>
              <w:jc w:val="left"/>
              <w:rPr>
                <w:rFonts w:hint="eastAsia" w:asciiTheme="majorEastAsia" w:hAnsiTheme="majorEastAsia" w:eastAsiaTheme="majorEastAsia"/>
                <w:bCs/>
                <w:szCs w:val="21"/>
              </w:rPr>
            </w:pPr>
            <w:r>
              <w:rPr>
                <w:rFonts w:hint="eastAsia" w:asciiTheme="majorEastAsia" w:hAnsiTheme="majorEastAsia" w:eastAsiaTheme="majorEastAsia"/>
                <w:bCs/>
                <w:szCs w:val="21"/>
              </w:rPr>
              <w:t>4.4</w:t>
            </w:r>
          </w:p>
        </w:tc>
        <w:tc>
          <w:tcPr>
            <w:tcW w:w="4521" w:type="pct"/>
            <w:vAlign w:val="center"/>
          </w:tcPr>
          <w:p>
            <w:pPr>
              <w:ind w:left="105" w:leftChars="50" w:right="105" w:rightChars="50"/>
              <w:rPr>
                <w:rFonts w:hint="eastAsia" w:asciiTheme="majorEastAsia" w:hAnsiTheme="majorEastAsia" w:eastAsiaTheme="majorEastAsia"/>
                <w:bCs/>
                <w:szCs w:val="21"/>
              </w:rPr>
            </w:pPr>
            <w:r>
              <w:rPr>
                <w:rFonts w:hint="eastAsia" w:asciiTheme="majorEastAsia" w:hAnsiTheme="majorEastAsia" w:eastAsiaTheme="majorEastAsia"/>
                <w:bCs/>
                <w:szCs w:val="21"/>
              </w:rPr>
              <w:t>产品有效期内质量问题，免费退换。</w:t>
            </w:r>
          </w:p>
        </w:tc>
      </w:tr>
    </w:tbl>
    <w:p/>
    <w:p/>
    <w:p>
      <w:r>
        <w:rPr>
          <w:rFonts w:hint="eastAsia"/>
        </w:rPr>
        <w:t>报价要求：</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9"/>
        <w:gridCol w:w="2130"/>
        <w:gridCol w:w="2130"/>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tcPr>
          <w:p>
            <w:r>
              <w:rPr>
                <w:rFonts w:hint="eastAsia"/>
              </w:rPr>
              <w:t>项目名称</w:t>
            </w:r>
          </w:p>
        </w:tc>
        <w:tc>
          <w:tcPr>
            <w:tcW w:w="2130" w:type="dxa"/>
          </w:tcPr>
          <w:p>
            <w:pPr>
              <w:jc w:val="center"/>
            </w:pPr>
            <w:r>
              <w:rPr>
                <w:rFonts w:hint="eastAsia"/>
              </w:rPr>
              <w:t>试剂名称</w:t>
            </w:r>
          </w:p>
        </w:tc>
        <w:tc>
          <w:tcPr>
            <w:tcW w:w="2130" w:type="dxa"/>
          </w:tcPr>
          <w:p>
            <w:pPr>
              <w:jc w:val="center"/>
            </w:pPr>
            <w:r>
              <w:rPr>
                <w:rFonts w:hint="eastAsia"/>
              </w:rPr>
              <w:t>权重</w:t>
            </w:r>
          </w:p>
        </w:tc>
        <w:tc>
          <w:tcPr>
            <w:tcW w:w="2130" w:type="dxa"/>
          </w:tcPr>
          <w:p>
            <w:pPr>
              <w:jc w:val="center"/>
            </w:pPr>
            <w:r>
              <w:rPr>
                <w:rFonts w:hint="eastAsia"/>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vAlign w:val="center"/>
          </w:tcPr>
          <w:p>
            <w:pPr>
              <w:widowControl/>
              <w:jc w:val="left"/>
              <w:textAlignment w:val="center"/>
            </w:pPr>
            <w:r>
              <w:rPr>
                <w:rFonts w:hint="eastAsia" w:ascii="宋体" w:hAnsi="宋体" w:cs="宋体"/>
                <w:color w:val="000000"/>
                <w:kern w:val="0"/>
                <w:sz w:val="22"/>
                <w:szCs w:val="22"/>
                <w:lang w:bidi="ar"/>
              </w:rPr>
              <w:t>精浆果糖测定</w:t>
            </w:r>
          </w:p>
        </w:tc>
        <w:tc>
          <w:tcPr>
            <w:tcW w:w="2130" w:type="dxa"/>
          </w:tcPr>
          <w:p>
            <w:pPr>
              <w:jc w:val="center"/>
            </w:pPr>
          </w:p>
        </w:tc>
        <w:tc>
          <w:tcPr>
            <w:tcW w:w="2130" w:type="dxa"/>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23.26%</w:t>
            </w:r>
          </w:p>
        </w:tc>
        <w:tc>
          <w:tcPr>
            <w:tcW w:w="2130"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vAlign w:val="center"/>
          </w:tcPr>
          <w:p>
            <w:pPr>
              <w:widowControl/>
              <w:jc w:val="left"/>
              <w:textAlignment w:val="center"/>
            </w:pPr>
            <w:r>
              <w:rPr>
                <w:rFonts w:hint="eastAsia" w:asciiTheme="majorEastAsia" w:hAnsiTheme="majorEastAsia" w:eastAsiaTheme="majorEastAsia"/>
                <w:bCs/>
                <w:szCs w:val="21"/>
              </w:rPr>
              <w:t>精子膜表面抗体免疫珠试验</w:t>
            </w:r>
          </w:p>
        </w:tc>
        <w:tc>
          <w:tcPr>
            <w:tcW w:w="2130" w:type="dxa"/>
          </w:tcPr>
          <w:p>
            <w:pPr>
              <w:jc w:val="center"/>
            </w:pPr>
          </w:p>
        </w:tc>
        <w:tc>
          <w:tcPr>
            <w:tcW w:w="2130" w:type="dxa"/>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7.29%</w:t>
            </w:r>
          </w:p>
        </w:tc>
        <w:tc>
          <w:tcPr>
            <w:tcW w:w="2130"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vAlign w:val="center"/>
          </w:tcPr>
          <w:p>
            <w:pPr>
              <w:widowControl/>
              <w:jc w:val="left"/>
              <w:textAlignment w:val="center"/>
            </w:pPr>
            <w:r>
              <w:rPr>
                <w:rFonts w:hint="eastAsia" w:asciiTheme="majorEastAsia" w:hAnsiTheme="majorEastAsia" w:eastAsiaTheme="majorEastAsia"/>
                <w:bCs/>
                <w:szCs w:val="21"/>
              </w:rPr>
              <w:t>精子顶体酶活性定量测定</w:t>
            </w:r>
          </w:p>
        </w:tc>
        <w:tc>
          <w:tcPr>
            <w:tcW w:w="2130" w:type="dxa"/>
          </w:tcPr>
          <w:p>
            <w:pPr>
              <w:jc w:val="center"/>
            </w:pPr>
          </w:p>
        </w:tc>
        <w:tc>
          <w:tcPr>
            <w:tcW w:w="2130" w:type="dxa"/>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4.81%</w:t>
            </w:r>
          </w:p>
        </w:tc>
        <w:tc>
          <w:tcPr>
            <w:tcW w:w="2130"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vAlign w:val="center"/>
          </w:tcPr>
          <w:p>
            <w:pPr>
              <w:widowControl/>
              <w:jc w:val="left"/>
              <w:textAlignment w:val="center"/>
            </w:pPr>
            <w:r>
              <w:rPr>
                <w:rFonts w:hint="eastAsia" w:ascii="宋体" w:hAnsi="宋体" w:cs="宋体"/>
                <w:color w:val="000000"/>
                <w:kern w:val="0"/>
                <w:sz w:val="22"/>
                <w:szCs w:val="22"/>
                <w:lang w:bidi="ar"/>
              </w:rPr>
              <w:t>精浆锌测定</w:t>
            </w:r>
          </w:p>
        </w:tc>
        <w:tc>
          <w:tcPr>
            <w:tcW w:w="2130" w:type="dxa"/>
          </w:tcPr>
          <w:p>
            <w:pPr>
              <w:jc w:val="center"/>
            </w:pPr>
          </w:p>
        </w:tc>
        <w:tc>
          <w:tcPr>
            <w:tcW w:w="2130" w:type="dxa"/>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25.74%</w:t>
            </w:r>
          </w:p>
        </w:tc>
        <w:tc>
          <w:tcPr>
            <w:tcW w:w="2130"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vAlign w:val="center"/>
          </w:tcPr>
          <w:p>
            <w:pPr>
              <w:widowControl/>
              <w:jc w:val="left"/>
              <w:textAlignment w:val="center"/>
            </w:pPr>
            <w:r>
              <w:rPr>
                <w:rFonts w:hint="eastAsia" w:asciiTheme="majorEastAsia" w:hAnsiTheme="majorEastAsia" w:eastAsiaTheme="majorEastAsia"/>
                <w:bCs/>
                <w:szCs w:val="21"/>
              </w:rPr>
              <w:t>精浆弹性硬蛋白酶定量测定</w:t>
            </w:r>
          </w:p>
        </w:tc>
        <w:tc>
          <w:tcPr>
            <w:tcW w:w="2130" w:type="dxa"/>
          </w:tcPr>
          <w:p>
            <w:pPr>
              <w:jc w:val="center"/>
            </w:pPr>
          </w:p>
        </w:tc>
        <w:tc>
          <w:tcPr>
            <w:tcW w:w="2130" w:type="dxa"/>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11.16%</w:t>
            </w:r>
          </w:p>
        </w:tc>
        <w:tc>
          <w:tcPr>
            <w:tcW w:w="2130"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vAlign w:val="center"/>
          </w:tcPr>
          <w:p>
            <w:pPr>
              <w:widowControl/>
              <w:jc w:val="left"/>
              <w:textAlignment w:val="center"/>
            </w:pPr>
            <w:r>
              <w:rPr>
                <w:rFonts w:hint="eastAsia" w:asciiTheme="majorEastAsia" w:hAnsiTheme="majorEastAsia" w:eastAsiaTheme="majorEastAsia"/>
                <w:bCs/>
                <w:szCs w:val="21"/>
              </w:rPr>
              <w:t>精浆中性α—葡萄糖苷酶活性测定</w:t>
            </w:r>
          </w:p>
        </w:tc>
        <w:tc>
          <w:tcPr>
            <w:tcW w:w="2130" w:type="dxa"/>
          </w:tcPr>
          <w:p>
            <w:pPr>
              <w:jc w:val="center"/>
            </w:pPr>
          </w:p>
        </w:tc>
        <w:tc>
          <w:tcPr>
            <w:tcW w:w="2130" w:type="dxa"/>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26.67%</w:t>
            </w:r>
          </w:p>
        </w:tc>
        <w:tc>
          <w:tcPr>
            <w:tcW w:w="2130"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vAlign w:val="center"/>
          </w:tcPr>
          <w:p>
            <w:pPr>
              <w:widowControl/>
              <w:jc w:val="left"/>
              <w:textAlignment w:val="center"/>
            </w:pPr>
            <w:r>
              <w:rPr>
                <w:rFonts w:hint="eastAsia" w:asciiTheme="majorEastAsia" w:hAnsiTheme="majorEastAsia" w:eastAsiaTheme="majorEastAsia"/>
                <w:bCs/>
                <w:szCs w:val="21"/>
              </w:rPr>
              <w:t>精浆柠檬酸定量检测</w:t>
            </w:r>
          </w:p>
        </w:tc>
        <w:tc>
          <w:tcPr>
            <w:tcW w:w="2130" w:type="dxa"/>
          </w:tcPr>
          <w:p>
            <w:pPr>
              <w:jc w:val="center"/>
            </w:pPr>
          </w:p>
        </w:tc>
        <w:tc>
          <w:tcPr>
            <w:tcW w:w="2130" w:type="dxa"/>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0.47%</w:t>
            </w:r>
          </w:p>
        </w:tc>
        <w:tc>
          <w:tcPr>
            <w:tcW w:w="2130"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vAlign w:val="center"/>
          </w:tcPr>
          <w:p>
            <w:pPr>
              <w:widowControl/>
              <w:jc w:val="left"/>
              <w:textAlignment w:val="center"/>
              <w:rPr>
                <w:rFonts w:hint="eastAsia" w:asciiTheme="majorEastAsia" w:hAnsiTheme="majorEastAsia" w:eastAsiaTheme="majorEastAsia"/>
                <w:bCs/>
                <w:szCs w:val="21"/>
              </w:rPr>
            </w:pPr>
            <w:r>
              <w:rPr>
                <w:rFonts w:hint="eastAsia" w:asciiTheme="majorEastAsia" w:hAnsiTheme="majorEastAsia" w:eastAsiaTheme="majorEastAsia"/>
                <w:bCs/>
                <w:szCs w:val="21"/>
              </w:rPr>
              <w:t>精液酸性磷酸酶测定</w:t>
            </w:r>
          </w:p>
        </w:tc>
        <w:tc>
          <w:tcPr>
            <w:tcW w:w="2130" w:type="dxa"/>
          </w:tcPr>
          <w:p>
            <w:pPr>
              <w:jc w:val="center"/>
            </w:pPr>
          </w:p>
        </w:tc>
        <w:tc>
          <w:tcPr>
            <w:tcW w:w="2130" w:type="dxa"/>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0.62%</w:t>
            </w:r>
          </w:p>
        </w:tc>
        <w:tc>
          <w:tcPr>
            <w:tcW w:w="2130" w:type="dxa"/>
          </w:tcPr>
          <w:p>
            <w:pPr>
              <w:jc w:val="center"/>
            </w:pPr>
          </w:p>
        </w:tc>
      </w:tr>
    </w:tbl>
    <w:p/>
    <w:p>
      <w:pPr>
        <w:widowControl/>
        <w:jc w:val="left"/>
      </w:pPr>
      <w:r>
        <w:br w:type="page"/>
      </w:r>
    </w:p>
    <w:p>
      <w:pPr>
        <w:rPr>
          <w:rFonts w:hint="eastAsia"/>
        </w:rPr>
      </w:pPr>
    </w:p>
    <w:p>
      <w:pPr>
        <w:pStyle w:val="12"/>
        <w:numPr>
          <w:ilvl w:val="0"/>
          <w:numId w:val="2"/>
        </w:numPr>
      </w:pPr>
      <w:bookmarkStart w:id="4" w:name="_Toc220618498"/>
      <w:r>
        <w:rPr>
          <w:rFonts w:hint="eastAsia"/>
        </w:rPr>
        <w:t>评分标准</w:t>
      </w:r>
      <w:bookmarkEnd w:id="4"/>
    </w:p>
    <w:tbl>
      <w:tblPr>
        <w:tblStyle w:val="14"/>
        <w:tblW w:w="5099" w:type="pct"/>
        <w:tblInd w:w="-253"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6282"/>
        <w:gridCol w:w="1080"/>
        <w:gridCol w:w="95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400" w:type="pct"/>
            <w:vAlign w:val="center"/>
          </w:tcPr>
          <w:p>
            <w:pPr>
              <w:spacing w:line="276" w:lineRule="auto"/>
              <w:jc w:val="center"/>
              <w:rPr>
                <w:b/>
                <w:bCs/>
                <w:sz w:val="24"/>
              </w:rPr>
            </w:pPr>
            <w:r>
              <w:rPr>
                <w:b/>
                <w:bCs/>
                <w:sz w:val="24"/>
              </w:rPr>
              <w:t>序号</w:t>
            </w:r>
          </w:p>
        </w:tc>
        <w:tc>
          <w:tcPr>
            <w:tcW w:w="3472" w:type="pct"/>
            <w:vAlign w:val="center"/>
          </w:tcPr>
          <w:p>
            <w:pPr>
              <w:spacing w:line="276" w:lineRule="auto"/>
              <w:ind w:right="-313" w:rightChars="-149"/>
              <w:jc w:val="center"/>
              <w:rPr>
                <w:b/>
                <w:bCs/>
                <w:sz w:val="24"/>
              </w:rPr>
            </w:pPr>
            <w:r>
              <w:rPr>
                <w:b/>
                <w:bCs/>
                <w:sz w:val="24"/>
              </w:rPr>
              <w:t>评审细则</w:t>
            </w:r>
          </w:p>
        </w:tc>
        <w:tc>
          <w:tcPr>
            <w:tcW w:w="597" w:type="pct"/>
            <w:vAlign w:val="center"/>
          </w:tcPr>
          <w:p>
            <w:pPr>
              <w:spacing w:line="276" w:lineRule="auto"/>
              <w:jc w:val="center"/>
              <w:rPr>
                <w:b/>
                <w:bCs/>
                <w:sz w:val="24"/>
              </w:rPr>
            </w:pPr>
            <w:r>
              <w:rPr>
                <w:b/>
                <w:bCs/>
                <w:sz w:val="24"/>
              </w:rPr>
              <w:t>说明</w:t>
            </w:r>
          </w:p>
        </w:tc>
        <w:tc>
          <w:tcPr>
            <w:tcW w:w="530" w:type="pct"/>
            <w:vAlign w:val="center"/>
          </w:tcPr>
          <w:p>
            <w:pPr>
              <w:spacing w:line="276" w:lineRule="auto"/>
              <w:jc w:val="center"/>
              <w:rPr>
                <w:b/>
                <w:bCs/>
                <w:sz w:val="24"/>
              </w:rPr>
            </w:pPr>
            <w:r>
              <w:rPr>
                <w:b/>
                <w:bCs/>
                <w:sz w:val="24"/>
              </w:rPr>
              <w:t>分值</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400" w:type="pct"/>
            <w:vAlign w:val="center"/>
          </w:tcPr>
          <w:p>
            <w:pPr>
              <w:spacing w:line="276" w:lineRule="auto"/>
              <w:jc w:val="center"/>
              <w:rPr>
                <w:sz w:val="24"/>
              </w:rPr>
            </w:pPr>
            <w:r>
              <w:rPr>
                <w:sz w:val="24"/>
              </w:rPr>
              <w:t>1</w:t>
            </w:r>
          </w:p>
        </w:tc>
        <w:tc>
          <w:tcPr>
            <w:tcW w:w="3472" w:type="pct"/>
            <w:vAlign w:val="center"/>
          </w:tcPr>
          <w:p>
            <w:pPr>
              <w:spacing w:line="276" w:lineRule="auto"/>
              <w:rPr>
                <w:sz w:val="24"/>
              </w:rPr>
            </w:pPr>
            <w:r>
              <w:rPr>
                <w:rFonts w:hint="eastAsia" w:ascii="宋体" w:hAnsi="宋体"/>
                <w:sz w:val="24"/>
              </w:rPr>
              <w:t>响应文件情况：响应文件资料完整性、真实性及编制质量（应字迹清晰，内容齐全，真实有据，不得有涂改、漏页、错页、夹页、漏章等情况）综合评定</w:t>
            </w:r>
            <w:r>
              <w:rPr>
                <w:rFonts w:ascii="宋体" w:hAnsi="宋体"/>
                <w:sz w:val="24"/>
              </w:rPr>
              <w:t>0-</w:t>
            </w:r>
            <w:r>
              <w:rPr>
                <w:rFonts w:hint="eastAsia" w:ascii="宋体" w:hAnsi="宋体"/>
                <w:sz w:val="24"/>
              </w:rPr>
              <w:t>2分。</w:t>
            </w:r>
          </w:p>
        </w:tc>
        <w:tc>
          <w:tcPr>
            <w:tcW w:w="597" w:type="pct"/>
            <w:vAlign w:val="center"/>
          </w:tcPr>
          <w:p>
            <w:pPr>
              <w:spacing w:line="276" w:lineRule="auto"/>
              <w:jc w:val="center"/>
              <w:rPr>
                <w:sz w:val="24"/>
              </w:rPr>
            </w:pPr>
            <w:r>
              <w:rPr>
                <w:rFonts w:hint="eastAsia"/>
                <w:sz w:val="24"/>
              </w:rPr>
              <w:t>主观分</w:t>
            </w:r>
          </w:p>
        </w:tc>
        <w:tc>
          <w:tcPr>
            <w:tcW w:w="530" w:type="pct"/>
            <w:vAlign w:val="center"/>
          </w:tcPr>
          <w:p>
            <w:pPr>
              <w:spacing w:line="276" w:lineRule="auto"/>
              <w:jc w:val="center"/>
              <w:rPr>
                <w:sz w:val="24"/>
              </w:rPr>
            </w:pPr>
            <w:r>
              <w:rPr>
                <w:rFonts w:hint="eastAsia"/>
                <w:sz w:val="24"/>
              </w:rPr>
              <w:t>2分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00" w:type="pct"/>
            <w:vAlign w:val="center"/>
          </w:tcPr>
          <w:p>
            <w:pPr>
              <w:spacing w:line="276" w:lineRule="auto"/>
              <w:jc w:val="center"/>
              <w:rPr>
                <w:sz w:val="24"/>
              </w:rPr>
            </w:pPr>
            <w:r>
              <w:rPr>
                <w:sz w:val="24"/>
              </w:rPr>
              <w:t>2</w:t>
            </w:r>
          </w:p>
        </w:tc>
        <w:tc>
          <w:tcPr>
            <w:tcW w:w="3472" w:type="pct"/>
            <w:vAlign w:val="center"/>
          </w:tcPr>
          <w:p>
            <w:pPr>
              <w:spacing w:line="276" w:lineRule="auto"/>
              <w:rPr>
                <w:sz w:val="24"/>
              </w:rPr>
            </w:pPr>
            <w:r>
              <w:rPr>
                <w:rFonts w:hint="eastAsia" w:ascii="宋体" w:hAnsi="宋体" w:cs="宋体"/>
                <w:kern w:val="0"/>
                <w:sz w:val="24"/>
              </w:rPr>
              <w:t>生产企业质量体系认证</w:t>
            </w:r>
            <w:r>
              <w:rPr>
                <w:rFonts w:hint="eastAsia"/>
                <w:sz w:val="24"/>
              </w:rPr>
              <w:t>：</w:t>
            </w:r>
            <w:r>
              <w:rPr>
                <w:rFonts w:hint="eastAsia" w:ascii="宋体" w:hAnsi="宋体"/>
                <w:sz w:val="24"/>
              </w:rPr>
              <w:t>如：</w:t>
            </w:r>
            <w:r>
              <w:rPr>
                <w:rFonts w:ascii="宋体" w:hAnsi="宋体"/>
                <w:sz w:val="24"/>
              </w:rPr>
              <w:t>ISO 9001、</w:t>
            </w:r>
            <w:r>
              <w:rPr>
                <w:rFonts w:hint="eastAsia" w:ascii="宋体" w:hAnsi="宋体"/>
                <w:sz w:val="24"/>
              </w:rPr>
              <w:t>ISO 13485</w:t>
            </w:r>
            <w:r>
              <w:rPr>
                <w:rFonts w:ascii="宋体" w:hAnsi="宋体"/>
                <w:sz w:val="24"/>
              </w:rPr>
              <w:t>。</w:t>
            </w:r>
            <w:r>
              <w:rPr>
                <w:rFonts w:hint="eastAsia"/>
                <w:sz w:val="24"/>
              </w:rPr>
              <w:t>每提供一份得1分，最高得2分。</w:t>
            </w:r>
          </w:p>
        </w:tc>
        <w:tc>
          <w:tcPr>
            <w:tcW w:w="597" w:type="pct"/>
            <w:vAlign w:val="center"/>
          </w:tcPr>
          <w:p>
            <w:pPr>
              <w:spacing w:line="276" w:lineRule="auto"/>
              <w:jc w:val="center"/>
              <w:rPr>
                <w:sz w:val="24"/>
              </w:rPr>
            </w:pPr>
            <w:r>
              <w:rPr>
                <w:rFonts w:hint="eastAsia"/>
                <w:sz w:val="24"/>
              </w:rPr>
              <w:t>客观分</w:t>
            </w:r>
          </w:p>
        </w:tc>
        <w:tc>
          <w:tcPr>
            <w:tcW w:w="530" w:type="pct"/>
            <w:vAlign w:val="center"/>
          </w:tcPr>
          <w:p>
            <w:pPr>
              <w:spacing w:line="276" w:lineRule="auto"/>
              <w:jc w:val="center"/>
              <w:rPr>
                <w:sz w:val="24"/>
              </w:rPr>
            </w:pPr>
            <w:r>
              <w:rPr>
                <w:rFonts w:hint="eastAsia"/>
                <w:sz w:val="24"/>
              </w:rPr>
              <w:t>2分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00" w:type="pct"/>
            <w:vAlign w:val="center"/>
          </w:tcPr>
          <w:p>
            <w:pPr>
              <w:spacing w:line="276" w:lineRule="auto"/>
              <w:jc w:val="center"/>
              <w:rPr>
                <w:sz w:val="24"/>
              </w:rPr>
            </w:pPr>
            <w:r>
              <w:rPr>
                <w:sz w:val="24"/>
              </w:rPr>
              <w:t>3</w:t>
            </w:r>
          </w:p>
        </w:tc>
        <w:tc>
          <w:tcPr>
            <w:tcW w:w="3472" w:type="pct"/>
            <w:vAlign w:val="center"/>
          </w:tcPr>
          <w:p>
            <w:pPr>
              <w:spacing w:line="276" w:lineRule="auto"/>
              <w:rPr>
                <w:sz w:val="24"/>
              </w:rPr>
            </w:pPr>
            <w:r>
              <w:rPr>
                <w:sz w:val="24"/>
              </w:rPr>
              <w:t>技术功能符合度：对应于 “采购内容及需求”响应情况，</w:t>
            </w:r>
            <w:r>
              <w:rPr>
                <w:rFonts w:hint="eastAsia" w:ascii="宋体" w:hAnsi="宋体" w:cs="Cambria Math"/>
                <w:sz w:val="24"/>
              </w:rPr>
              <w:t>△</w:t>
            </w:r>
            <w:r>
              <w:rPr>
                <w:sz w:val="24"/>
              </w:rPr>
              <w:t>每一条不满足采购文件的扣</w:t>
            </w:r>
            <w:r>
              <w:rPr>
                <w:rFonts w:hint="eastAsia"/>
                <w:sz w:val="24"/>
              </w:rPr>
              <w:t>2</w:t>
            </w:r>
            <w:r>
              <w:rPr>
                <w:sz w:val="24"/>
              </w:rPr>
              <w:t>分，其他每一条不满足采购文件的扣</w:t>
            </w:r>
            <w:r>
              <w:rPr>
                <w:rFonts w:hint="eastAsia"/>
                <w:sz w:val="24"/>
              </w:rPr>
              <w:t>1</w:t>
            </w:r>
            <w:r>
              <w:rPr>
                <w:sz w:val="24"/>
              </w:rPr>
              <w:t>分，扣完为止。</w:t>
            </w:r>
            <w:r>
              <w:rPr>
                <w:rFonts w:hint="eastAsia" w:ascii="宋体" w:hAnsi="宋体" w:cs="宋体"/>
                <w:sz w:val="24"/>
              </w:rPr>
              <w:t>▲</w:t>
            </w:r>
            <w:r>
              <w:rPr>
                <w:rFonts w:hint="eastAsia"/>
                <w:sz w:val="24"/>
              </w:rPr>
              <w:t>为实质性条款，若不满足响应无效。</w:t>
            </w:r>
          </w:p>
        </w:tc>
        <w:tc>
          <w:tcPr>
            <w:tcW w:w="597" w:type="pct"/>
            <w:vAlign w:val="center"/>
          </w:tcPr>
          <w:p>
            <w:pPr>
              <w:spacing w:line="276" w:lineRule="auto"/>
              <w:jc w:val="center"/>
              <w:rPr>
                <w:sz w:val="24"/>
              </w:rPr>
            </w:pPr>
            <w:r>
              <w:rPr>
                <w:sz w:val="24"/>
              </w:rPr>
              <w:t>客观分</w:t>
            </w:r>
          </w:p>
        </w:tc>
        <w:tc>
          <w:tcPr>
            <w:tcW w:w="530" w:type="pct"/>
            <w:vAlign w:val="center"/>
          </w:tcPr>
          <w:p>
            <w:pPr>
              <w:spacing w:line="276" w:lineRule="auto"/>
              <w:jc w:val="center"/>
              <w:rPr>
                <w:sz w:val="24"/>
              </w:rPr>
            </w:pPr>
            <w:r>
              <w:rPr>
                <w:rFonts w:hint="eastAsia"/>
                <w:sz w:val="24"/>
              </w:rPr>
              <w:t>25</w:t>
            </w:r>
            <w:r>
              <w:rPr>
                <w:sz w:val="24"/>
              </w:rPr>
              <w:t>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400" w:type="pct"/>
            <w:vAlign w:val="center"/>
          </w:tcPr>
          <w:p>
            <w:pPr>
              <w:spacing w:line="276" w:lineRule="auto"/>
              <w:jc w:val="center"/>
              <w:rPr>
                <w:sz w:val="24"/>
              </w:rPr>
            </w:pPr>
            <w:r>
              <w:rPr>
                <w:sz w:val="24"/>
              </w:rPr>
              <w:t>4</w:t>
            </w:r>
          </w:p>
        </w:tc>
        <w:tc>
          <w:tcPr>
            <w:tcW w:w="3472" w:type="pct"/>
            <w:vAlign w:val="center"/>
          </w:tcPr>
          <w:p>
            <w:pPr>
              <w:spacing w:line="276" w:lineRule="auto"/>
              <w:rPr>
                <w:sz w:val="24"/>
              </w:rPr>
            </w:pPr>
            <w:r>
              <w:rPr>
                <w:rFonts w:hint="eastAsia"/>
                <w:sz w:val="24"/>
              </w:rPr>
              <w:t>所投</w:t>
            </w:r>
            <w:r>
              <w:rPr>
                <w:sz w:val="24"/>
              </w:rPr>
              <w:t>产品技术功能的先进性</w:t>
            </w:r>
            <w:r>
              <w:rPr>
                <w:rFonts w:hint="eastAsia"/>
                <w:sz w:val="24"/>
              </w:rPr>
              <w:t>和项目完整性</w:t>
            </w:r>
            <w:r>
              <w:rPr>
                <w:sz w:val="24"/>
              </w:rPr>
              <w:t>0-</w:t>
            </w:r>
            <w:r>
              <w:rPr>
                <w:rFonts w:hint="eastAsia"/>
                <w:sz w:val="24"/>
              </w:rPr>
              <w:t>8</w:t>
            </w:r>
            <w:r>
              <w:rPr>
                <w:sz w:val="24"/>
              </w:rPr>
              <w:t>分。</w:t>
            </w:r>
          </w:p>
        </w:tc>
        <w:tc>
          <w:tcPr>
            <w:tcW w:w="597" w:type="pct"/>
            <w:vAlign w:val="center"/>
          </w:tcPr>
          <w:p>
            <w:pPr>
              <w:spacing w:line="276" w:lineRule="auto"/>
              <w:jc w:val="center"/>
              <w:rPr>
                <w:sz w:val="24"/>
              </w:rPr>
            </w:pPr>
            <w:r>
              <w:rPr>
                <w:sz w:val="24"/>
              </w:rPr>
              <w:t>主观分</w:t>
            </w:r>
          </w:p>
        </w:tc>
        <w:tc>
          <w:tcPr>
            <w:tcW w:w="530" w:type="pct"/>
            <w:vAlign w:val="center"/>
          </w:tcPr>
          <w:p>
            <w:pPr>
              <w:spacing w:line="276" w:lineRule="auto"/>
              <w:jc w:val="center"/>
              <w:rPr>
                <w:sz w:val="24"/>
              </w:rPr>
            </w:pPr>
            <w:r>
              <w:rPr>
                <w:rFonts w:hint="eastAsia"/>
                <w:sz w:val="24"/>
              </w:rPr>
              <w:t>8</w:t>
            </w:r>
            <w:r>
              <w:rPr>
                <w:sz w:val="24"/>
              </w:rPr>
              <w:t>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20" w:hRule="atLeast"/>
        </w:trPr>
        <w:tc>
          <w:tcPr>
            <w:tcW w:w="400" w:type="pct"/>
            <w:vAlign w:val="center"/>
          </w:tcPr>
          <w:p>
            <w:pPr>
              <w:spacing w:line="276" w:lineRule="auto"/>
              <w:jc w:val="center"/>
              <w:rPr>
                <w:sz w:val="24"/>
              </w:rPr>
            </w:pPr>
            <w:r>
              <w:rPr>
                <w:sz w:val="24"/>
              </w:rPr>
              <w:t>5</w:t>
            </w:r>
          </w:p>
        </w:tc>
        <w:tc>
          <w:tcPr>
            <w:tcW w:w="3472" w:type="pct"/>
            <w:vAlign w:val="center"/>
          </w:tcPr>
          <w:p>
            <w:pPr>
              <w:spacing w:line="276" w:lineRule="auto"/>
              <w:rPr>
                <w:sz w:val="24"/>
              </w:rPr>
            </w:pPr>
            <w:r>
              <w:rPr>
                <w:rFonts w:hint="eastAsia"/>
                <w:sz w:val="24"/>
              </w:rPr>
              <w:t>所投</w:t>
            </w:r>
            <w:r>
              <w:rPr>
                <w:sz w:val="24"/>
              </w:rPr>
              <w:t>产品配</w:t>
            </w:r>
            <w:r>
              <w:rPr>
                <w:rFonts w:hint="eastAsia"/>
                <w:sz w:val="24"/>
              </w:rPr>
              <w:t>套</w:t>
            </w:r>
            <w:r>
              <w:rPr>
                <w:sz w:val="24"/>
              </w:rPr>
              <w:t>的合理性</w:t>
            </w:r>
            <w:r>
              <w:rPr>
                <w:rFonts w:hint="eastAsia"/>
                <w:sz w:val="24"/>
              </w:rPr>
              <w:t>：如配套试剂耗材、质控品、设备等</w:t>
            </w:r>
            <w:r>
              <w:rPr>
                <w:sz w:val="24"/>
              </w:rPr>
              <w:t>0-</w:t>
            </w:r>
            <w:r>
              <w:rPr>
                <w:rFonts w:hint="eastAsia"/>
                <w:sz w:val="24"/>
              </w:rPr>
              <w:t>8</w:t>
            </w:r>
            <w:r>
              <w:rPr>
                <w:sz w:val="24"/>
              </w:rPr>
              <w:t>分。</w:t>
            </w:r>
          </w:p>
        </w:tc>
        <w:tc>
          <w:tcPr>
            <w:tcW w:w="597" w:type="pct"/>
            <w:vAlign w:val="center"/>
          </w:tcPr>
          <w:p>
            <w:pPr>
              <w:spacing w:line="276" w:lineRule="auto"/>
              <w:jc w:val="center"/>
              <w:rPr>
                <w:sz w:val="24"/>
              </w:rPr>
            </w:pPr>
            <w:r>
              <w:rPr>
                <w:sz w:val="24"/>
              </w:rPr>
              <w:t>主观分</w:t>
            </w:r>
          </w:p>
        </w:tc>
        <w:tc>
          <w:tcPr>
            <w:tcW w:w="530" w:type="pct"/>
            <w:vAlign w:val="center"/>
          </w:tcPr>
          <w:p>
            <w:pPr>
              <w:spacing w:line="276" w:lineRule="auto"/>
              <w:jc w:val="center"/>
              <w:rPr>
                <w:sz w:val="24"/>
              </w:rPr>
            </w:pPr>
            <w:r>
              <w:rPr>
                <w:rFonts w:hint="eastAsia"/>
                <w:sz w:val="24"/>
              </w:rPr>
              <w:t>8</w:t>
            </w:r>
            <w:r>
              <w:rPr>
                <w:sz w:val="24"/>
              </w:rPr>
              <w:t>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00" w:type="pct"/>
            <w:vAlign w:val="center"/>
          </w:tcPr>
          <w:p>
            <w:pPr>
              <w:spacing w:line="276" w:lineRule="auto"/>
              <w:jc w:val="center"/>
              <w:rPr>
                <w:sz w:val="24"/>
              </w:rPr>
            </w:pPr>
            <w:r>
              <w:rPr>
                <w:sz w:val="24"/>
              </w:rPr>
              <w:t>6</w:t>
            </w:r>
          </w:p>
        </w:tc>
        <w:tc>
          <w:tcPr>
            <w:tcW w:w="3472" w:type="pct"/>
            <w:vAlign w:val="center"/>
          </w:tcPr>
          <w:p>
            <w:pPr>
              <w:spacing w:line="276" w:lineRule="auto"/>
              <w:rPr>
                <w:sz w:val="24"/>
              </w:rPr>
            </w:pPr>
            <w:r>
              <w:rPr>
                <w:sz w:val="24"/>
              </w:rPr>
              <w:t>售后服务方案，包括</w:t>
            </w:r>
            <w:r>
              <w:rPr>
                <w:rFonts w:hint="eastAsia"/>
                <w:sz w:val="24"/>
              </w:rPr>
              <w:t>配送能力</w:t>
            </w:r>
            <w:r>
              <w:rPr>
                <w:sz w:val="24"/>
              </w:rPr>
              <w:t>、服务响应时间、</w:t>
            </w:r>
            <w:r>
              <w:rPr>
                <w:rFonts w:hint="eastAsia"/>
                <w:sz w:val="24"/>
              </w:rPr>
              <w:t>不良事件</w:t>
            </w:r>
            <w:r>
              <w:rPr>
                <w:sz w:val="24"/>
              </w:rPr>
              <w:t>解决</w:t>
            </w:r>
            <w:r>
              <w:rPr>
                <w:rFonts w:hint="eastAsia"/>
                <w:sz w:val="24"/>
              </w:rPr>
              <w:t>能力</w:t>
            </w:r>
            <w:r>
              <w:rPr>
                <w:sz w:val="24"/>
              </w:rPr>
              <w:t>等完善性及时性0</w:t>
            </w:r>
            <w:r>
              <w:rPr>
                <w:rFonts w:hint="eastAsia"/>
                <w:sz w:val="24"/>
              </w:rPr>
              <w:t>-10</w:t>
            </w:r>
            <w:r>
              <w:rPr>
                <w:sz w:val="24"/>
              </w:rPr>
              <w:t>分</w:t>
            </w:r>
            <w:r>
              <w:rPr>
                <w:rFonts w:hint="eastAsia"/>
                <w:sz w:val="24"/>
              </w:rPr>
              <w:t>。</w:t>
            </w:r>
          </w:p>
        </w:tc>
        <w:tc>
          <w:tcPr>
            <w:tcW w:w="597" w:type="pct"/>
            <w:vAlign w:val="center"/>
          </w:tcPr>
          <w:p>
            <w:pPr>
              <w:spacing w:line="276" w:lineRule="auto"/>
              <w:jc w:val="center"/>
              <w:rPr>
                <w:sz w:val="24"/>
              </w:rPr>
            </w:pPr>
            <w:r>
              <w:rPr>
                <w:sz w:val="24"/>
              </w:rPr>
              <w:t>主观分</w:t>
            </w:r>
          </w:p>
        </w:tc>
        <w:tc>
          <w:tcPr>
            <w:tcW w:w="530" w:type="pct"/>
            <w:vAlign w:val="center"/>
          </w:tcPr>
          <w:p>
            <w:pPr>
              <w:spacing w:line="276" w:lineRule="auto"/>
              <w:jc w:val="center"/>
              <w:rPr>
                <w:sz w:val="24"/>
              </w:rPr>
            </w:pPr>
            <w:r>
              <w:rPr>
                <w:rFonts w:hint="eastAsia"/>
                <w:sz w:val="24"/>
              </w:rPr>
              <w:t>10</w:t>
            </w:r>
            <w:r>
              <w:rPr>
                <w:sz w:val="24"/>
              </w:rPr>
              <w:t>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00" w:type="pct"/>
            <w:vAlign w:val="center"/>
          </w:tcPr>
          <w:p>
            <w:pPr>
              <w:spacing w:line="276" w:lineRule="auto"/>
              <w:jc w:val="center"/>
              <w:rPr>
                <w:sz w:val="24"/>
              </w:rPr>
            </w:pPr>
            <w:r>
              <w:rPr>
                <w:sz w:val="24"/>
              </w:rPr>
              <w:t>7</w:t>
            </w:r>
          </w:p>
        </w:tc>
        <w:tc>
          <w:tcPr>
            <w:tcW w:w="3472" w:type="pct"/>
            <w:vAlign w:val="center"/>
          </w:tcPr>
          <w:p>
            <w:pPr>
              <w:jc w:val="left"/>
              <w:rPr>
                <w:sz w:val="24"/>
              </w:rPr>
            </w:pPr>
            <w:r>
              <w:rPr>
                <w:rFonts w:hint="eastAsia"/>
                <w:sz w:val="24"/>
              </w:rPr>
              <w:t>市场覆盖率</w:t>
            </w:r>
            <w:r>
              <w:rPr>
                <w:sz w:val="24"/>
              </w:rPr>
              <w:t>：</w:t>
            </w:r>
            <w:r>
              <w:rPr>
                <w:rFonts w:hint="eastAsia" w:ascii="宋体" w:hAnsi="宋体"/>
                <w:sz w:val="24"/>
              </w:rPr>
              <w:t>提供2022年以来</w:t>
            </w:r>
            <w:r>
              <w:rPr>
                <w:rFonts w:hint="eastAsia" w:ascii="宋体" w:hAnsi="宋体" w:cs="宋体"/>
                <w:kern w:val="0"/>
                <w:sz w:val="24"/>
              </w:rPr>
              <w:t>该投标产品在省内三甲医院合同/发票证明材料,</w:t>
            </w:r>
            <w:r>
              <w:rPr>
                <w:rFonts w:hint="eastAsia" w:ascii="宋体" w:hAnsi="宋体"/>
                <w:sz w:val="24"/>
              </w:rPr>
              <w:t>每提供1份合同（或相关证明）得2分，最高分值为10分；同一用户多份合同按一份计分。</w:t>
            </w:r>
          </w:p>
        </w:tc>
        <w:tc>
          <w:tcPr>
            <w:tcW w:w="597" w:type="pct"/>
            <w:vAlign w:val="center"/>
          </w:tcPr>
          <w:p>
            <w:pPr>
              <w:spacing w:line="276" w:lineRule="auto"/>
              <w:jc w:val="center"/>
              <w:rPr>
                <w:sz w:val="24"/>
              </w:rPr>
            </w:pPr>
            <w:r>
              <w:rPr>
                <w:sz w:val="24"/>
              </w:rPr>
              <w:t>客观分</w:t>
            </w:r>
          </w:p>
        </w:tc>
        <w:tc>
          <w:tcPr>
            <w:tcW w:w="530" w:type="pct"/>
            <w:vAlign w:val="center"/>
          </w:tcPr>
          <w:p>
            <w:pPr>
              <w:spacing w:line="276" w:lineRule="auto"/>
              <w:jc w:val="center"/>
              <w:rPr>
                <w:sz w:val="24"/>
              </w:rPr>
            </w:pPr>
            <w:r>
              <w:rPr>
                <w:rFonts w:hint="eastAsia"/>
                <w:sz w:val="24"/>
              </w:rPr>
              <w:t>10</w:t>
            </w:r>
            <w:r>
              <w:rPr>
                <w:sz w:val="24"/>
              </w:rPr>
              <w:t>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00" w:type="pct"/>
            <w:vAlign w:val="center"/>
          </w:tcPr>
          <w:p>
            <w:pPr>
              <w:spacing w:line="276" w:lineRule="auto"/>
              <w:jc w:val="center"/>
              <w:rPr>
                <w:sz w:val="24"/>
              </w:rPr>
            </w:pPr>
            <w:r>
              <w:rPr>
                <w:rFonts w:hint="eastAsia"/>
                <w:sz w:val="24"/>
              </w:rPr>
              <w:t>8</w:t>
            </w:r>
          </w:p>
        </w:tc>
        <w:tc>
          <w:tcPr>
            <w:tcW w:w="3472" w:type="pct"/>
            <w:vAlign w:val="center"/>
          </w:tcPr>
          <w:p>
            <w:pPr>
              <w:jc w:val="left"/>
              <w:rPr>
                <w:sz w:val="24"/>
              </w:rPr>
            </w:pPr>
            <w:r>
              <w:rPr>
                <w:sz w:val="24"/>
              </w:rPr>
              <w:t>优惠条件：评委对</w:t>
            </w:r>
            <w:r>
              <w:rPr>
                <w:rFonts w:hint="eastAsia"/>
                <w:sz w:val="24"/>
              </w:rPr>
              <w:t>响应</w:t>
            </w:r>
            <w:r>
              <w:rPr>
                <w:sz w:val="24"/>
              </w:rPr>
              <w:t>文件中是否有超出采购文件的优惠条件进行评价，没有实质性优惠条件得0分；有优惠条件的给1-</w:t>
            </w:r>
            <w:r>
              <w:rPr>
                <w:rFonts w:hint="eastAsia"/>
                <w:sz w:val="24"/>
              </w:rPr>
              <w:t>5</w:t>
            </w:r>
            <w:r>
              <w:rPr>
                <w:sz w:val="24"/>
              </w:rPr>
              <w:t>分</w:t>
            </w:r>
            <w:r>
              <w:rPr>
                <w:rFonts w:hint="eastAsia"/>
                <w:sz w:val="24"/>
              </w:rPr>
              <w:t>。</w:t>
            </w:r>
          </w:p>
        </w:tc>
        <w:tc>
          <w:tcPr>
            <w:tcW w:w="597" w:type="pct"/>
            <w:vAlign w:val="center"/>
          </w:tcPr>
          <w:p>
            <w:pPr>
              <w:spacing w:line="276" w:lineRule="auto"/>
              <w:jc w:val="center"/>
              <w:rPr>
                <w:sz w:val="24"/>
              </w:rPr>
            </w:pPr>
            <w:r>
              <w:rPr>
                <w:sz w:val="24"/>
              </w:rPr>
              <w:t>主观分</w:t>
            </w:r>
          </w:p>
        </w:tc>
        <w:tc>
          <w:tcPr>
            <w:tcW w:w="530" w:type="pct"/>
            <w:vAlign w:val="center"/>
          </w:tcPr>
          <w:p>
            <w:pPr>
              <w:spacing w:line="276" w:lineRule="auto"/>
              <w:jc w:val="center"/>
              <w:rPr>
                <w:sz w:val="24"/>
              </w:rPr>
            </w:pPr>
            <w:r>
              <w:rPr>
                <w:rFonts w:hint="eastAsia"/>
                <w:sz w:val="24"/>
              </w:rPr>
              <w:t>5分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00" w:type="pct"/>
            <w:vAlign w:val="center"/>
          </w:tcPr>
          <w:p>
            <w:pPr>
              <w:spacing w:line="276" w:lineRule="auto"/>
              <w:jc w:val="center"/>
              <w:rPr>
                <w:sz w:val="24"/>
              </w:rPr>
            </w:pPr>
            <w:r>
              <w:rPr>
                <w:rFonts w:hint="eastAsia"/>
                <w:sz w:val="24"/>
              </w:rPr>
              <w:t>9</w:t>
            </w:r>
          </w:p>
        </w:tc>
        <w:tc>
          <w:tcPr>
            <w:tcW w:w="3472" w:type="pct"/>
            <w:vAlign w:val="center"/>
          </w:tcPr>
          <w:p>
            <w:pPr>
              <w:spacing w:line="276" w:lineRule="auto"/>
              <w:rPr>
                <w:sz w:val="24"/>
              </w:rPr>
            </w:pPr>
            <w:r>
              <w:rPr>
                <w:sz w:val="24"/>
              </w:rPr>
              <w:t>以满足采购文件要求且有效</w:t>
            </w:r>
            <w:r>
              <w:rPr>
                <w:rFonts w:hint="eastAsia"/>
                <w:sz w:val="24"/>
              </w:rPr>
              <w:t>报价</w:t>
            </w:r>
            <w:r>
              <w:rPr>
                <w:sz w:val="24"/>
              </w:rPr>
              <w:t>的最低</w:t>
            </w:r>
            <w:r>
              <w:rPr>
                <w:rFonts w:hint="eastAsia"/>
                <w:sz w:val="24"/>
              </w:rPr>
              <w:t>价格</w:t>
            </w:r>
            <w:r>
              <w:rPr>
                <w:sz w:val="24"/>
              </w:rPr>
              <w:t>为评标基准价，其价格分为30分。其他</w:t>
            </w:r>
            <w:r>
              <w:rPr>
                <w:rFonts w:hint="eastAsia"/>
                <w:sz w:val="24"/>
              </w:rPr>
              <w:t>报价</w:t>
            </w:r>
            <w:r>
              <w:rPr>
                <w:sz w:val="24"/>
              </w:rPr>
              <w:t>人的价格分统一按照下列公式计算：报价得分＝(评标基准价/有效报价)×价格分分值 (精确到小数点后二位，</w:t>
            </w:r>
            <w:r>
              <w:rPr>
                <w:kern w:val="0"/>
                <w:sz w:val="24"/>
              </w:rPr>
              <w:t>第三位四舍五入</w:t>
            </w:r>
            <w:r>
              <w:rPr>
                <w:sz w:val="24"/>
              </w:rPr>
              <w:t>)。各</w:t>
            </w:r>
            <w:r>
              <w:rPr>
                <w:rFonts w:hint="eastAsia"/>
                <w:sz w:val="24"/>
              </w:rPr>
              <w:t>报价</w:t>
            </w:r>
            <w:r>
              <w:rPr>
                <w:sz w:val="24"/>
              </w:rPr>
              <w:t>得分按评分公式由采购人计算，评委审核。</w:t>
            </w:r>
          </w:p>
        </w:tc>
        <w:tc>
          <w:tcPr>
            <w:tcW w:w="597" w:type="pct"/>
            <w:vAlign w:val="center"/>
          </w:tcPr>
          <w:p>
            <w:pPr>
              <w:spacing w:line="276" w:lineRule="auto"/>
              <w:jc w:val="center"/>
              <w:rPr>
                <w:sz w:val="24"/>
              </w:rPr>
            </w:pPr>
            <w:r>
              <w:rPr>
                <w:sz w:val="24"/>
              </w:rPr>
              <w:t>价格分</w:t>
            </w:r>
          </w:p>
        </w:tc>
        <w:tc>
          <w:tcPr>
            <w:tcW w:w="530" w:type="pct"/>
            <w:vAlign w:val="center"/>
          </w:tcPr>
          <w:p>
            <w:pPr>
              <w:spacing w:line="276" w:lineRule="auto"/>
              <w:jc w:val="center"/>
              <w:rPr>
                <w:sz w:val="24"/>
              </w:rPr>
            </w:pPr>
            <w:r>
              <w:rPr>
                <w:sz w:val="24"/>
              </w:rPr>
              <w:t>30分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400" w:type="pct"/>
            <w:vAlign w:val="center"/>
          </w:tcPr>
          <w:p>
            <w:pPr>
              <w:spacing w:line="276" w:lineRule="auto"/>
              <w:jc w:val="center"/>
              <w:rPr>
                <w:sz w:val="24"/>
              </w:rPr>
            </w:pPr>
            <w:r>
              <w:rPr>
                <w:rFonts w:hint="eastAsia"/>
                <w:sz w:val="24"/>
              </w:rPr>
              <w:t>10</w:t>
            </w:r>
          </w:p>
        </w:tc>
        <w:tc>
          <w:tcPr>
            <w:tcW w:w="3472" w:type="pct"/>
            <w:vAlign w:val="center"/>
          </w:tcPr>
          <w:p>
            <w:pPr>
              <w:spacing w:line="276" w:lineRule="auto"/>
              <w:rPr>
                <w:sz w:val="24"/>
              </w:rPr>
            </w:pPr>
            <w:r>
              <w:rPr>
                <w:rFonts w:hint="eastAsia"/>
                <w:sz w:val="24"/>
              </w:rPr>
              <w:t>总分</w:t>
            </w:r>
          </w:p>
        </w:tc>
        <w:tc>
          <w:tcPr>
            <w:tcW w:w="597" w:type="pct"/>
            <w:vAlign w:val="center"/>
          </w:tcPr>
          <w:p>
            <w:pPr>
              <w:spacing w:line="276" w:lineRule="auto"/>
              <w:jc w:val="center"/>
              <w:rPr>
                <w:sz w:val="24"/>
              </w:rPr>
            </w:pPr>
          </w:p>
        </w:tc>
        <w:tc>
          <w:tcPr>
            <w:tcW w:w="530" w:type="pct"/>
            <w:vAlign w:val="center"/>
          </w:tcPr>
          <w:p>
            <w:pPr>
              <w:spacing w:line="276" w:lineRule="auto"/>
              <w:jc w:val="center"/>
              <w:rPr>
                <w:sz w:val="24"/>
              </w:rPr>
            </w:pPr>
            <w:r>
              <w:rPr>
                <w:rFonts w:hint="eastAsia"/>
                <w:sz w:val="24"/>
              </w:rPr>
              <w:t>100分</w:t>
            </w:r>
          </w:p>
        </w:tc>
      </w:tr>
    </w:tbl>
    <w:p/>
    <w:p>
      <w:pPr>
        <w:widowControl/>
        <w:jc w:val="left"/>
      </w:pPr>
      <w:r>
        <w:br w:type="page"/>
      </w:r>
    </w:p>
    <w:p/>
    <w:p>
      <w:pPr>
        <w:pStyle w:val="12"/>
      </w:pPr>
      <w:bookmarkStart w:id="5" w:name="_Toc220618499"/>
      <w:r>
        <w:rPr>
          <w:rFonts w:hint="eastAsia"/>
        </w:rPr>
        <w:t>第四章</w:t>
      </w:r>
      <w:r>
        <w:rPr>
          <w:rFonts w:hint="eastAsia"/>
        </w:rPr>
        <w:tab/>
      </w:r>
      <w:r>
        <w:rPr>
          <w:rFonts w:hint="eastAsia"/>
        </w:rPr>
        <w:t>响应文件格式</w:t>
      </w:r>
      <w:bookmarkEnd w:id="5"/>
    </w:p>
    <w:p>
      <w:pPr>
        <w:rPr>
          <w:b/>
          <w:bCs/>
          <w:sz w:val="30"/>
          <w:szCs w:val="30"/>
        </w:rPr>
      </w:pPr>
      <w:r>
        <w:rPr>
          <w:rFonts w:hint="eastAsia"/>
          <w:b/>
          <w:bCs/>
          <w:sz w:val="30"/>
          <w:szCs w:val="30"/>
        </w:rPr>
        <w:t>一、响应</w:t>
      </w:r>
      <w:r>
        <w:rPr>
          <w:b/>
          <w:bCs/>
          <w:sz w:val="30"/>
          <w:szCs w:val="30"/>
        </w:rPr>
        <w:t>文件的组成</w:t>
      </w:r>
    </w:p>
    <w:p>
      <w:pPr>
        <w:rPr>
          <w:rFonts w:eastAsiaTheme="minorEastAsia"/>
          <w:sz w:val="24"/>
          <w:szCs w:val="22"/>
        </w:rPr>
      </w:pPr>
      <w:r>
        <w:rPr>
          <w:rFonts w:hint="eastAsia" w:eastAsiaTheme="minorEastAsia"/>
          <w:sz w:val="24"/>
          <w:szCs w:val="22"/>
        </w:rPr>
        <w:t>响应文件由资格证明文件、商务技术文件、报价文件三部份组成。</w:t>
      </w:r>
    </w:p>
    <w:p>
      <w:pPr>
        <w:rPr>
          <w:rFonts w:eastAsiaTheme="minorEastAsia"/>
          <w:sz w:val="24"/>
          <w:szCs w:val="22"/>
        </w:rPr>
      </w:pPr>
    </w:p>
    <w:p>
      <w:pPr>
        <w:rPr>
          <w:b/>
          <w:bCs/>
          <w:sz w:val="30"/>
          <w:szCs w:val="30"/>
        </w:rPr>
      </w:pPr>
      <w:r>
        <w:rPr>
          <w:rFonts w:hint="eastAsia"/>
          <w:b/>
          <w:bCs/>
          <w:sz w:val="30"/>
          <w:szCs w:val="30"/>
        </w:rPr>
        <w:t>二</w:t>
      </w:r>
      <w:r>
        <w:rPr>
          <w:b/>
          <w:bCs/>
          <w:sz w:val="30"/>
          <w:szCs w:val="30"/>
        </w:rPr>
        <w:t>、</w:t>
      </w:r>
      <w:r>
        <w:rPr>
          <w:rFonts w:hint="eastAsia"/>
          <w:b/>
          <w:bCs/>
          <w:sz w:val="30"/>
          <w:szCs w:val="30"/>
        </w:rPr>
        <w:t>响应</w:t>
      </w:r>
      <w:r>
        <w:rPr>
          <w:b/>
          <w:bCs/>
          <w:sz w:val="30"/>
          <w:szCs w:val="30"/>
        </w:rPr>
        <w:t>文件内容按如下顺序制作：</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5"/>
        <w:gridCol w:w="1367"/>
        <w:gridCol w:w="4567"/>
        <w:gridCol w:w="2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409" w:type="pct"/>
            <w:vAlign w:val="center"/>
          </w:tcPr>
          <w:p>
            <w:r>
              <w:t>序号</w:t>
            </w:r>
          </w:p>
        </w:tc>
        <w:tc>
          <w:tcPr>
            <w:tcW w:w="771" w:type="pct"/>
            <w:vAlign w:val="center"/>
          </w:tcPr>
          <w:p>
            <w:r>
              <w:rPr>
                <w:rFonts w:hint="eastAsia"/>
              </w:rPr>
              <w:t>组成</w:t>
            </w:r>
          </w:p>
        </w:tc>
        <w:tc>
          <w:tcPr>
            <w:tcW w:w="2575" w:type="pct"/>
            <w:vAlign w:val="center"/>
          </w:tcPr>
          <w:p>
            <w:r>
              <w:t>材料名称</w:t>
            </w:r>
          </w:p>
        </w:tc>
        <w:tc>
          <w:tcPr>
            <w:tcW w:w="1245" w:type="pct"/>
            <w:vAlign w:val="center"/>
          </w:tcPr>
          <w:p>
            <w: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r>
              <w:t>1</w:t>
            </w:r>
          </w:p>
        </w:tc>
        <w:tc>
          <w:tcPr>
            <w:tcW w:w="771" w:type="pct"/>
            <w:vAlign w:val="center"/>
          </w:tcPr>
          <w:p>
            <w:r>
              <w:rPr>
                <w:rFonts w:hint="eastAsia"/>
              </w:rPr>
              <w:t>封面</w:t>
            </w:r>
          </w:p>
        </w:tc>
        <w:tc>
          <w:tcPr>
            <w:tcW w:w="2575" w:type="pct"/>
            <w:vAlign w:val="center"/>
          </w:tcPr>
          <w:p>
            <w:r>
              <w:t>封面（附件1）</w:t>
            </w:r>
          </w:p>
        </w:tc>
        <w:tc>
          <w:tcPr>
            <w:tcW w:w="1245"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r>
              <w:t>2</w:t>
            </w:r>
          </w:p>
        </w:tc>
        <w:tc>
          <w:tcPr>
            <w:tcW w:w="771" w:type="pct"/>
            <w:vMerge w:val="restart"/>
            <w:vAlign w:val="center"/>
          </w:tcPr>
          <w:p>
            <w:r>
              <w:rPr>
                <w:rFonts w:hint="eastAsia"/>
              </w:rPr>
              <w:t>资格</w:t>
            </w:r>
            <w:r>
              <w:t>证明文件</w:t>
            </w:r>
          </w:p>
        </w:tc>
        <w:tc>
          <w:tcPr>
            <w:tcW w:w="2575" w:type="pct"/>
            <w:vAlign w:val="center"/>
          </w:tcPr>
          <w:p>
            <w:r>
              <w:t>采购公告发布之日起至公告截止日内任意时间的“信用中国”网站（www.creditchina.gov.cn）的响应供应商信用查询网页截图</w:t>
            </w:r>
          </w:p>
        </w:tc>
        <w:tc>
          <w:tcPr>
            <w:tcW w:w="1245"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r>
              <w:t>3</w:t>
            </w:r>
          </w:p>
        </w:tc>
        <w:tc>
          <w:tcPr>
            <w:tcW w:w="771" w:type="pct"/>
            <w:vMerge w:val="continue"/>
            <w:vAlign w:val="center"/>
          </w:tcPr>
          <w:p/>
        </w:tc>
        <w:tc>
          <w:tcPr>
            <w:tcW w:w="2575" w:type="pct"/>
            <w:vAlign w:val="center"/>
          </w:tcPr>
          <w:p>
            <w:r>
              <w:t>企业营业执照</w:t>
            </w:r>
          </w:p>
        </w:tc>
        <w:tc>
          <w:tcPr>
            <w:tcW w:w="1245"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r>
              <w:t>4</w:t>
            </w:r>
          </w:p>
        </w:tc>
        <w:tc>
          <w:tcPr>
            <w:tcW w:w="771" w:type="pct"/>
            <w:vMerge w:val="continue"/>
            <w:vAlign w:val="center"/>
          </w:tcPr>
          <w:p/>
        </w:tc>
        <w:tc>
          <w:tcPr>
            <w:tcW w:w="2575" w:type="pct"/>
            <w:vAlign w:val="center"/>
          </w:tcPr>
          <w:p>
            <w:r>
              <w:t>法人代表身份证复印件</w:t>
            </w:r>
          </w:p>
        </w:tc>
        <w:tc>
          <w:tcPr>
            <w:tcW w:w="1245"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r>
              <w:rPr>
                <w:rFonts w:hint="eastAsia"/>
              </w:rPr>
              <w:t>5</w:t>
            </w:r>
          </w:p>
        </w:tc>
        <w:tc>
          <w:tcPr>
            <w:tcW w:w="771" w:type="pct"/>
            <w:vMerge w:val="continue"/>
            <w:vAlign w:val="center"/>
          </w:tcPr>
          <w:p/>
        </w:tc>
        <w:tc>
          <w:tcPr>
            <w:tcW w:w="2575" w:type="pct"/>
            <w:vAlign w:val="center"/>
          </w:tcPr>
          <w:p>
            <w:r>
              <w:t>销售人员身份证复印件</w:t>
            </w:r>
          </w:p>
        </w:tc>
        <w:tc>
          <w:tcPr>
            <w:tcW w:w="1245"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r>
              <w:rPr>
                <w:rFonts w:hint="eastAsia"/>
              </w:rPr>
              <w:t>6</w:t>
            </w:r>
          </w:p>
        </w:tc>
        <w:tc>
          <w:tcPr>
            <w:tcW w:w="771" w:type="pct"/>
            <w:vMerge w:val="restart"/>
            <w:vAlign w:val="center"/>
          </w:tcPr>
          <w:p>
            <w:r>
              <w:rPr>
                <w:rFonts w:hint="eastAsia" w:eastAsiaTheme="minorEastAsia"/>
                <w:sz w:val="24"/>
                <w:szCs w:val="22"/>
              </w:rPr>
              <w:t>商务技术文件</w:t>
            </w:r>
          </w:p>
        </w:tc>
        <w:tc>
          <w:tcPr>
            <w:tcW w:w="2575" w:type="pct"/>
            <w:vAlign w:val="center"/>
          </w:tcPr>
          <w:p>
            <w:r>
              <w:t>声明书（附件2）</w:t>
            </w:r>
          </w:p>
        </w:tc>
        <w:tc>
          <w:tcPr>
            <w:tcW w:w="1245"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r>
              <w:rPr>
                <w:rFonts w:hint="eastAsia"/>
              </w:rPr>
              <w:t>7</w:t>
            </w:r>
          </w:p>
        </w:tc>
        <w:tc>
          <w:tcPr>
            <w:tcW w:w="771" w:type="pct"/>
            <w:vMerge w:val="continue"/>
          </w:tcPr>
          <w:p/>
        </w:tc>
        <w:tc>
          <w:tcPr>
            <w:tcW w:w="2575" w:type="pct"/>
            <w:vAlign w:val="center"/>
          </w:tcPr>
          <w:p>
            <w:r>
              <w:t>法定代表人授权委托书（附件3）</w:t>
            </w:r>
          </w:p>
        </w:tc>
        <w:tc>
          <w:tcPr>
            <w:tcW w:w="1245"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09" w:type="pct"/>
          </w:tcPr>
          <w:p>
            <w:r>
              <w:rPr>
                <w:rFonts w:hint="eastAsia"/>
              </w:rPr>
              <w:t>8</w:t>
            </w:r>
          </w:p>
        </w:tc>
        <w:tc>
          <w:tcPr>
            <w:tcW w:w="771" w:type="pct"/>
            <w:vMerge w:val="continue"/>
          </w:tcPr>
          <w:p/>
        </w:tc>
        <w:tc>
          <w:tcPr>
            <w:tcW w:w="2575" w:type="pct"/>
            <w:vAlign w:val="center"/>
          </w:tcPr>
          <w:p>
            <w:r>
              <w:t>经营许可证或生产许可证</w:t>
            </w:r>
          </w:p>
        </w:tc>
        <w:tc>
          <w:tcPr>
            <w:tcW w:w="1245"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6" w:hRule="atLeast"/>
        </w:trPr>
        <w:tc>
          <w:tcPr>
            <w:tcW w:w="409" w:type="pct"/>
          </w:tcPr>
          <w:p>
            <w:r>
              <w:t>9</w:t>
            </w:r>
          </w:p>
        </w:tc>
        <w:tc>
          <w:tcPr>
            <w:tcW w:w="771" w:type="pct"/>
            <w:vMerge w:val="continue"/>
          </w:tcPr>
          <w:p/>
        </w:tc>
        <w:tc>
          <w:tcPr>
            <w:tcW w:w="2575" w:type="pct"/>
            <w:vAlign w:val="center"/>
          </w:tcPr>
          <w:p>
            <w:r>
              <w:rPr>
                <w:rFonts w:hint="eastAsia"/>
              </w:rPr>
              <w:t>生产企业质量体系认证资质</w:t>
            </w:r>
          </w:p>
        </w:tc>
        <w:tc>
          <w:tcPr>
            <w:tcW w:w="1245"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r>
              <w:t>10</w:t>
            </w:r>
          </w:p>
        </w:tc>
        <w:tc>
          <w:tcPr>
            <w:tcW w:w="771" w:type="pct"/>
            <w:vMerge w:val="continue"/>
          </w:tcPr>
          <w:p/>
        </w:tc>
        <w:tc>
          <w:tcPr>
            <w:tcW w:w="2575" w:type="pct"/>
            <w:vAlign w:val="center"/>
          </w:tcPr>
          <w:p>
            <w:r>
              <w:t>医疗器械注册证及注册表</w:t>
            </w:r>
          </w:p>
        </w:tc>
        <w:tc>
          <w:tcPr>
            <w:tcW w:w="1245"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r>
              <w:rPr>
                <w:rFonts w:hint="eastAsia"/>
              </w:rPr>
              <w:t>11</w:t>
            </w:r>
          </w:p>
        </w:tc>
        <w:tc>
          <w:tcPr>
            <w:tcW w:w="771" w:type="pct"/>
            <w:vMerge w:val="continue"/>
          </w:tcPr>
          <w:p/>
        </w:tc>
        <w:tc>
          <w:tcPr>
            <w:tcW w:w="2575" w:type="pct"/>
            <w:vAlign w:val="center"/>
          </w:tcPr>
          <w:p>
            <w:r>
              <w:rPr>
                <w:rFonts w:hint="eastAsia"/>
              </w:rPr>
              <w:t>所投</w:t>
            </w:r>
            <w:r>
              <w:t>产品彩页</w:t>
            </w:r>
            <w:r>
              <w:rPr>
                <w:rFonts w:hint="eastAsia"/>
              </w:rPr>
              <w:t>、产品说明书等</w:t>
            </w:r>
            <w:r>
              <w:t>文件</w:t>
            </w:r>
          </w:p>
        </w:tc>
        <w:tc>
          <w:tcPr>
            <w:tcW w:w="1245"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r>
              <w:t>1</w:t>
            </w:r>
            <w:r>
              <w:rPr>
                <w:rFonts w:hint="eastAsia"/>
              </w:rPr>
              <w:t>2</w:t>
            </w:r>
          </w:p>
        </w:tc>
        <w:tc>
          <w:tcPr>
            <w:tcW w:w="771" w:type="pct"/>
            <w:vMerge w:val="continue"/>
          </w:tcPr>
          <w:p/>
        </w:tc>
        <w:tc>
          <w:tcPr>
            <w:tcW w:w="2575" w:type="pct"/>
            <w:vAlign w:val="center"/>
          </w:tcPr>
          <w:p>
            <w:r>
              <w:t>厂家给经销商</w:t>
            </w:r>
            <w:r>
              <w:rPr>
                <w:rFonts w:hint="eastAsia"/>
              </w:rPr>
              <w:t>的逐级</w:t>
            </w:r>
            <w:r>
              <w:t>授权</w:t>
            </w:r>
            <w:r>
              <w:rPr>
                <w:rFonts w:hint="eastAsia"/>
              </w:rPr>
              <w:t>书</w:t>
            </w:r>
          </w:p>
        </w:tc>
        <w:tc>
          <w:tcPr>
            <w:tcW w:w="1245"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r>
              <w:rPr>
                <w:rFonts w:hint="eastAsia"/>
              </w:rPr>
              <w:t>13</w:t>
            </w:r>
          </w:p>
        </w:tc>
        <w:tc>
          <w:tcPr>
            <w:tcW w:w="771" w:type="pct"/>
            <w:vMerge w:val="continue"/>
          </w:tcPr>
          <w:p/>
        </w:tc>
        <w:tc>
          <w:tcPr>
            <w:tcW w:w="2575" w:type="pct"/>
            <w:vAlign w:val="center"/>
          </w:tcPr>
          <w:p>
            <w:r>
              <w:rPr>
                <w:rFonts w:hint="eastAsia"/>
              </w:rPr>
              <w:t>配套设备、耗材试剂（质控品等）清单及相关资质（如有）</w:t>
            </w:r>
          </w:p>
        </w:tc>
        <w:tc>
          <w:tcPr>
            <w:tcW w:w="1245"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r>
              <w:t>1</w:t>
            </w:r>
            <w:r>
              <w:rPr>
                <w:rFonts w:hint="eastAsia"/>
              </w:rPr>
              <w:t>4</w:t>
            </w:r>
          </w:p>
        </w:tc>
        <w:tc>
          <w:tcPr>
            <w:tcW w:w="771" w:type="pct"/>
            <w:vMerge w:val="continue"/>
          </w:tcPr>
          <w:p/>
        </w:tc>
        <w:tc>
          <w:tcPr>
            <w:tcW w:w="2575" w:type="pct"/>
            <w:vAlign w:val="center"/>
          </w:tcPr>
          <w:p>
            <w:r>
              <w:t>技术响应表（附件4）</w:t>
            </w:r>
          </w:p>
        </w:tc>
        <w:tc>
          <w:tcPr>
            <w:tcW w:w="1245" w:type="pct"/>
          </w:tcPr>
          <w:p>
            <w:r>
              <w:rPr>
                <w:rFonts w:hint="eastAsia"/>
                <w:b/>
              </w:rPr>
              <w:t>总体要求和采购内容要求均需逐项响应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r>
              <w:rPr>
                <w:rFonts w:hint="eastAsia"/>
              </w:rPr>
              <w:t>15</w:t>
            </w:r>
          </w:p>
        </w:tc>
        <w:tc>
          <w:tcPr>
            <w:tcW w:w="771" w:type="pct"/>
            <w:vMerge w:val="continue"/>
          </w:tcPr>
          <w:p/>
        </w:tc>
        <w:tc>
          <w:tcPr>
            <w:tcW w:w="2575" w:type="pct"/>
            <w:vAlign w:val="center"/>
          </w:tcPr>
          <w:p>
            <w:r>
              <w:rPr>
                <w:rFonts w:hint="eastAsia"/>
              </w:rPr>
              <w:t>售后</w:t>
            </w:r>
            <w:r>
              <w:t>服务方案</w:t>
            </w:r>
          </w:p>
        </w:tc>
        <w:tc>
          <w:tcPr>
            <w:tcW w:w="1245"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r>
              <w:rPr>
                <w:rFonts w:hint="eastAsia"/>
              </w:rPr>
              <w:t>16</w:t>
            </w:r>
          </w:p>
        </w:tc>
        <w:tc>
          <w:tcPr>
            <w:tcW w:w="771" w:type="pct"/>
            <w:vMerge w:val="continue"/>
          </w:tcPr>
          <w:p/>
        </w:tc>
        <w:tc>
          <w:tcPr>
            <w:tcW w:w="2575" w:type="pct"/>
            <w:vAlign w:val="center"/>
          </w:tcPr>
          <w:p>
            <w:r>
              <w:rPr>
                <w:rFonts w:hAnsi="宋体"/>
                <w:kern w:val="0"/>
                <w:szCs w:val="21"/>
              </w:rPr>
              <w:t>提供</w:t>
            </w:r>
            <w:r>
              <w:rPr>
                <w:rFonts w:hint="eastAsia" w:hAnsi="宋体"/>
                <w:kern w:val="0"/>
                <w:szCs w:val="21"/>
              </w:rPr>
              <w:t>省内三甲</w:t>
            </w:r>
            <w:r>
              <w:rPr>
                <w:rFonts w:hAnsi="宋体"/>
                <w:kern w:val="0"/>
                <w:szCs w:val="21"/>
              </w:rPr>
              <w:t>用户名单及合同复印件</w:t>
            </w:r>
            <w:r>
              <w:rPr>
                <w:rFonts w:hint="eastAsia" w:hAnsi="宋体"/>
                <w:kern w:val="0"/>
                <w:szCs w:val="21"/>
              </w:rPr>
              <w:t>（或发票）</w:t>
            </w:r>
          </w:p>
        </w:tc>
        <w:tc>
          <w:tcPr>
            <w:tcW w:w="1245" w:type="pct"/>
          </w:tcPr>
          <w:p>
            <w:r>
              <w:rPr>
                <w:rFonts w:hint="eastAsia"/>
                <w:b/>
              </w:rPr>
              <w:t>合同配置及价格清晰可见，否则案例无效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r>
              <w:rPr>
                <w:rFonts w:hint="eastAsia"/>
              </w:rPr>
              <w:t>17</w:t>
            </w:r>
          </w:p>
        </w:tc>
        <w:tc>
          <w:tcPr>
            <w:tcW w:w="771" w:type="pct"/>
            <w:vMerge w:val="continue"/>
          </w:tcPr>
          <w:p/>
        </w:tc>
        <w:tc>
          <w:tcPr>
            <w:tcW w:w="2575" w:type="pct"/>
            <w:vAlign w:val="center"/>
          </w:tcPr>
          <w:p>
            <w:r>
              <w:t>其他优惠条件</w:t>
            </w:r>
          </w:p>
        </w:tc>
        <w:tc>
          <w:tcPr>
            <w:tcW w:w="1245" w:type="pct"/>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r>
              <w:rPr>
                <w:rFonts w:hint="eastAsia"/>
              </w:rPr>
              <w:t>18</w:t>
            </w:r>
          </w:p>
        </w:tc>
        <w:tc>
          <w:tcPr>
            <w:tcW w:w="771" w:type="pct"/>
            <w:vAlign w:val="center"/>
          </w:tcPr>
          <w:p>
            <w:r>
              <w:rPr>
                <w:rFonts w:hint="eastAsia" w:eastAsiaTheme="minorEastAsia"/>
                <w:sz w:val="24"/>
                <w:szCs w:val="22"/>
              </w:rPr>
              <w:t>报价文件</w:t>
            </w:r>
          </w:p>
        </w:tc>
        <w:tc>
          <w:tcPr>
            <w:tcW w:w="2575" w:type="pct"/>
            <w:vAlign w:val="center"/>
          </w:tcPr>
          <w:p>
            <w:r>
              <w:t>项目报价单（附件</w:t>
            </w:r>
            <w:r>
              <w:rPr>
                <w:rFonts w:hint="eastAsia"/>
              </w:rPr>
              <w:t>5</w:t>
            </w:r>
            <w:r>
              <w:t>）</w:t>
            </w:r>
          </w:p>
        </w:tc>
        <w:tc>
          <w:tcPr>
            <w:tcW w:w="1245" w:type="pct"/>
          </w:tcPr>
          <w:p/>
        </w:tc>
      </w:tr>
    </w:tbl>
    <w:p>
      <w:pPr>
        <w:rPr>
          <w:b/>
          <w:bCs/>
          <w:sz w:val="24"/>
        </w:rPr>
      </w:pPr>
      <w:r>
        <w:rPr>
          <w:b/>
        </w:rPr>
        <w:t>注：正本所有文件需加盖公司红章，副本为正本的复印件。</w:t>
      </w:r>
    </w:p>
    <w:p>
      <w:pPr>
        <w:rPr>
          <w:b/>
          <w:bCs/>
          <w:sz w:val="32"/>
        </w:rPr>
      </w:pPr>
    </w:p>
    <w:p>
      <w:pPr>
        <w:rPr>
          <w:b/>
          <w:bCs/>
          <w:sz w:val="32"/>
        </w:rPr>
      </w:pPr>
    </w:p>
    <w:p>
      <w:pPr>
        <w:rPr>
          <w:b/>
          <w:bCs/>
          <w:sz w:val="32"/>
        </w:rPr>
      </w:pPr>
    </w:p>
    <w:p>
      <w:pPr>
        <w:rPr>
          <w:rFonts w:hint="eastAsia" w:hAnsi="仿宋" w:eastAsia="仿宋"/>
          <w:sz w:val="30"/>
          <w:szCs w:val="30"/>
        </w:rPr>
      </w:pPr>
      <w:r>
        <w:rPr>
          <w:rFonts w:hAnsi="仿宋" w:eastAsia="仿宋"/>
          <w:sz w:val="30"/>
          <w:szCs w:val="30"/>
        </w:rPr>
        <w:br w:type="page"/>
      </w:r>
    </w:p>
    <w:p>
      <w:pPr>
        <w:snapToGrid w:val="0"/>
        <w:spacing w:before="156" w:beforeLines="50" w:after="50" w:line="460" w:lineRule="exact"/>
        <w:rPr>
          <w:rFonts w:eastAsia="仿宋"/>
          <w:sz w:val="30"/>
          <w:szCs w:val="30"/>
        </w:rPr>
      </w:pPr>
      <w:r>
        <w:rPr>
          <w:rFonts w:hAnsi="仿宋" w:eastAsia="仿宋"/>
          <w:sz w:val="30"/>
          <w:szCs w:val="30"/>
        </w:rPr>
        <w:t>附件</w:t>
      </w:r>
      <w:r>
        <w:rPr>
          <w:rFonts w:eastAsia="仿宋"/>
          <w:sz w:val="30"/>
          <w:szCs w:val="30"/>
        </w:rPr>
        <w:t>1</w:t>
      </w:r>
      <w:r>
        <w:rPr>
          <w:rFonts w:hAnsi="仿宋" w:eastAsia="仿宋"/>
          <w:sz w:val="30"/>
          <w:szCs w:val="30"/>
        </w:rPr>
        <w:t>：响应文件封面</w:t>
      </w:r>
      <w:r>
        <w:rPr>
          <w:rFonts w:eastAsia="仿宋"/>
          <w:sz w:val="30"/>
          <w:szCs w:val="30"/>
        </w:rPr>
        <w:t xml:space="preserve">                         </w:t>
      </w:r>
      <w:r>
        <w:rPr>
          <w:rFonts w:hAnsi="仿宋" w:eastAsia="仿宋"/>
          <w:bCs/>
          <w:sz w:val="30"/>
          <w:szCs w:val="30"/>
        </w:rPr>
        <w:t>正本或副本</w:t>
      </w:r>
    </w:p>
    <w:p>
      <w:pPr>
        <w:ind w:firstLine="1320" w:firstLineChars="300"/>
        <w:rPr>
          <w:sz w:val="44"/>
          <w:szCs w:val="44"/>
        </w:rPr>
      </w:pPr>
      <w:r>
        <w:rPr>
          <w:rFonts w:hAnsi="Calibri"/>
          <w:sz w:val="44"/>
          <w:szCs w:val="44"/>
        </w:rPr>
        <w:t>浙江大学医学院附属妇产科医院</w:t>
      </w:r>
    </w:p>
    <w:p>
      <w:pPr>
        <w:ind w:firstLine="3080" w:firstLineChars="700"/>
        <w:rPr>
          <w:sz w:val="44"/>
          <w:szCs w:val="44"/>
        </w:rPr>
      </w:pPr>
      <w:r>
        <w:rPr>
          <w:rFonts w:hAnsi="Calibri"/>
          <w:sz w:val="44"/>
          <w:szCs w:val="44"/>
        </w:rPr>
        <w:t>（</w:t>
      </w:r>
      <w:r>
        <w:rPr>
          <w:rFonts w:hint="eastAsia" w:hAnsi="Calibri"/>
          <w:sz w:val="44"/>
          <w:szCs w:val="44"/>
        </w:rPr>
        <w:t>耗材试剂</w:t>
      </w:r>
      <w:r>
        <w:rPr>
          <w:rFonts w:hAnsi="Calibri"/>
          <w:sz w:val="44"/>
          <w:szCs w:val="44"/>
        </w:rPr>
        <w:t>）</w:t>
      </w:r>
    </w:p>
    <w:tbl>
      <w:tblPr>
        <w:tblStyle w:val="38"/>
        <w:tblW w:w="861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04"/>
        <w:gridCol w:w="1704"/>
        <w:gridCol w:w="1704"/>
        <w:gridCol w:w="35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pPr>
              <w:rPr>
                <w:rFonts w:ascii="Calibri" w:hAnsi="Calibri"/>
                <w:sz w:val="36"/>
                <w:szCs w:val="36"/>
              </w:rPr>
            </w:pPr>
            <w:r>
              <w:rPr>
                <w:rFonts w:ascii="Calibri" w:hAnsi="Calibri"/>
                <w:sz w:val="36"/>
                <w:szCs w:val="36"/>
              </w:rPr>
              <w:t>项目名称：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pPr>
              <w:rPr>
                <w:rFonts w:ascii="Calibri" w:hAnsi="Calibri"/>
                <w:sz w:val="36"/>
                <w:szCs w:val="36"/>
              </w:rPr>
            </w:pPr>
            <w:r>
              <w:rPr>
                <w:rFonts w:ascii="Calibri" w:hAnsi="Calibri"/>
                <w:sz w:val="36"/>
                <w:szCs w:val="36"/>
              </w:rPr>
              <w:t>项目编号：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restart"/>
          </w:tcPr>
          <w:p>
            <w:pPr>
              <w:rPr>
                <w:rFonts w:ascii="Calibri" w:hAnsi="Calibri"/>
                <w:sz w:val="28"/>
                <w:szCs w:val="28"/>
              </w:rPr>
            </w:pPr>
          </w:p>
        </w:tc>
        <w:tc>
          <w:tcPr>
            <w:tcW w:w="1704" w:type="dxa"/>
          </w:tcPr>
          <w:p>
            <w:pPr>
              <w:rPr>
                <w:rFonts w:ascii="Calibri" w:hAnsi="Calibri"/>
                <w:sz w:val="28"/>
                <w:szCs w:val="28"/>
              </w:rPr>
            </w:pPr>
          </w:p>
        </w:tc>
        <w:tc>
          <w:tcPr>
            <w:tcW w:w="1704" w:type="dxa"/>
            <w:vMerge w:val="restart"/>
          </w:tcPr>
          <w:p>
            <w:pPr>
              <w:spacing w:line="720" w:lineRule="auto"/>
              <w:rPr>
                <w:rFonts w:ascii="Calibri" w:hAnsi="Calibri"/>
                <w:sz w:val="84"/>
                <w:szCs w:val="84"/>
              </w:rPr>
            </w:pPr>
          </w:p>
          <w:p>
            <w:pPr>
              <w:spacing w:line="720" w:lineRule="auto"/>
              <w:rPr>
                <w:rFonts w:ascii="Calibri" w:hAnsi="Calibri"/>
                <w:sz w:val="36"/>
                <w:szCs w:val="36"/>
              </w:rPr>
            </w:pPr>
          </w:p>
          <w:p>
            <w:pPr>
              <w:spacing w:line="720" w:lineRule="auto"/>
              <w:rPr>
                <w:rFonts w:ascii="Calibri" w:hAnsi="Calibri"/>
                <w:sz w:val="84"/>
                <w:szCs w:val="84"/>
              </w:rPr>
            </w:pPr>
            <w:r>
              <w:rPr>
                <w:rFonts w:ascii="Calibri" w:hAnsi="Calibri"/>
                <w:sz w:val="84"/>
                <w:szCs w:val="84"/>
              </w:rPr>
              <w:t>响应文件</w:t>
            </w:r>
          </w:p>
        </w:tc>
        <w:tc>
          <w:tcPr>
            <w:tcW w:w="3501" w:type="dxa"/>
            <w:vMerge w:val="restart"/>
          </w:tcPr>
          <w:p>
            <w:pPr>
              <w:rPr>
                <w:rFonts w:ascii="Calibri" w:hAnsi="Calibri"/>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ascii="Calibri" w:hAnsi="Calibri"/>
                <w:sz w:val="28"/>
                <w:szCs w:val="28"/>
              </w:rPr>
            </w:pPr>
          </w:p>
        </w:tc>
        <w:tc>
          <w:tcPr>
            <w:tcW w:w="1704" w:type="dxa"/>
          </w:tcPr>
          <w:p>
            <w:pPr>
              <w:rPr>
                <w:rFonts w:ascii="Calibri" w:hAnsi="Calibri"/>
                <w:sz w:val="28"/>
                <w:szCs w:val="28"/>
              </w:rPr>
            </w:pPr>
          </w:p>
        </w:tc>
        <w:tc>
          <w:tcPr>
            <w:tcW w:w="1704" w:type="dxa"/>
            <w:vMerge w:val="continue"/>
          </w:tcPr>
          <w:p>
            <w:pPr>
              <w:rPr>
                <w:rFonts w:ascii="Calibri" w:hAnsi="Calibri"/>
                <w:sz w:val="28"/>
                <w:szCs w:val="28"/>
              </w:rPr>
            </w:pPr>
          </w:p>
        </w:tc>
        <w:tc>
          <w:tcPr>
            <w:tcW w:w="3501" w:type="dxa"/>
            <w:vMerge w:val="continue"/>
          </w:tcPr>
          <w:p>
            <w:pPr>
              <w:rPr>
                <w:rFonts w:ascii="Calibri" w:hAnsi="Calibri"/>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ascii="Calibri" w:hAnsi="Calibri"/>
                <w:sz w:val="28"/>
                <w:szCs w:val="28"/>
              </w:rPr>
            </w:pPr>
          </w:p>
        </w:tc>
        <w:tc>
          <w:tcPr>
            <w:tcW w:w="1704" w:type="dxa"/>
          </w:tcPr>
          <w:p>
            <w:pPr>
              <w:rPr>
                <w:rFonts w:ascii="Calibri" w:hAnsi="Calibri"/>
                <w:sz w:val="28"/>
                <w:szCs w:val="28"/>
              </w:rPr>
            </w:pPr>
          </w:p>
        </w:tc>
        <w:tc>
          <w:tcPr>
            <w:tcW w:w="1704" w:type="dxa"/>
            <w:vMerge w:val="continue"/>
          </w:tcPr>
          <w:p>
            <w:pPr>
              <w:rPr>
                <w:rFonts w:ascii="Calibri" w:hAnsi="Calibri"/>
                <w:sz w:val="28"/>
                <w:szCs w:val="28"/>
              </w:rPr>
            </w:pPr>
          </w:p>
        </w:tc>
        <w:tc>
          <w:tcPr>
            <w:tcW w:w="3501" w:type="dxa"/>
            <w:vMerge w:val="continue"/>
          </w:tcPr>
          <w:p>
            <w:pPr>
              <w:rPr>
                <w:rFonts w:ascii="Calibri" w:hAnsi="Calibri"/>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ascii="Calibri" w:hAnsi="Calibri"/>
                <w:sz w:val="28"/>
                <w:szCs w:val="28"/>
              </w:rPr>
            </w:pPr>
          </w:p>
        </w:tc>
        <w:tc>
          <w:tcPr>
            <w:tcW w:w="1704" w:type="dxa"/>
          </w:tcPr>
          <w:p>
            <w:pPr>
              <w:rPr>
                <w:rFonts w:ascii="Calibri" w:hAnsi="Calibri"/>
                <w:sz w:val="28"/>
                <w:szCs w:val="28"/>
              </w:rPr>
            </w:pPr>
          </w:p>
        </w:tc>
        <w:tc>
          <w:tcPr>
            <w:tcW w:w="1704" w:type="dxa"/>
            <w:vMerge w:val="continue"/>
          </w:tcPr>
          <w:p>
            <w:pPr>
              <w:rPr>
                <w:rFonts w:ascii="Calibri" w:hAnsi="Calibri"/>
                <w:sz w:val="28"/>
                <w:szCs w:val="28"/>
              </w:rPr>
            </w:pPr>
          </w:p>
        </w:tc>
        <w:tc>
          <w:tcPr>
            <w:tcW w:w="3501" w:type="dxa"/>
            <w:vMerge w:val="continue"/>
          </w:tcPr>
          <w:p>
            <w:pPr>
              <w:rPr>
                <w:rFonts w:ascii="Calibri" w:hAnsi="Calibri"/>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ascii="Calibri" w:hAnsi="Calibri"/>
                <w:sz w:val="28"/>
                <w:szCs w:val="28"/>
              </w:rPr>
            </w:pPr>
          </w:p>
        </w:tc>
        <w:tc>
          <w:tcPr>
            <w:tcW w:w="1704" w:type="dxa"/>
          </w:tcPr>
          <w:p>
            <w:pPr>
              <w:rPr>
                <w:rFonts w:ascii="Calibri" w:hAnsi="Calibri"/>
                <w:sz w:val="28"/>
                <w:szCs w:val="28"/>
              </w:rPr>
            </w:pPr>
          </w:p>
        </w:tc>
        <w:tc>
          <w:tcPr>
            <w:tcW w:w="1704" w:type="dxa"/>
            <w:vMerge w:val="continue"/>
          </w:tcPr>
          <w:p>
            <w:pPr>
              <w:rPr>
                <w:rFonts w:ascii="Calibri" w:hAnsi="Calibri"/>
                <w:sz w:val="28"/>
                <w:szCs w:val="28"/>
              </w:rPr>
            </w:pPr>
          </w:p>
        </w:tc>
        <w:tc>
          <w:tcPr>
            <w:tcW w:w="3501" w:type="dxa"/>
            <w:vMerge w:val="continue"/>
          </w:tcPr>
          <w:p>
            <w:pPr>
              <w:rPr>
                <w:rFonts w:ascii="Calibri" w:hAnsi="Calibri"/>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ascii="Calibri" w:hAnsi="Calibri"/>
                <w:sz w:val="28"/>
                <w:szCs w:val="28"/>
              </w:rPr>
            </w:pPr>
          </w:p>
        </w:tc>
        <w:tc>
          <w:tcPr>
            <w:tcW w:w="1704" w:type="dxa"/>
          </w:tcPr>
          <w:p>
            <w:pPr>
              <w:rPr>
                <w:rFonts w:ascii="Calibri" w:hAnsi="Calibri"/>
                <w:sz w:val="28"/>
                <w:szCs w:val="28"/>
              </w:rPr>
            </w:pPr>
          </w:p>
        </w:tc>
        <w:tc>
          <w:tcPr>
            <w:tcW w:w="1704" w:type="dxa"/>
            <w:vMerge w:val="continue"/>
          </w:tcPr>
          <w:p>
            <w:pPr>
              <w:rPr>
                <w:rFonts w:ascii="Calibri" w:hAnsi="Calibri"/>
                <w:sz w:val="28"/>
                <w:szCs w:val="28"/>
              </w:rPr>
            </w:pPr>
          </w:p>
        </w:tc>
        <w:tc>
          <w:tcPr>
            <w:tcW w:w="3501" w:type="dxa"/>
            <w:vMerge w:val="continue"/>
          </w:tcPr>
          <w:p>
            <w:pPr>
              <w:rPr>
                <w:rFonts w:ascii="Calibri" w:hAnsi="Calibri"/>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ascii="Calibri" w:hAnsi="Calibri"/>
                <w:sz w:val="28"/>
                <w:szCs w:val="28"/>
              </w:rPr>
            </w:pPr>
          </w:p>
        </w:tc>
        <w:tc>
          <w:tcPr>
            <w:tcW w:w="1704" w:type="dxa"/>
          </w:tcPr>
          <w:p>
            <w:pPr>
              <w:rPr>
                <w:rFonts w:ascii="Calibri" w:hAnsi="Calibri"/>
                <w:sz w:val="28"/>
                <w:szCs w:val="28"/>
              </w:rPr>
            </w:pPr>
          </w:p>
        </w:tc>
        <w:tc>
          <w:tcPr>
            <w:tcW w:w="1704" w:type="dxa"/>
            <w:vMerge w:val="continue"/>
          </w:tcPr>
          <w:p>
            <w:pPr>
              <w:rPr>
                <w:rFonts w:ascii="Calibri" w:hAnsi="Calibri"/>
                <w:sz w:val="28"/>
                <w:szCs w:val="28"/>
              </w:rPr>
            </w:pPr>
          </w:p>
        </w:tc>
        <w:tc>
          <w:tcPr>
            <w:tcW w:w="3501" w:type="dxa"/>
            <w:vMerge w:val="continue"/>
          </w:tcPr>
          <w:p>
            <w:pPr>
              <w:rPr>
                <w:rFonts w:ascii="Calibri" w:hAnsi="Calibri"/>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ascii="Calibri" w:hAnsi="Calibri"/>
                <w:sz w:val="28"/>
                <w:szCs w:val="28"/>
              </w:rPr>
            </w:pPr>
          </w:p>
        </w:tc>
        <w:tc>
          <w:tcPr>
            <w:tcW w:w="1704" w:type="dxa"/>
          </w:tcPr>
          <w:p>
            <w:pPr>
              <w:rPr>
                <w:rFonts w:ascii="Calibri" w:hAnsi="Calibri"/>
                <w:sz w:val="28"/>
                <w:szCs w:val="28"/>
              </w:rPr>
            </w:pPr>
          </w:p>
        </w:tc>
        <w:tc>
          <w:tcPr>
            <w:tcW w:w="1704" w:type="dxa"/>
            <w:vMerge w:val="continue"/>
          </w:tcPr>
          <w:p>
            <w:pPr>
              <w:rPr>
                <w:rFonts w:ascii="Calibri" w:hAnsi="Calibri"/>
                <w:sz w:val="28"/>
                <w:szCs w:val="28"/>
              </w:rPr>
            </w:pPr>
          </w:p>
        </w:tc>
        <w:tc>
          <w:tcPr>
            <w:tcW w:w="3501" w:type="dxa"/>
            <w:vMerge w:val="continue"/>
          </w:tcPr>
          <w:p>
            <w:pPr>
              <w:rPr>
                <w:rFonts w:ascii="Calibri" w:hAnsi="Calibri"/>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ascii="Calibri" w:hAnsi="Calibri"/>
                <w:sz w:val="28"/>
                <w:szCs w:val="28"/>
              </w:rPr>
            </w:pPr>
          </w:p>
        </w:tc>
        <w:tc>
          <w:tcPr>
            <w:tcW w:w="1704" w:type="dxa"/>
          </w:tcPr>
          <w:p>
            <w:pPr>
              <w:rPr>
                <w:rFonts w:ascii="Calibri" w:hAnsi="Calibri"/>
                <w:sz w:val="28"/>
                <w:szCs w:val="28"/>
              </w:rPr>
            </w:pPr>
          </w:p>
        </w:tc>
        <w:tc>
          <w:tcPr>
            <w:tcW w:w="1704" w:type="dxa"/>
            <w:vMerge w:val="continue"/>
          </w:tcPr>
          <w:p>
            <w:pPr>
              <w:rPr>
                <w:rFonts w:ascii="Calibri" w:hAnsi="Calibri"/>
                <w:sz w:val="28"/>
                <w:szCs w:val="28"/>
              </w:rPr>
            </w:pPr>
          </w:p>
        </w:tc>
        <w:tc>
          <w:tcPr>
            <w:tcW w:w="3501" w:type="dxa"/>
            <w:vMerge w:val="continue"/>
          </w:tcPr>
          <w:p>
            <w:pPr>
              <w:rPr>
                <w:rFonts w:ascii="Calibri" w:hAnsi="Calibri"/>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ascii="Calibri" w:hAnsi="Calibri"/>
                <w:sz w:val="28"/>
                <w:szCs w:val="28"/>
              </w:rPr>
            </w:pPr>
          </w:p>
        </w:tc>
        <w:tc>
          <w:tcPr>
            <w:tcW w:w="1704" w:type="dxa"/>
          </w:tcPr>
          <w:p>
            <w:pPr>
              <w:rPr>
                <w:rFonts w:ascii="Calibri" w:hAnsi="Calibri"/>
                <w:sz w:val="28"/>
                <w:szCs w:val="28"/>
              </w:rPr>
            </w:pPr>
          </w:p>
        </w:tc>
        <w:tc>
          <w:tcPr>
            <w:tcW w:w="1704" w:type="dxa"/>
            <w:vMerge w:val="continue"/>
          </w:tcPr>
          <w:p>
            <w:pPr>
              <w:rPr>
                <w:rFonts w:ascii="Calibri" w:hAnsi="Calibri"/>
                <w:sz w:val="28"/>
                <w:szCs w:val="28"/>
              </w:rPr>
            </w:pPr>
          </w:p>
        </w:tc>
        <w:tc>
          <w:tcPr>
            <w:tcW w:w="3501" w:type="dxa"/>
            <w:vMerge w:val="continue"/>
          </w:tcPr>
          <w:p>
            <w:pPr>
              <w:rPr>
                <w:rFonts w:ascii="Calibri" w:hAnsi="Calibri"/>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ascii="Calibri" w:hAnsi="Calibri"/>
                <w:sz w:val="28"/>
                <w:szCs w:val="28"/>
              </w:rPr>
            </w:pPr>
          </w:p>
        </w:tc>
        <w:tc>
          <w:tcPr>
            <w:tcW w:w="1704" w:type="dxa"/>
          </w:tcPr>
          <w:p>
            <w:pPr>
              <w:rPr>
                <w:rFonts w:ascii="Calibri" w:hAnsi="Calibri"/>
                <w:sz w:val="28"/>
                <w:szCs w:val="28"/>
              </w:rPr>
            </w:pPr>
          </w:p>
        </w:tc>
        <w:tc>
          <w:tcPr>
            <w:tcW w:w="1704" w:type="dxa"/>
            <w:vMerge w:val="continue"/>
          </w:tcPr>
          <w:p>
            <w:pPr>
              <w:rPr>
                <w:rFonts w:ascii="Calibri" w:hAnsi="Calibri"/>
                <w:sz w:val="28"/>
                <w:szCs w:val="28"/>
              </w:rPr>
            </w:pPr>
          </w:p>
        </w:tc>
        <w:tc>
          <w:tcPr>
            <w:tcW w:w="3501" w:type="dxa"/>
            <w:vMerge w:val="continue"/>
          </w:tcPr>
          <w:p>
            <w:pPr>
              <w:rPr>
                <w:rFonts w:ascii="Calibri" w:hAnsi="Calibri"/>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ascii="Calibri" w:hAnsi="Calibri"/>
                <w:sz w:val="28"/>
                <w:szCs w:val="28"/>
              </w:rPr>
            </w:pPr>
          </w:p>
        </w:tc>
        <w:tc>
          <w:tcPr>
            <w:tcW w:w="1704" w:type="dxa"/>
          </w:tcPr>
          <w:p>
            <w:pPr>
              <w:rPr>
                <w:rFonts w:ascii="Calibri" w:hAnsi="Calibri"/>
                <w:sz w:val="28"/>
                <w:szCs w:val="28"/>
              </w:rPr>
            </w:pPr>
          </w:p>
        </w:tc>
        <w:tc>
          <w:tcPr>
            <w:tcW w:w="1704" w:type="dxa"/>
            <w:vMerge w:val="continue"/>
          </w:tcPr>
          <w:p>
            <w:pPr>
              <w:rPr>
                <w:rFonts w:ascii="Calibri" w:hAnsi="Calibri"/>
                <w:sz w:val="28"/>
                <w:szCs w:val="28"/>
              </w:rPr>
            </w:pPr>
          </w:p>
        </w:tc>
        <w:tc>
          <w:tcPr>
            <w:tcW w:w="3501" w:type="dxa"/>
            <w:vMerge w:val="continue"/>
          </w:tcPr>
          <w:p>
            <w:pPr>
              <w:rPr>
                <w:rFonts w:ascii="Calibri" w:hAnsi="Calibri"/>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ascii="Calibri" w:hAnsi="Calibri"/>
                <w:sz w:val="28"/>
                <w:szCs w:val="28"/>
              </w:rPr>
            </w:pPr>
          </w:p>
        </w:tc>
        <w:tc>
          <w:tcPr>
            <w:tcW w:w="1704" w:type="dxa"/>
          </w:tcPr>
          <w:p>
            <w:pPr>
              <w:rPr>
                <w:rFonts w:ascii="Calibri" w:hAnsi="Calibri"/>
                <w:sz w:val="28"/>
                <w:szCs w:val="28"/>
              </w:rPr>
            </w:pPr>
          </w:p>
        </w:tc>
        <w:tc>
          <w:tcPr>
            <w:tcW w:w="1704" w:type="dxa"/>
            <w:vMerge w:val="continue"/>
          </w:tcPr>
          <w:p>
            <w:pPr>
              <w:rPr>
                <w:rFonts w:ascii="Calibri" w:hAnsi="Calibri"/>
                <w:sz w:val="28"/>
                <w:szCs w:val="28"/>
              </w:rPr>
            </w:pPr>
          </w:p>
        </w:tc>
        <w:tc>
          <w:tcPr>
            <w:tcW w:w="3501" w:type="dxa"/>
            <w:vMerge w:val="continue"/>
          </w:tcPr>
          <w:p>
            <w:pPr>
              <w:rPr>
                <w:rFonts w:ascii="Calibri" w:hAnsi="Calibri"/>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pPr>
              <w:rPr>
                <w:rFonts w:ascii="Calibri" w:hAnsi="Calibri"/>
                <w:sz w:val="36"/>
                <w:szCs w:val="36"/>
              </w:rPr>
            </w:pPr>
            <w:r>
              <w:rPr>
                <w:rFonts w:ascii="Calibri" w:hAnsi="Calibri"/>
                <w:sz w:val="36"/>
                <w:szCs w:val="36"/>
              </w:rPr>
              <w:t>供应商全称：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pPr>
              <w:rPr>
                <w:rFonts w:ascii="Calibri" w:hAnsi="Calibri"/>
                <w:strike/>
                <w:color w:val="FF0000"/>
                <w:sz w:val="36"/>
                <w:szCs w:val="3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pPr>
              <w:rPr>
                <w:rFonts w:ascii="Calibri" w:hAnsi="Calibri"/>
                <w:sz w:val="36"/>
                <w:szCs w:val="36"/>
              </w:rPr>
            </w:pPr>
            <w:r>
              <w:rPr>
                <w:rFonts w:ascii="Calibri" w:hAnsi="Calibri"/>
                <w:sz w:val="36"/>
                <w:szCs w:val="36"/>
              </w:rPr>
              <w:t>时      间：</w:t>
            </w:r>
          </w:p>
        </w:tc>
      </w:tr>
    </w:tbl>
    <w:p>
      <w:pPr>
        <w:rPr>
          <w:szCs w:val="22"/>
        </w:rPr>
      </w:pPr>
    </w:p>
    <w:p>
      <w:pPr>
        <w:rPr>
          <w:szCs w:val="22"/>
        </w:rPr>
      </w:pPr>
    </w:p>
    <w:p>
      <w:pPr>
        <w:rPr>
          <w:rFonts w:hint="eastAsia" w:hAnsi="仿宋" w:eastAsia="仿宋"/>
          <w:sz w:val="30"/>
          <w:szCs w:val="30"/>
        </w:rPr>
      </w:pPr>
      <w:r>
        <w:rPr>
          <w:rFonts w:hAnsi="仿宋" w:eastAsia="仿宋"/>
          <w:sz w:val="30"/>
          <w:szCs w:val="30"/>
        </w:rPr>
        <w:br w:type="page"/>
      </w:r>
    </w:p>
    <w:p>
      <w:pPr>
        <w:snapToGrid w:val="0"/>
        <w:spacing w:before="156" w:beforeLines="50" w:after="50" w:line="460" w:lineRule="exact"/>
        <w:rPr>
          <w:rFonts w:eastAsia="仿宋"/>
          <w:sz w:val="30"/>
          <w:szCs w:val="30"/>
        </w:rPr>
      </w:pPr>
      <w:r>
        <w:rPr>
          <w:rFonts w:hAnsi="仿宋" w:eastAsia="仿宋"/>
          <w:sz w:val="30"/>
          <w:szCs w:val="30"/>
        </w:rPr>
        <w:t>附件</w:t>
      </w:r>
      <w:r>
        <w:rPr>
          <w:rFonts w:eastAsia="仿宋"/>
          <w:sz w:val="30"/>
          <w:szCs w:val="30"/>
        </w:rPr>
        <w:t>2</w:t>
      </w:r>
      <w:r>
        <w:rPr>
          <w:rFonts w:hAnsi="仿宋" w:eastAsia="仿宋"/>
          <w:sz w:val="30"/>
          <w:szCs w:val="30"/>
        </w:rPr>
        <w:t>：</w:t>
      </w:r>
    </w:p>
    <w:p>
      <w:pPr>
        <w:snapToGrid w:val="0"/>
        <w:spacing w:before="50" w:after="50"/>
        <w:jc w:val="center"/>
        <w:rPr>
          <w:rFonts w:eastAsia="仿宋"/>
          <w:b/>
          <w:sz w:val="36"/>
          <w:szCs w:val="36"/>
        </w:rPr>
      </w:pPr>
      <w:r>
        <w:rPr>
          <w:rFonts w:hAnsi="仿宋" w:eastAsia="仿宋"/>
          <w:b/>
          <w:sz w:val="36"/>
          <w:szCs w:val="36"/>
        </w:rPr>
        <w:t>声</w:t>
      </w:r>
      <w:r>
        <w:rPr>
          <w:rFonts w:eastAsia="仿宋"/>
          <w:b/>
          <w:sz w:val="36"/>
          <w:szCs w:val="36"/>
        </w:rPr>
        <w:t xml:space="preserve"> </w:t>
      </w:r>
      <w:r>
        <w:rPr>
          <w:rFonts w:hAnsi="仿宋" w:eastAsia="仿宋"/>
          <w:b/>
          <w:sz w:val="36"/>
          <w:szCs w:val="36"/>
        </w:rPr>
        <w:t>明</w:t>
      </w:r>
      <w:r>
        <w:rPr>
          <w:rFonts w:eastAsia="仿宋"/>
          <w:b/>
          <w:sz w:val="36"/>
          <w:szCs w:val="36"/>
        </w:rPr>
        <w:t xml:space="preserve"> </w:t>
      </w:r>
      <w:r>
        <w:rPr>
          <w:rFonts w:hAnsi="仿宋" w:eastAsia="仿宋"/>
          <w:b/>
          <w:sz w:val="36"/>
          <w:szCs w:val="36"/>
        </w:rPr>
        <w:t>书</w:t>
      </w:r>
    </w:p>
    <w:p>
      <w:pPr>
        <w:snapToGrid w:val="0"/>
        <w:spacing w:before="156" w:beforeLines="50" w:after="50" w:line="460" w:lineRule="exact"/>
        <w:rPr>
          <w:rFonts w:eastAsiaTheme="minorEastAsia"/>
          <w:sz w:val="28"/>
          <w:szCs w:val="28"/>
        </w:rPr>
      </w:pPr>
      <w:r>
        <w:rPr>
          <w:rFonts w:hAnsiTheme="minorEastAsia" w:eastAsiaTheme="minorEastAsia"/>
          <w:sz w:val="28"/>
          <w:szCs w:val="28"/>
        </w:rPr>
        <w:t>致浙江大学医学院附属妇产科医院：</w:t>
      </w:r>
    </w:p>
    <w:p>
      <w:pPr>
        <w:snapToGrid w:val="0"/>
        <w:spacing w:before="156" w:beforeLines="50" w:after="50" w:line="460" w:lineRule="exact"/>
        <w:ind w:firstLine="560" w:firstLineChars="200"/>
        <w:rPr>
          <w:rFonts w:eastAsiaTheme="minorEastAsia"/>
          <w:sz w:val="28"/>
          <w:szCs w:val="28"/>
        </w:rPr>
      </w:pPr>
      <w:r>
        <w:rPr>
          <w:rFonts w:hAnsiTheme="minorEastAsia" w:eastAsiaTheme="minorEastAsia"/>
          <w:sz w:val="28"/>
          <w:szCs w:val="28"/>
          <w:u w:val="single"/>
        </w:rPr>
        <w:t>（供应商名称）</w:t>
      </w:r>
      <w:r>
        <w:rPr>
          <w:rFonts w:hAnsiTheme="minorEastAsia" w:eastAsiaTheme="minorEastAsia"/>
          <w:sz w:val="28"/>
          <w:szCs w:val="28"/>
        </w:rPr>
        <w:t>系中华人民共和国合法企业，经营地址</w:t>
      </w:r>
      <w:r>
        <w:rPr>
          <w:rFonts w:eastAsiaTheme="minorEastAsia"/>
          <w:sz w:val="28"/>
          <w:szCs w:val="28"/>
          <w:u w:val="single"/>
        </w:rPr>
        <w:t xml:space="preserve">                            </w:t>
      </w:r>
      <w:r>
        <w:rPr>
          <w:rFonts w:hAnsiTheme="minorEastAsia" w:eastAsiaTheme="minorEastAsia"/>
          <w:sz w:val="28"/>
          <w:szCs w:val="28"/>
        </w:rPr>
        <w:t>。</w:t>
      </w:r>
    </w:p>
    <w:p>
      <w:pPr>
        <w:snapToGrid w:val="0"/>
        <w:spacing w:before="156" w:beforeLines="50" w:after="50" w:line="460" w:lineRule="exact"/>
        <w:ind w:firstLine="560" w:firstLineChars="200"/>
        <w:rPr>
          <w:rFonts w:eastAsiaTheme="minorEastAsia"/>
          <w:sz w:val="28"/>
          <w:szCs w:val="28"/>
        </w:rPr>
      </w:pPr>
      <w:r>
        <w:rPr>
          <w:rFonts w:hAnsiTheme="minorEastAsia" w:eastAsiaTheme="minorEastAsia"/>
          <w:sz w:val="28"/>
          <w:szCs w:val="28"/>
        </w:rPr>
        <w:t>我</w:t>
      </w:r>
      <w:r>
        <w:rPr>
          <w:rFonts w:hAnsiTheme="minorEastAsia" w:eastAsiaTheme="minorEastAsia"/>
          <w:sz w:val="28"/>
          <w:szCs w:val="28"/>
          <w:u w:val="single"/>
        </w:rPr>
        <w:t>（姓名）</w:t>
      </w:r>
      <w:r>
        <w:rPr>
          <w:rFonts w:hAnsiTheme="minorEastAsia" w:eastAsiaTheme="minorEastAsia"/>
          <w:sz w:val="28"/>
          <w:szCs w:val="28"/>
        </w:rPr>
        <w:t>系</w:t>
      </w:r>
      <w:r>
        <w:rPr>
          <w:rFonts w:hAnsiTheme="minorEastAsia" w:eastAsiaTheme="minorEastAsia"/>
          <w:sz w:val="28"/>
          <w:szCs w:val="28"/>
          <w:u w:val="single"/>
        </w:rPr>
        <w:t>（供应商名称）</w:t>
      </w:r>
      <w:r>
        <w:rPr>
          <w:rFonts w:hAnsiTheme="minorEastAsia" w:eastAsiaTheme="minorEastAsia"/>
          <w:sz w:val="28"/>
          <w:szCs w:val="28"/>
        </w:rPr>
        <w:t>的法定代表人，我方愿意参加贵方组织的</w:t>
      </w:r>
      <w:r>
        <w:rPr>
          <w:rFonts w:hAnsiTheme="minorEastAsia" w:eastAsiaTheme="minorEastAsia"/>
          <w:sz w:val="28"/>
          <w:szCs w:val="28"/>
          <w:u w:val="single"/>
        </w:rPr>
        <w:t>（采购项目名称）（编号为</w:t>
      </w:r>
      <w:r>
        <w:rPr>
          <w:rFonts w:eastAsiaTheme="minorEastAsia"/>
          <w:sz w:val="28"/>
          <w:szCs w:val="28"/>
          <w:u w:val="single"/>
        </w:rPr>
        <w:t xml:space="preserve"> </w:t>
      </w:r>
      <w:r>
        <w:rPr>
          <w:rFonts w:hAnsiTheme="minorEastAsia" w:eastAsiaTheme="minorEastAsia"/>
          <w:sz w:val="28"/>
          <w:szCs w:val="28"/>
          <w:u w:val="single"/>
        </w:rPr>
        <w:t>）</w:t>
      </w:r>
      <w:r>
        <w:rPr>
          <w:rFonts w:hAnsiTheme="minorEastAsia" w:eastAsiaTheme="minorEastAsia"/>
          <w:sz w:val="28"/>
          <w:szCs w:val="28"/>
        </w:rPr>
        <w:t>的采购项目，为此，我方就本次项目有关事项郑重声明如下：</w:t>
      </w:r>
    </w:p>
    <w:p>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1</w:t>
      </w:r>
      <w:r>
        <w:rPr>
          <w:rFonts w:hAnsiTheme="minorEastAsia" w:eastAsiaTheme="minorEastAsia"/>
          <w:sz w:val="28"/>
          <w:szCs w:val="28"/>
        </w:rPr>
        <w:t>、我方已详细审查全部采购文件，同意采购文件的各项要求。</w:t>
      </w:r>
    </w:p>
    <w:p>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2</w:t>
      </w:r>
      <w:r>
        <w:rPr>
          <w:rFonts w:hAnsiTheme="minorEastAsia" w:eastAsiaTheme="minorEastAsia"/>
          <w:sz w:val="28"/>
          <w:szCs w:val="28"/>
        </w:rPr>
        <w:t>、我方向贵方提交的所有响应文件、资料都是准确的和真实的。</w:t>
      </w:r>
    </w:p>
    <w:p>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3</w:t>
      </w:r>
      <w:r>
        <w:rPr>
          <w:rFonts w:hAnsiTheme="minorEastAsia" w:eastAsiaTheme="minorEastAsia"/>
          <w:sz w:val="28"/>
          <w:szCs w:val="28"/>
        </w:rPr>
        <w:t>、若成交，我方将按采购文件规定履行合同责任和义务。</w:t>
      </w:r>
    </w:p>
    <w:p>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4</w:t>
      </w:r>
      <w:r>
        <w:rPr>
          <w:rFonts w:hAnsiTheme="minorEastAsia" w:eastAsiaTheme="minorEastAsia"/>
          <w:sz w:val="28"/>
          <w:szCs w:val="28"/>
        </w:rPr>
        <w:t>、我方不是采购人的附属机构；在获知本项目采购信息后，与采购人聘请的为此项目提供咨询服务的公司及其附属机构没有任何联系。</w:t>
      </w:r>
    </w:p>
    <w:p>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5</w:t>
      </w:r>
      <w:r>
        <w:rPr>
          <w:rFonts w:hAnsiTheme="minorEastAsia" w:eastAsiaTheme="minorEastAsia"/>
          <w:sz w:val="28"/>
          <w:szCs w:val="28"/>
        </w:rPr>
        <w:t>、响应文件自提交之日起有效期为</w:t>
      </w:r>
      <w:r>
        <w:rPr>
          <w:rFonts w:eastAsiaTheme="minorEastAsia"/>
          <w:sz w:val="28"/>
          <w:szCs w:val="28"/>
        </w:rPr>
        <w:t>90</w:t>
      </w:r>
      <w:r>
        <w:rPr>
          <w:rFonts w:hAnsiTheme="minorEastAsia" w:eastAsiaTheme="minorEastAsia"/>
          <w:sz w:val="28"/>
          <w:szCs w:val="28"/>
        </w:rPr>
        <w:t>天。</w:t>
      </w:r>
    </w:p>
    <w:p>
      <w:pPr>
        <w:snapToGrid w:val="0"/>
        <w:spacing w:line="460" w:lineRule="exact"/>
        <w:ind w:firstLine="548" w:firstLineChars="196"/>
        <w:rPr>
          <w:rFonts w:eastAsiaTheme="minorEastAsia"/>
          <w:sz w:val="28"/>
          <w:szCs w:val="28"/>
        </w:rPr>
      </w:pPr>
      <w:r>
        <w:rPr>
          <w:rFonts w:eastAsiaTheme="minorEastAsia"/>
          <w:sz w:val="28"/>
          <w:szCs w:val="28"/>
        </w:rPr>
        <w:t>6</w:t>
      </w:r>
      <w:r>
        <w:rPr>
          <w:rFonts w:hAnsiTheme="minorEastAsia" w:eastAsiaTheme="minorEastAsia"/>
          <w:sz w:val="28"/>
          <w:szCs w:val="28"/>
        </w:rPr>
        <w:t>、我方参与本项目前</w:t>
      </w:r>
      <w:r>
        <w:rPr>
          <w:rFonts w:eastAsiaTheme="minorEastAsia"/>
          <w:sz w:val="28"/>
          <w:szCs w:val="28"/>
        </w:rPr>
        <w:t>3</w:t>
      </w:r>
      <w:r>
        <w:rPr>
          <w:rFonts w:hAnsiTheme="minorEastAsia" w:eastAsiaTheme="minorEastAsia"/>
          <w:sz w:val="28"/>
          <w:szCs w:val="28"/>
        </w:rPr>
        <w:t>年内的经营活动中没有重大违法记录。</w:t>
      </w:r>
    </w:p>
    <w:p>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7</w:t>
      </w:r>
      <w:r>
        <w:rPr>
          <w:rFonts w:hAnsiTheme="minorEastAsia" w:eastAsiaTheme="minorEastAsia"/>
          <w:sz w:val="28"/>
          <w:szCs w:val="28"/>
        </w:rPr>
        <w:t>、我方通过</w:t>
      </w:r>
      <w:r>
        <w:rPr>
          <w:rFonts w:eastAsiaTheme="minorEastAsia"/>
          <w:sz w:val="28"/>
          <w:szCs w:val="28"/>
        </w:rPr>
        <w:t>“</w:t>
      </w:r>
      <w:r>
        <w:rPr>
          <w:rFonts w:hAnsiTheme="minorEastAsia" w:eastAsiaTheme="minorEastAsia"/>
          <w:sz w:val="28"/>
          <w:szCs w:val="28"/>
        </w:rPr>
        <w:t>信用中国</w:t>
      </w:r>
      <w:r>
        <w:rPr>
          <w:rFonts w:eastAsiaTheme="minorEastAsia"/>
          <w:sz w:val="28"/>
          <w:szCs w:val="28"/>
        </w:rPr>
        <w:t>”</w:t>
      </w:r>
      <w:r>
        <w:rPr>
          <w:rFonts w:hAnsiTheme="minorEastAsia" w:eastAsiaTheme="minorEastAsia"/>
          <w:sz w:val="28"/>
          <w:szCs w:val="28"/>
        </w:rPr>
        <w:t>网站（</w:t>
      </w:r>
      <w:r>
        <w:rPr>
          <w:rFonts w:eastAsiaTheme="minorEastAsia"/>
          <w:sz w:val="28"/>
          <w:szCs w:val="28"/>
        </w:rPr>
        <w:t>www.creditchina.gov.cn</w:t>
      </w:r>
      <w:r>
        <w:rPr>
          <w:rFonts w:hAnsiTheme="minorEastAsia" w:eastAsiaTheme="minorEastAsia"/>
          <w:sz w:val="28"/>
          <w:szCs w:val="28"/>
        </w:rPr>
        <w:t>）查询，未被列入失信被执行人、重大税收违法案件当事人名单、政府采购严重违法失信行为记录名单。</w:t>
      </w:r>
    </w:p>
    <w:p>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8</w:t>
      </w:r>
      <w:r>
        <w:rPr>
          <w:rFonts w:hAnsiTheme="minorEastAsia" w:eastAsiaTheme="minorEastAsia"/>
          <w:sz w:val="28"/>
          <w:szCs w:val="28"/>
        </w:rPr>
        <w:t>、以上事项如有虚假或隐瞒，我方愿意承担一切后果，并不再寻求任何旨在减轻或免除法律责任的辩解。</w:t>
      </w:r>
    </w:p>
    <w:p>
      <w:pPr>
        <w:snapToGrid w:val="0"/>
        <w:spacing w:before="156" w:beforeLines="50" w:after="50" w:line="460" w:lineRule="exact"/>
        <w:ind w:firstLine="560" w:firstLineChars="200"/>
        <w:rPr>
          <w:rFonts w:eastAsiaTheme="minorEastAsia"/>
          <w:sz w:val="28"/>
          <w:szCs w:val="28"/>
        </w:rPr>
      </w:pPr>
    </w:p>
    <w:p>
      <w:pPr>
        <w:snapToGrid w:val="0"/>
        <w:spacing w:before="156" w:beforeLines="50" w:after="50" w:line="460" w:lineRule="exact"/>
        <w:ind w:right="600" w:firstLine="140" w:firstLineChars="50"/>
        <w:rPr>
          <w:rFonts w:eastAsiaTheme="minorEastAsia"/>
          <w:sz w:val="28"/>
          <w:szCs w:val="28"/>
          <w:u w:val="single"/>
        </w:rPr>
      </w:pPr>
      <w:r>
        <w:rPr>
          <w:rFonts w:hAnsiTheme="minorEastAsia" w:eastAsiaTheme="minorEastAsia"/>
          <w:sz w:val="28"/>
          <w:szCs w:val="28"/>
        </w:rPr>
        <w:t>法定代表人签名（或签名章）：</w:t>
      </w:r>
      <w:r>
        <w:rPr>
          <w:rFonts w:eastAsiaTheme="minorEastAsia"/>
          <w:sz w:val="28"/>
          <w:szCs w:val="28"/>
          <w:u w:val="single"/>
        </w:rPr>
        <w:t xml:space="preserve">          </w:t>
      </w:r>
      <w:r>
        <w:rPr>
          <w:rFonts w:eastAsiaTheme="minorEastAsia"/>
          <w:sz w:val="28"/>
          <w:szCs w:val="28"/>
        </w:rPr>
        <w:t xml:space="preserve">  </w:t>
      </w:r>
      <w:r>
        <w:rPr>
          <w:rFonts w:hAnsiTheme="minorEastAsia" w:eastAsiaTheme="minorEastAsia"/>
          <w:sz w:val="28"/>
          <w:szCs w:val="28"/>
        </w:rPr>
        <w:t>日</w:t>
      </w:r>
      <w:r>
        <w:rPr>
          <w:rFonts w:eastAsiaTheme="minorEastAsia"/>
          <w:sz w:val="28"/>
          <w:szCs w:val="28"/>
        </w:rPr>
        <w:t xml:space="preserve"> </w:t>
      </w:r>
      <w:r>
        <w:rPr>
          <w:rFonts w:hAnsiTheme="minorEastAsia" w:eastAsiaTheme="minorEastAsia"/>
          <w:sz w:val="28"/>
          <w:szCs w:val="28"/>
        </w:rPr>
        <w:t>期：</w:t>
      </w:r>
      <w:r>
        <w:rPr>
          <w:rFonts w:eastAsiaTheme="minorEastAsia"/>
          <w:sz w:val="28"/>
          <w:szCs w:val="28"/>
          <w:u w:val="single"/>
        </w:rPr>
        <w:t xml:space="preserve">          </w:t>
      </w:r>
    </w:p>
    <w:p>
      <w:pPr>
        <w:snapToGrid w:val="0"/>
        <w:spacing w:before="156" w:beforeLines="50" w:line="460" w:lineRule="exact"/>
        <w:ind w:firstLine="200"/>
        <w:rPr>
          <w:rFonts w:eastAsiaTheme="minorEastAsia"/>
          <w:sz w:val="28"/>
          <w:szCs w:val="28"/>
          <w:u w:val="single"/>
        </w:rPr>
      </w:pPr>
    </w:p>
    <w:p>
      <w:pPr>
        <w:snapToGrid w:val="0"/>
        <w:spacing w:before="156" w:beforeLines="50" w:after="50" w:line="460" w:lineRule="exact"/>
        <w:ind w:firstLine="140" w:firstLineChars="50"/>
        <w:rPr>
          <w:rFonts w:eastAsiaTheme="minorEastAsia"/>
          <w:sz w:val="28"/>
          <w:szCs w:val="28"/>
        </w:rPr>
      </w:pPr>
      <w:r>
        <w:rPr>
          <w:rFonts w:hint="eastAsia" w:hAnsiTheme="minorEastAsia" w:eastAsiaTheme="minorEastAsia"/>
          <w:sz w:val="28"/>
          <w:szCs w:val="28"/>
        </w:rPr>
        <w:t>供应商</w:t>
      </w:r>
      <w:r>
        <w:rPr>
          <w:rFonts w:hAnsiTheme="minorEastAsia" w:eastAsiaTheme="minorEastAsia"/>
          <w:sz w:val="28"/>
          <w:szCs w:val="28"/>
        </w:rPr>
        <w:t>全称（公章）：</w:t>
      </w:r>
      <w:r>
        <w:rPr>
          <w:rFonts w:eastAsiaTheme="minorEastAsia"/>
          <w:sz w:val="28"/>
          <w:szCs w:val="28"/>
          <w:u w:val="single"/>
        </w:rPr>
        <w:t xml:space="preserve">             </w:t>
      </w:r>
      <w:r>
        <w:rPr>
          <w:rFonts w:eastAsiaTheme="minorEastAsia"/>
          <w:sz w:val="28"/>
          <w:szCs w:val="28"/>
        </w:rPr>
        <w:t xml:space="preserve">       </w:t>
      </w:r>
    </w:p>
    <w:p>
      <w:pPr>
        <w:rPr>
          <w:rFonts w:hint="eastAsia" w:hAnsi="仿宋" w:eastAsia="仿宋"/>
          <w:sz w:val="30"/>
          <w:szCs w:val="30"/>
        </w:rPr>
      </w:pPr>
      <w:r>
        <w:rPr>
          <w:rFonts w:hAnsi="仿宋" w:eastAsia="仿宋"/>
          <w:sz w:val="30"/>
          <w:szCs w:val="30"/>
        </w:rPr>
        <w:br w:type="page"/>
      </w:r>
    </w:p>
    <w:p>
      <w:pPr>
        <w:snapToGrid w:val="0"/>
        <w:spacing w:before="156" w:beforeLines="50" w:after="50" w:line="460" w:lineRule="exact"/>
        <w:rPr>
          <w:rFonts w:eastAsia="仿宋"/>
          <w:sz w:val="30"/>
          <w:szCs w:val="30"/>
        </w:rPr>
      </w:pPr>
      <w:r>
        <w:rPr>
          <w:rFonts w:hAnsi="仿宋" w:eastAsia="仿宋"/>
          <w:sz w:val="30"/>
          <w:szCs w:val="30"/>
        </w:rPr>
        <w:t>附件</w:t>
      </w:r>
      <w:r>
        <w:rPr>
          <w:rFonts w:hint="eastAsia" w:hAnsi="仿宋" w:eastAsia="仿宋"/>
          <w:sz w:val="30"/>
          <w:szCs w:val="30"/>
        </w:rPr>
        <w:t>3</w:t>
      </w:r>
      <w:r>
        <w:rPr>
          <w:rFonts w:hAnsi="仿宋" w:eastAsia="仿宋"/>
          <w:sz w:val="30"/>
          <w:szCs w:val="30"/>
        </w:rPr>
        <w:t>：</w:t>
      </w:r>
    </w:p>
    <w:p>
      <w:pPr>
        <w:snapToGrid w:val="0"/>
        <w:spacing w:before="50" w:after="50"/>
        <w:jc w:val="center"/>
        <w:rPr>
          <w:rFonts w:eastAsia="仿宋"/>
          <w:b/>
          <w:sz w:val="36"/>
          <w:szCs w:val="36"/>
        </w:rPr>
      </w:pPr>
      <w:r>
        <w:rPr>
          <w:rFonts w:hAnsi="仿宋" w:eastAsia="仿宋"/>
          <w:b/>
          <w:sz w:val="36"/>
          <w:szCs w:val="36"/>
        </w:rPr>
        <w:t>法定代表人授权委托书</w:t>
      </w:r>
    </w:p>
    <w:p>
      <w:pPr>
        <w:snapToGrid w:val="0"/>
        <w:spacing w:before="156" w:beforeLines="50" w:after="50"/>
        <w:rPr>
          <w:rFonts w:eastAsia="仿宋"/>
          <w:b/>
          <w:sz w:val="30"/>
          <w:szCs w:val="30"/>
        </w:rPr>
      </w:pPr>
    </w:p>
    <w:p>
      <w:pPr>
        <w:snapToGrid w:val="0"/>
        <w:spacing w:before="156" w:beforeLines="50" w:after="50" w:line="460" w:lineRule="exact"/>
        <w:rPr>
          <w:rFonts w:eastAsia="仿宋"/>
          <w:b/>
          <w:bCs/>
          <w:sz w:val="30"/>
          <w:szCs w:val="30"/>
        </w:rPr>
      </w:pPr>
      <w:r>
        <w:rPr>
          <w:rFonts w:hAnsi="仿宋" w:eastAsia="仿宋"/>
          <w:bCs/>
          <w:sz w:val="30"/>
          <w:szCs w:val="30"/>
        </w:rPr>
        <w:t>浙江大学医学院附属妇产科医院：</w:t>
      </w:r>
    </w:p>
    <w:p>
      <w:pPr>
        <w:snapToGrid w:val="0"/>
        <w:spacing w:before="156" w:beforeLines="50" w:after="50" w:line="460" w:lineRule="exact"/>
        <w:ind w:firstLine="900" w:firstLineChars="300"/>
        <w:rPr>
          <w:rFonts w:eastAsia="仿宋"/>
          <w:sz w:val="30"/>
          <w:szCs w:val="30"/>
        </w:rPr>
      </w:pPr>
      <w:r>
        <w:rPr>
          <w:rFonts w:hAnsi="仿宋" w:eastAsia="仿宋"/>
          <w:sz w:val="30"/>
          <w:szCs w:val="30"/>
        </w:rPr>
        <w:t>我</w:t>
      </w:r>
      <w:r>
        <w:rPr>
          <w:rFonts w:eastAsia="仿宋"/>
          <w:sz w:val="30"/>
          <w:szCs w:val="30"/>
          <w:u w:val="single"/>
        </w:rPr>
        <w:t xml:space="preserve">    </w:t>
      </w:r>
      <w:r>
        <w:rPr>
          <w:rFonts w:hAnsi="仿宋" w:eastAsia="仿宋"/>
          <w:sz w:val="30"/>
          <w:szCs w:val="30"/>
        </w:rPr>
        <w:t>（姓名）系</w:t>
      </w:r>
      <w:r>
        <w:rPr>
          <w:rFonts w:eastAsia="仿宋"/>
          <w:sz w:val="30"/>
          <w:szCs w:val="30"/>
          <w:u w:val="single"/>
        </w:rPr>
        <w:t xml:space="preserve">    </w:t>
      </w:r>
      <w:r>
        <w:rPr>
          <w:rFonts w:hAnsi="仿宋" w:eastAsia="仿宋"/>
          <w:sz w:val="30"/>
          <w:szCs w:val="30"/>
        </w:rPr>
        <w:t>（供应商名称）的法定代表人，现授权委托本单位在职职工</w:t>
      </w:r>
      <w:r>
        <w:rPr>
          <w:rFonts w:eastAsia="仿宋"/>
          <w:sz w:val="30"/>
          <w:szCs w:val="30"/>
        </w:rPr>
        <w:t xml:space="preserve"> </w:t>
      </w:r>
      <w:r>
        <w:rPr>
          <w:rFonts w:eastAsia="仿宋"/>
          <w:sz w:val="30"/>
          <w:szCs w:val="30"/>
          <w:u w:val="single"/>
        </w:rPr>
        <w:t xml:space="preserve">         </w:t>
      </w:r>
      <w:r>
        <w:rPr>
          <w:rFonts w:hAnsi="仿宋" w:eastAsia="仿宋"/>
          <w:sz w:val="30"/>
          <w:szCs w:val="30"/>
        </w:rPr>
        <w:t>（姓名）为授权代表，以我方的名义参加项目编号：</w:t>
      </w:r>
      <w:r>
        <w:rPr>
          <w:rFonts w:eastAsia="仿宋"/>
          <w:sz w:val="30"/>
          <w:szCs w:val="30"/>
          <w:u w:val="single"/>
        </w:rPr>
        <w:t xml:space="preserve">           </w:t>
      </w:r>
      <w:r>
        <w:rPr>
          <w:rFonts w:hAnsi="仿宋" w:eastAsia="仿宋"/>
          <w:sz w:val="30"/>
          <w:szCs w:val="30"/>
        </w:rPr>
        <w:t>项目名称</w:t>
      </w:r>
      <w:r>
        <w:rPr>
          <w:rFonts w:hAnsi="仿宋" w:eastAsia="仿宋"/>
          <w:sz w:val="30"/>
          <w:szCs w:val="30"/>
          <w:u w:val="single"/>
        </w:rPr>
        <w:t>：</w:t>
      </w:r>
      <w:r>
        <w:rPr>
          <w:rFonts w:eastAsia="仿宋"/>
          <w:sz w:val="30"/>
          <w:szCs w:val="30"/>
          <w:u w:val="single"/>
        </w:rPr>
        <w:t xml:space="preserve">      </w:t>
      </w:r>
      <w:r>
        <w:rPr>
          <w:rFonts w:hAnsi="仿宋" w:eastAsia="仿宋"/>
          <w:sz w:val="30"/>
          <w:szCs w:val="30"/>
        </w:rPr>
        <w:t>项目的活动，并代表我方全权办理针对上述项目的具体事务签署相关文件。我方对授权代表的签名事项负全部责任。</w:t>
      </w:r>
    </w:p>
    <w:p>
      <w:pPr>
        <w:snapToGrid w:val="0"/>
        <w:spacing w:before="156" w:beforeLines="50" w:after="50" w:line="460" w:lineRule="exact"/>
        <w:ind w:firstLine="480"/>
        <w:rPr>
          <w:rFonts w:eastAsia="仿宋"/>
          <w:sz w:val="30"/>
          <w:szCs w:val="30"/>
        </w:rPr>
      </w:pPr>
      <w:r>
        <w:rPr>
          <w:rFonts w:hAnsi="仿宋" w:eastAsia="仿宋"/>
          <w:sz w:val="30"/>
          <w:szCs w:val="30"/>
        </w:rPr>
        <w:t>在撤销授权的书面通知以前，本授权书一直有效。授权代表在授权书有效期内签署的所有文件不因授权的撤销而失效。</w:t>
      </w:r>
    </w:p>
    <w:p>
      <w:pPr>
        <w:snapToGrid w:val="0"/>
        <w:spacing w:before="156" w:beforeLines="50" w:after="50" w:line="460" w:lineRule="exact"/>
        <w:ind w:firstLine="480"/>
        <w:rPr>
          <w:rFonts w:eastAsia="仿宋"/>
          <w:sz w:val="30"/>
          <w:szCs w:val="30"/>
        </w:rPr>
      </w:pPr>
      <w:r>
        <w:rPr>
          <w:rFonts w:hAnsi="仿宋" w:eastAsia="仿宋"/>
          <w:sz w:val="30"/>
          <w:szCs w:val="30"/>
        </w:rPr>
        <w:t>授权代表无转委托权，特此委托。</w:t>
      </w:r>
    </w:p>
    <w:p>
      <w:pPr>
        <w:snapToGrid w:val="0"/>
        <w:spacing w:before="156" w:beforeLines="50" w:after="50" w:line="460" w:lineRule="exact"/>
        <w:ind w:firstLine="480"/>
        <w:rPr>
          <w:rFonts w:eastAsia="仿宋"/>
          <w:sz w:val="30"/>
          <w:szCs w:val="30"/>
        </w:rPr>
      </w:pPr>
    </w:p>
    <w:p>
      <w:pPr>
        <w:snapToGrid w:val="0"/>
        <w:spacing w:before="156" w:beforeLines="50" w:after="50" w:line="460" w:lineRule="exact"/>
        <w:ind w:firstLine="480"/>
        <w:rPr>
          <w:rFonts w:eastAsia="仿宋"/>
          <w:sz w:val="30"/>
          <w:szCs w:val="30"/>
        </w:rPr>
      </w:pPr>
    </w:p>
    <w:p>
      <w:pPr>
        <w:snapToGrid w:val="0"/>
        <w:spacing w:before="156" w:beforeLines="50" w:after="50" w:line="460" w:lineRule="exact"/>
        <w:rPr>
          <w:rFonts w:eastAsia="仿宋"/>
          <w:sz w:val="30"/>
          <w:szCs w:val="30"/>
        </w:rPr>
      </w:pPr>
      <w:r>
        <w:rPr>
          <w:rFonts w:hAnsi="仿宋" w:eastAsia="仿宋"/>
          <w:sz w:val="30"/>
          <w:szCs w:val="30"/>
        </w:rPr>
        <w:t>授权代表签名：</w:t>
      </w:r>
      <w:r>
        <w:rPr>
          <w:rFonts w:eastAsia="仿宋"/>
          <w:sz w:val="30"/>
          <w:szCs w:val="30"/>
          <w:u w:val="single"/>
        </w:rPr>
        <w:t xml:space="preserve">          </w:t>
      </w:r>
      <w:r>
        <w:rPr>
          <w:rFonts w:eastAsia="仿宋"/>
          <w:sz w:val="30"/>
          <w:szCs w:val="30"/>
        </w:rPr>
        <w:t xml:space="preserve">     </w:t>
      </w:r>
      <w:r>
        <w:rPr>
          <w:rFonts w:hAnsi="仿宋" w:eastAsia="仿宋"/>
          <w:sz w:val="30"/>
          <w:szCs w:val="30"/>
        </w:rPr>
        <w:t>职务：</w:t>
      </w:r>
      <w:r>
        <w:rPr>
          <w:rFonts w:eastAsia="仿宋"/>
          <w:sz w:val="30"/>
          <w:szCs w:val="30"/>
          <w:u w:val="single"/>
        </w:rPr>
        <w:t xml:space="preserve">          </w:t>
      </w:r>
      <w:r>
        <w:rPr>
          <w:rFonts w:eastAsia="仿宋"/>
          <w:sz w:val="30"/>
          <w:szCs w:val="30"/>
        </w:rPr>
        <w:t xml:space="preserve">  </w:t>
      </w:r>
    </w:p>
    <w:p>
      <w:pPr>
        <w:snapToGrid w:val="0"/>
        <w:spacing w:before="156" w:beforeLines="50" w:after="50" w:line="460" w:lineRule="exact"/>
        <w:rPr>
          <w:rFonts w:eastAsia="仿宋"/>
          <w:sz w:val="30"/>
          <w:szCs w:val="30"/>
        </w:rPr>
      </w:pPr>
      <w:r>
        <w:rPr>
          <w:rFonts w:hAnsi="仿宋" w:eastAsia="仿宋"/>
          <w:sz w:val="30"/>
          <w:szCs w:val="30"/>
        </w:rPr>
        <w:t>授权代表身份证号码：</w:t>
      </w:r>
      <w:r>
        <w:rPr>
          <w:rFonts w:eastAsia="仿宋"/>
          <w:sz w:val="30"/>
          <w:szCs w:val="30"/>
          <w:u w:val="single"/>
        </w:rPr>
        <w:t xml:space="preserve">                         </w:t>
      </w:r>
      <w:r>
        <w:rPr>
          <w:rFonts w:eastAsia="仿宋"/>
          <w:sz w:val="30"/>
          <w:szCs w:val="30"/>
        </w:rPr>
        <w:t xml:space="preserve"> </w:t>
      </w:r>
    </w:p>
    <w:p>
      <w:pPr>
        <w:snapToGrid w:val="0"/>
        <w:spacing w:before="156" w:beforeLines="50" w:after="50" w:line="460" w:lineRule="exact"/>
        <w:rPr>
          <w:rFonts w:eastAsia="仿宋"/>
          <w:sz w:val="30"/>
          <w:szCs w:val="30"/>
        </w:rPr>
      </w:pPr>
      <w:r>
        <w:rPr>
          <w:rFonts w:hAnsi="仿宋" w:eastAsia="仿宋"/>
          <w:sz w:val="30"/>
          <w:szCs w:val="30"/>
        </w:rPr>
        <w:t>授权代表联系手机：</w:t>
      </w:r>
      <w:r>
        <w:rPr>
          <w:rFonts w:eastAsia="仿宋"/>
          <w:sz w:val="30"/>
          <w:szCs w:val="30"/>
          <w:u w:val="single"/>
        </w:rPr>
        <w:t xml:space="preserve">                         </w:t>
      </w:r>
      <w:r>
        <w:rPr>
          <w:rFonts w:eastAsia="仿宋"/>
          <w:sz w:val="30"/>
          <w:szCs w:val="30"/>
        </w:rPr>
        <w:t xml:space="preserve"> </w:t>
      </w:r>
    </w:p>
    <w:p>
      <w:pPr>
        <w:snapToGrid w:val="0"/>
        <w:spacing w:before="156" w:beforeLines="50" w:after="50" w:line="460" w:lineRule="exact"/>
        <w:rPr>
          <w:rFonts w:eastAsia="仿宋"/>
          <w:sz w:val="30"/>
          <w:szCs w:val="30"/>
        </w:rPr>
      </w:pPr>
      <w:r>
        <w:rPr>
          <w:rFonts w:hAnsi="仿宋" w:eastAsia="仿宋"/>
          <w:sz w:val="30"/>
          <w:szCs w:val="30"/>
        </w:rPr>
        <w:t>法定代表人签名（或签名章）：</w:t>
      </w:r>
      <w:r>
        <w:rPr>
          <w:rFonts w:eastAsia="仿宋"/>
          <w:sz w:val="30"/>
          <w:szCs w:val="30"/>
          <w:u w:val="single"/>
        </w:rPr>
        <w:t xml:space="preserve">         </w:t>
      </w:r>
      <w:r>
        <w:rPr>
          <w:rFonts w:eastAsia="仿宋"/>
          <w:sz w:val="30"/>
          <w:szCs w:val="30"/>
        </w:rPr>
        <w:t xml:space="preserve">   </w:t>
      </w:r>
      <w:r>
        <w:rPr>
          <w:rFonts w:hAnsi="仿宋" w:eastAsia="仿宋"/>
          <w:sz w:val="30"/>
          <w:szCs w:val="30"/>
        </w:rPr>
        <w:t>职务：</w:t>
      </w:r>
      <w:r>
        <w:rPr>
          <w:rFonts w:eastAsia="仿宋"/>
          <w:sz w:val="30"/>
          <w:szCs w:val="30"/>
          <w:u w:val="single"/>
        </w:rPr>
        <w:t xml:space="preserve">           </w:t>
      </w:r>
    </w:p>
    <w:p>
      <w:pPr>
        <w:snapToGrid w:val="0"/>
        <w:spacing w:before="156" w:beforeLines="50" w:after="50" w:line="460" w:lineRule="exact"/>
        <w:rPr>
          <w:rFonts w:eastAsia="仿宋"/>
          <w:sz w:val="30"/>
          <w:szCs w:val="30"/>
        </w:rPr>
      </w:pPr>
    </w:p>
    <w:p>
      <w:pPr>
        <w:snapToGrid w:val="0"/>
        <w:spacing w:before="156" w:beforeLines="50" w:after="50" w:line="460" w:lineRule="exact"/>
        <w:rPr>
          <w:rFonts w:eastAsia="仿宋"/>
          <w:sz w:val="30"/>
          <w:szCs w:val="30"/>
        </w:rPr>
      </w:pPr>
      <w:r>
        <w:rPr>
          <w:rFonts w:eastAsia="仿宋"/>
          <w:sz w:val="30"/>
          <w:szCs w:val="30"/>
        </w:rPr>
        <w:t xml:space="preserve">                                     </w:t>
      </w:r>
    </w:p>
    <w:p>
      <w:pPr>
        <w:snapToGrid w:val="0"/>
        <w:spacing w:before="156" w:beforeLines="50" w:after="50" w:line="460" w:lineRule="exact"/>
        <w:ind w:firstLine="6150" w:firstLineChars="2050"/>
        <w:rPr>
          <w:rFonts w:eastAsia="仿宋"/>
          <w:sz w:val="30"/>
          <w:szCs w:val="30"/>
        </w:rPr>
      </w:pPr>
    </w:p>
    <w:p>
      <w:pPr>
        <w:snapToGrid w:val="0"/>
        <w:spacing w:before="156" w:beforeLines="50" w:after="50" w:line="460" w:lineRule="exact"/>
        <w:rPr>
          <w:rFonts w:eastAsia="仿宋"/>
          <w:sz w:val="30"/>
          <w:szCs w:val="30"/>
          <w:u w:val="single"/>
        </w:rPr>
      </w:pPr>
      <w:r>
        <w:rPr>
          <w:rFonts w:hAnsi="仿宋" w:eastAsia="仿宋"/>
          <w:sz w:val="30"/>
          <w:szCs w:val="30"/>
        </w:rPr>
        <w:t>供应商全称（公章）：</w:t>
      </w:r>
      <w:r>
        <w:rPr>
          <w:rFonts w:eastAsia="仿宋"/>
          <w:sz w:val="30"/>
          <w:szCs w:val="30"/>
          <w:u w:val="single"/>
        </w:rPr>
        <w:t xml:space="preserve">           </w:t>
      </w:r>
      <w:r>
        <w:rPr>
          <w:rFonts w:eastAsia="仿宋"/>
          <w:sz w:val="30"/>
          <w:szCs w:val="30"/>
        </w:rPr>
        <w:t xml:space="preserve">         </w:t>
      </w:r>
      <w:r>
        <w:rPr>
          <w:rFonts w:hAnsi="仿宋" w:eastAsia="仿宋"/>
          <w:sz w:val="30"/>
          <w:szCs w:val="30"/>
        </w:rPr>
        <w:t>日</w:t>
      </w:r>
      <w:r>
        <w:rPr>
          <w:rFonts w:eastAsia="仿宋"/>
          <w:sz w:val="30"/>
          <w:szCs w:val="30"/>
        </w:rPr>
        <w:t xml:space="preserve">  </w:t>
      </w:r>
      <w:r>
        <w:rPr>
          <w:rFonts w:hAnsi="仿宋" w:eastAsia="仿宋"/>
          <w:sz w:val="30"/>
          <w:szCs w:val="30"/>
        </w:rPr>
        <w:t>期：</w:t>
      </w:r>
      <w:r>
        <w:rPr>
          <w:rFonts w:eastAsia="仿宋"/>
          <w:sz w:val="30"/>
          <w:szCs w:val="30"/>
          <w:u w:val="single"/>
        </w:rPr>
        <w:t xml:space="preserve">     </w:t>
      </w:r>
    </w:p>
    <w:p>
      <w:pPr>
        <w:pStyle w:val="31"/>
        <w:spacing w:line="360" w:lineRule="auto"/>
        <w:jc w:val="both"/>
        <w:rPr>
          <w:sz w:val="21"/>
          <w:szCs w:val="21"/>
        </w:rPr>
      </w:pPr>
    </w:p>
    <w:p>
      <w:pPr>
        <w:pStyle w:val="31"/>
        <w:spacing w:line="360" w:lineRule="auto"/>
        <w:jc w:val="both"/>
        <w:rPr>
          <w:sz w:val="21"/>
          <w:szCs w:val="21"/>
        </w:rPr>
      </w:pPr>
    </w:p>
    <w:p>
      <w:pPr>
        <w:pStyle w:val="31"/>
        <w:spacing w:line="360" w:lineRule="auto"/>
        <w:jc w:val="both"/>
        <w:rPr>
          <w:sz w:val="21"/>
          <w:szCs w:val="21"/>
        </w:rPr>
      </w:pPr>
    </w:p>
    <w:p>
      <w:pPr>
        <w:rPr>
          <w:rFonts w:hint="eastAsia" w:hAnsi="仿宋" w:eastAsia="仿宋"/>
          <w:sz w:val="30"/>
          <w:szCs w:val="30"/>
        </w:rPr>
      </w:pPr>
      <w:r>
        <w:rPr>
          <w:rFonts w:hAnsi="仿宋" w:eastAsia="仿宋"/>
          <w:sz w:val="30"/>
          <w:szCs w:val="30"/>
        </w:rPr>
        <w:br w:type="page"/>
      </w:r>
    </w:p>
    <w:p>
      <w:pPr>
        <w:snapToGrid w:val="0"/>
        <w:spacing w:before="156" w:beforeLines="50" w:after="50" w:line="460" w:lineRule="exact"/>
        <w:rPr>
          <w:rFonts w:eastAsia="仿宋"/>
          <w:sz w:val="30"/>
          <w:szCs w:val="30"/>
        </w:rPr>
      </w:pPr>
      <w:r>
        <w:rPr>
          <w:rFonts w:hAnsi="仿宋" w:eastAsia="仿宋"/>
          <w:sz w:val="30"/>
          <w:szCs w:val="30"/>
        </w:rPr>
        <w:t>附件</w:t>
      </w:r>
      <w:r>
        <w:rPr>
          <w:rFonts w:hint="eastAsia" w:hAnsi="仿宋" w:eastAsia="仿宋"/>
          <w:sz w:val="30"/>
          <w:szCs w:val="30"/>
        </w:rPr>
        <w:t>4</w:t>
      </w:r>
      <w:r>
        <w:rPr>
          <w:rFonts w:hAnsi="仿宋" w:eastAsia="仿宋"/>
          <w:sz w:val="30"/>
          <w:szCs w:val="30"/>
        </w:rPr>
        <w:t>：</w:t>
      </w:r>
    </w:p>
    <w:p>
      <w:pPr>
        <w:jc w:val="center"/>
        <w:rPr>
          <w:b/>
          <w:sz w:val="36"/>
          <w:szCs w:val="36"/>
        </w:rPr>
      </w:pPr>
      <w:r>
        <w:rPr>
          <w:b/>
          <w:sz w:val="36"/>
          <w:szCs w:val="36"/>
        </w:rPr>
        <w:t>技术响应表</w:t>
      </w:r>
    </w:p>
    <w:p>
      <w:pPr>
        <w:rPr>
          <w:sz w:val="32"/>
          <w:szCs w:val="32"/>
          <w:u w:val="single"/>
        </w:rPr>
      </w:pPr>
      <w:r>
        <w:rPr>
          <w:sz w:val="32"/>
          <w:szCs w:val="32"/>
        </w:rPr>
        <w:t>供应商全称（公章）：</w:t>
      </w:r>
      <w:r>
        <w:rPr>
          <w:sz w:val="32"/>
          <w:szCs w:val="32"/>
          <w:u w:val="single"/>
        </w:rPr>
        <w:t xml:space="preserve">                        </w:t>
      </w:r>
    </w:p>
    <w:p>
      <w:pPr>
        <w:rPr>
          <w:sz w:val="32"/>
          <w:szCs w:val="32"/>
          <w:u w:val="single"/>
        </w:rPr>
      </w:pPr>
    </w:p>
    <w:tbl>
      <w:tblPr>
        <w:tblStyle w:val="15"/>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45"/>
        <w:gridCol w:w="3430"/>
        <w:gridCol w:w="1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b/>
                <w:sz w:val="28"/>
                <w:szCs w:val="28"/>
              </w:rPr>
            </w:pPr>
            <w:r>
              <w:rPr>
                <w:rFonts w:hAnsi="宋体"/>
                <w:b/>
                <w:sz w:val="28"/>
                <w:szCs w:val="28"/>
              </w:rPr>
              <w:t>采购文件要求</w:t>
            </w: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b/>
                <w:sz w:val="28"/>
                <w:szCs w:val="28"/>
              </w:rPr>
            </w:pPr>
            <w:r>
              <w:rPr>
                <w:rFonts w:hAnsi="宋体"/>
                <w:b/>
                <w:sz w:val="28"/>
                <w:szCs w:val="28"/>
              </w:rPr>
              <w:t>响应情况</w:t>
            </w: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b/>
                <w:sz w:val="28"/>
                <w:szCs w:val="28"/>
              </w:rPr>
            </w:pPr>
            <w:r>
              <w:rPr>
                <w:rFonts w:hAnsi="宋体"/>
                <w:b/>
                <w:sz w:val="28"/>
                <w:szCs w:val="28"/>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r>
    </w:tbl>
    <w:p>
      <w:pPr>
        <w:rPr>
          <w:sz w:val="32"/>
          <w:szCs w:val="32"/>
        </w:rPr>
      </w:pPr>
    </w:p>
    <w:p>
      <w:pPr>
        <w:rPr>
          <w:sz w:val="32"/>
          <w:szCs w:val="32"/>
          <w:u w:val="single"/>
        </w:rPr>
      </w:pPr>
      <w:r>
        <w:rPr>
          <w:sz w:val="32"/>
          <w:szCs w:val="32"/>
        </w:rPr>
        <w:t>授权代表签名及手机：</w:t>
      </w:r>
      <w:r>
        <w:rPr>
          <w:sz w:val="32"/>
          <w:szCs w:val="32"/>
          <w:u w:val="single"/>
        </w:rPr>
        <w:t xml:space="preserve">                 </w:t>
      </w:r>
    </w:p>
    <w:p>
      <w:pPr>
        <w:rPr>
          <w:sz w:val="32"/>
          <w:szCs w:val="32"/>
          <w:u w:val="single"/>
        </w:rPr>
      </w:pPr>
      <w:r>
        <w:rPr>
          <w:sz w:val="32"/>
          <w:szCs w:val="32"/>
        </w:rPr>
        <w:t>日期：</w:t>
      </w:r>
      <w:r>
        <w:rPr>
          <w:sz w:val="32"/>
          <w:szCs w:val="32"/>
          <w:u w:val="single"/>
        </w:rPr>
        <w:t xml:space="preserve">                   </w:t>
      </w:r>
    </w:p>
    <w:p>
      <w:pPr>
        <w:pStyle w:val="31"/>
        <w:spacing w:line="360" w:lineRule="auto"/>
        <w:jc w:val="both"/>
        <w:rPr>
          <w:sz w:val="21"/>
          <w:szCs w:val="21"/>
        </w:rPr>
      </w:pPr>
    </w:p>
    <w:p>
      <w:pPr>
        <w:pStyle w:val="31"/>
        <w:spacing w:line="360" w:lineRule="auto"/>
        <w:jc w:val="both"/>
        <w:rPr>
          <w:rFonts w:hint="eastAsia" w:hAnsi="宋体"/>
          <w:sz w:val="21"/>
          <w:szCs w:val="21"/>
        </w:rPr>
      </w:pPr>
      <w:r>
        <w:rPr>
          <w:sz w:val="21"/>
          <w:szCs w:val="21"/>
        </w:rPr>
        <w:t>说明：</w:t>
      </w:r>
      <w:r>
        <w:rPr>
          <w:rFonts w:hAnsi="宋体"/>
          <w:sz w:val="21"/>
          <w:szCs w:val="21"/>
        </w:rPr>
        <w:t>①</w:t>
      </w:r>
      <w:r>
        <w:rPr>
          <w:sz w:val="21"/>
          <w:szCs w:val="21"/>
        </w:rPr>
        <w:t>采购文件要求列第一行填写项目名称，以下填写</w:t>
      </w:r>
      <w:r>
        <w:rPr>
          <w:rFonts w:hint="eastAsia"/>
          <w:b/>
          <w:sz w:val="21"/>
          <w:szCs w:val="21"/>
        </w:rPr>
        <w:t>总体</w:t>
      </w:r>
      <w:r>
        <w:rPr>
          <w:b/>
          <w:sz w:val="21"/>
          <w:szCs w:val="21"/>
        </w:rPr>
        <w:t>要求和</w:t>
      </w:r>
      <w:r>
        <w:rPr>
          <w:rFonts w:hint="eastAsia"/>
          <w:b/>
          <w:sz w:val="21"/>
          <w:szCs w:val="21"/>
        </w:rPr>
        <w:t>采购内容</w:t>
      </w:r>
      <w:r>
        <w:rPr>
          <w:b/>
          <w:sz w:val="21"/>
          <w:szCs w:val="21"/>
        </w:rPr>
        <w:t>技术要求</w:t>
      </w:r>
      <w:r>
        <w:rPr>
          <w:sz w:val="21"/>
          <w:szCs w:val="21"/>
        </w:rPr>
        <w:t>。</w:t>
      </w:r>
      <w:r>
        <w:rPr>
          <w:rFonts w:hAnsi="宋体"/>
          <w:sz w:val="21"/>
          <w:szCs w:val="21"/>
        </w:rPr>
        <w:t>②响应情况列</w:t>
      </w:r>
      <w:r>
        <w:rPr>
          <w:rFonts w:hint="eastAsia" w:hAnsi="宋体"/>
          <w:b/>
          <w:sz w:val="21"/>
          <w:szCs w:val="21"/>
        </w:rPr>
        <w:t>如实</w:t>
      </w:r>
      <w:r>
        <w:rPr>
          <w:rFonts w:hAnsi="宋体"/>
          <w:b/>
          <w:sz w:val="21"/>
          <w:szCs w:val="21"/>
        </w:rPr>
        <w:t>填写</w:t>
      </w:r>
      <w:r>
        <w:rPr>
          <w:rFonts w:hAnsi="宋体"/>
          <w:sz w:val="21"/>
          <w:szCs w:val="21"/>
        </w:rPr>
        <w:t>项目响应情况。③注明</w:t>
      </w:r>
      <w:r>
        <w:rPr>
          <w:sz w:val="21"/>
          <w:szCs w:val="21"/>
        </w:rPr>
        <w:t>“</w:t>
      </w:r>
      <w:r>
        <w:rPr>
          <w:rFonts w:hAnsi="宋体"/>
          <w:sz w:val="21"/>
          <w:szCs w:val="21"/>
        </w:rPr>
        <w:t>正偏离</w:t>
      </w:r>
      <w:r>
        <w:rPr>
          <w:sz w:val="21"/>
          <w:szCs w:val="21"/>
        </w:rPr>
        <w:t>”</w:t>
      </w:r>
      <w:r>
        <w:rPr>
          <w:rFonts w:hAnsi="宋体"/>
          <w:sz w:val="21"/>
          <w:szCs w:val="21"/>
        </w:rPr>
        <w:t>、</w:t>
      </w:r>
      <w:r>
        <w:rPr>
          <w:sz w:val="21"/>
          <w:szCs w:val="21"/>
        </w:rPr>
        <w:t>“</w:t>
      </w:r>
      <w:r>
        <w:rPr>
          <w:rFonts w:hAnsi="宋体"/>
          <w:sz w:val="21"/>
          <w:szCs w:val="21"/>
        </w:rPr>
        <w:t>负偏离</w:t>
      </w:r>
      <w:r>
        <w:rPr>
          <w:sz w:val="21"/>
          <w:szCs w:val="21"/>
        </w:rPr>
        <w:t>”</w:t>
      </w:r>
      <w:r>
        <w:rPr>
          <w:rFonts w:hAnsi="宋体"/>
          <w:sz w:val="21"/>
          <w:szCs w:val="21"/>
        </w:rPr>
        <w:t>或</w:t>
      </w:r>
      <w:r>
        <w:rPr>
          <w:sz w:val="21"/>
          <w:szCs w:val="21"/>
        </w:rPr>
        <w:t>“</w:t>
      </w:r>
      <w:r>
        <w:rPr>
          <w:rFonts w:hAnsi="宋体"/>
          <w:sz w:val="21"/>
          <w:szCs w:val="21"/>
        </w:rPr>
        <w:t>无偏离</w:t>
      </w:r>
      <w:r>
        <w:rPr>
          <w:sz w:val="21"/>
          <w:szCs w:val="21"/>
        </w:rPr>
        <w:t>”</w:t>
      </w:r>
      <w:r>
        <w:rPr>
          <w:rFonts w:hAnsi="宋体"/>
          <w:sz w:val="21"/>
          <w:szCs w:val="21"/>
        </w:rPr>
        <w:t>。</w:t>
      </w:r>
    </w:p>
    <w:p>
      <w:pPr>
        <w:rPr>
          <w:rFonts w:hint="eastAsia" w:hAnsi="仿宋" w:eastAsia="仿宋"/>
          <w:sz w:val="30"/>
          <w:szCs w:val="30"/>
        </w:rPr>
      </w:pPr>
      <w:r>
        <w:rPr>
          <w:rFonts w:hAnsi="仿宋" w:eastAsia="仿宋"/>
          <w:sz w:val="30"/>
          <w:szCs w:val="30"/>
        </w:rPr>
        <w:br w:type="page"/>
      </w:r>
    </w:p>
    <w:p>
      <w:pPr>
        <w:snapToGrid w:val="0"/>
        <w:spacing w:before="156" w:beforeLines="50" w:after="50" w:line="460" w:lineRule="exact"/>
        <w:rPr>
          <w:rFonts w:eastAsia="仿宋"/>
          <w:sz w:val="30"/>
          <w:szCs w:val="30"/>
        </w:rPr>
      </w:pPr>
      <w:r>
        <w:rPr>
          <w:rFonts w:hAnsi="仿宋" w:eastAsia="仿宋"/>
          <w:sz w:val="30"/>
          <w:szCs w:val="30"/>
        </w:rPr>
        <w:t>附件</w:t>
      </w:r>
      <w:r>
        <w:rPr>
          <w:rFonts w:hint="eastAsia" w:hAnsi="仿宋" w:eastAsia="仿宋"/>
          <w:sz w:val="30"/>
          <w:szCs w:val="30"/>
        </w:rPr>
        <w:t>5</w:t>
      </w:r>
      <w:r>
        <w:rPr>
          <w:rFonts w:hAnsi="仿宋" w:eastAsia="仿宋"/>
          <w:sz w:val="30"/>
          <w:szCs w:val="30"/>
        </w:rPr>
        <w:t>：</w:t>
      </w:r>
    </w:p>
    <w:p>
      <w:pPr>
        <w:jc w:val="center"/>
        <w:rPr>
          <w:b/>
          <w:sz w:val="36"/>
          <w:szCs w:val="36"/>
        </w:rPr>
      </w:pPr>
      <w:r>
        <w:rPr>
          <w:b/>
          <w:sz w:val="36"/>
          <w:szCs w:val="36"/>
        </w:rPr>
        <w:t>报价明细表</w:t>
      </w:r>
    </w:p>
    <w:p>
      <w:pPr>
        <w:rPr>
          <w:sz w:val="32"/>
          <w:szCs w:val="32"/>
          <w:u w:val="single"/>
        </w:rPr>
      </w:pPr>
      <w:r>
        <w:rPr>
          <w:sz w:val="32"/>
          <w:szCs w:val="32"/>
        </w:rPr>
        <w:t>供应商全称：</w:t>
      </w:r>
      <w:r>
        <w:rPr>
          <w:sz w:val="32"/>
          <w:szCs w:val="32"/>
          <w:u w:val="single"/>
        </w:rPr>
        <w:t xml:space="preserve">                        </w:t>
      </w:r>
    </w:p>
    <w:p>
      <w:pPr>
        <w:rPr>
          <w:sz w:val="32"/>
          <w:szCs w:val="32"/>
          <w:u w:val="single"/>
        </w:rPr>
      </w:pPr>
      <w:r>
        <w:rPr>
          <w:sz w:val="32"/>
          <w:szCs w:val="32"/>
        </w:rPr>
        <w:t>项目编号：</w:t>
      </w:r>
      <w:r>
        <w:rPr>
          <w:sz w:val="32"/>
          <w:szCs w:val="32"/>
          <w:u w:val="single"/>
        </w:rPr>
        <w:t xml:space="preserve">                          </w:t>
      </w:r>
    </w:p>
    <w:tbl>
      <w:tblPr>
        <w:tblStyle w:val="15"/>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7"/>
        <w:gridCol w:w="413"/>
        <w:gridCol w:w="1489"/>
        <w:gridCol w:w="1564"/>
        <w:gridCol w:w="1393"/>
        <w:gridCol w:w="1447"/>
        <w:gridCol w:w="1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1"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32"/>
                <w:szCs w:val="32"/>
              </w:rPr>
            </w:pPr>
            <w:r>
              <w:rPr>
                <w:rFonts w:hAnsi="宋体"/>
                <w:sz w:val="32"/>
                <w:szCs w:val="32"/>
              </w:rPr>
              <w:t>货物类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jc w:val="center"/>
              <w:rPr>
                <w:rFonts w:eastAsiaTheme="minorEastAsia"/>
                <w:b/>
                <w:sz w:val="28"/>
                <w:szCs w:val="28"/>
              </w:rPr>
            </w:pPr>
            <w:r>
              <w:rPr>
                <w:rFonts w:hAnsi="宋体"/>
                <w:b/>
                <w:sz w:val="28"/>
                <w:szCs w:val="28"/>
              </w:rPr>
              <w:t>货物名称</w:t>
            </w:r>
          </w:p>
        </w:tc>
        <w:tc>
          <w:tcPr>
            <w:tcW w:w="148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jc w:val="center"/>
              <w:rPr>
                <w:rFonts w:eastAsiaTheme="minorEastAsia"/>
                <w:b/>
                <w:sz w:val="28"/>
                <w:szCs w:val="28"/>
              </w:rPr>
            </w:pPr>
            <w:r>
              <w:rPr>
                <w:rFonts w:hint="eastAsia" w:eastAsiaTheme="minorEastAsia"/>
                <w:b/>
                <w:sz w:val="28"/>
                <w:szCs w:val="28"/>
              </w:rPr>
              <w:t>注册证号</w:t>
            </w:r>
          </w:p>
        </w:tc>
        <w:tc>
          <w:tcPr>
            <w:tcW w:w="156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jc w:val="center"/>
              <w:rPr>
                <w:rFonts w:eastAsiaTheme="minorEastAsia"/>
                <w:b/>
                <w:sz w:val="28"/>
                <w:szCs w:val="28"/>
              </w:rPr>
            </w:pPr>
            <w:r>
              <w:rPr>
                <w:rFonts w:hAnsi="宋体"/>
                <w:b/>
                <w:sz w:val="28"/>
                <w:szCs w:val="28"/>
              </w:rPr>
              <w:t>品牌</w:t>
            </w:r>
            <w:r>
              <w:rPr>
                <w:rFonts w:hint="eastAsia" w:hAnsi="宋体"/>
                <w:b/>
                <w:sz w:val="28"/>
                <w:szCs w:val="28"/>
              </w:rPr>
              <w:t xml:space="preserve"> /产地</w:t>
            </w:r>
          </w:p>
        </w:tc>
        <w:tc>
          <w:tcPr>
            <w:tcW w:w="139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jc w:val="center"/>
              <w:rPr>
                <w:rFonts w:eastAsiaTheme="minorEastAsia"/>
                <w:b/>
                <w:sz w:val="28"/>
                <w:szCs w:val="28"/>
              </w:rPr>
            </w:pPr>
            <w:r>
              <w:rPr>
                <w:rFonts w:hAnsi="宋体"/>
                <w:b/>
                <w:sz w:val="28"/>
                <w:szCs w:val="28"/>
              </w:rPr>
              <w:t>规格型号</w:t>
            </w:r>
          </w:p>
        </w:tc>
        <w:tc>
          <w:tcPr>
            <w:tcW w:w="144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jc w:val="center"/>
              <w:rPr>
                <w:rFonts w:eastAsiaTheme="minorEastAsia"/>
                <w:b/>
                <w:sz w:val="28"/>
                <w:szCs w:val="28"/>
              </w:rPr>
            </w:pPr>
            <w:r>
              <w:rPr>
                <w:rFonts w:hint="eastAsia" w:eastAsiaTheme="minorEastAsia"/>
                <w:b/>
                <w:sz w:val="28"/>
                <w:szCs w:val="28"/>
              </w:rPr>
              <w:t>产品ID</w:t>
            </w:r>
          </w:p>
        </w:tc>
        <w:tc>
          <w:tcPr>
            <w:tcW w:w="165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jc w:val="center"/>
              <w:rPr>
                <w:rFonts w:eastAsiaTheme="minorEastAsia"/>
                <w:b/>
                <w:sz w:val="28"/>
                <w:szCs w:val="28"/>
              </w:rPr>
            </w:pPr>
            <w:r>
              <w:rPr>
                <w:rFonts w:hAnsi="宋体"/>
                <w:b/>
                <w:sz w:val="28"/>
                <w:szCs w:val="28"/>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32"/>
                <w:szCs w:val="32"/>
              </w:rPr>
            </w:pPr>
          </w:p>
        </w:tc>
        <w:tc>
          <w:tcPr>
            <w:tcW w:w="148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32"/>
                <w:szCs w:val="32"/>
              </w:rPr>
            </w:pPr>
          </w:p>
        </w:tc>
        <w:tc>
          <w:tcPr>
            <w:tcW w:w="156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32"/>
                <w:szCs w:val="32"/>
              </w:rPr>
            </w:pPr>
          </w:p>
        </w:tc>
        <w:tc>
          <w:tcPr>
            <w:tcW w:w="139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32"/>
                <w:szCs w:val="32"/>
              </w:rPr>
            </w:pPr>
          </w:p>
        </w:tc>
        <w:tc>
          <w:tcPr>
            <w:tcW w:w="144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32"/>
                <w:szCs w:val="32"/>
              </w:rPr>
            </w:pPr>
          </w:p>
        </w:tc>
        <w:tc>
          <w:tcPr>
            <w:tcW w:w="165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32"/>
                <w:szCs w:val="32"/>
              </w:rPr>
            </w:pPr>
          </w:p>
        </w:tc>
        <w:tc>
          <w:tcPr>
            <w:tcW w:w="148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32"/>
                <w:szCs w:val="32"/>
              </w:rPr>
            </w:pPr>
          </w:p>
        </w:tc>
        <w:tc>
          <w:tcPr>
            <w:tcW w:w="156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32"/>
                <w:szCs w:val="32"/>
              </w:rPr>
            </w:pPr>
          </w:p>
        </w:tc>
        <w:tc>
          <w:tcPr>
            <w:tcW w:w="139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32"/>
                <w:szCs w:val="32"/>
              </w:rPr>
            </w:pPr>
          </w:p>
        </w:tc>
        <w:tc>
          <w:tcPr>
            <w:tcW w:w="144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32"/>
                <w:szCs w:val="32"/>
              </w:rPr>
            </w:pPr>
          </w:p>
        </w:tc>
        <w:tc>
          <w:tcPr>
            <w:tcW w:w="165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32"/>
                <w:szCs w:val="32"/>
              </w:rPr>
            </w:pPr>
          </w:p>
        </w:tc>
        <w:tc>
          <w:tcPr>
            <w:tcW w:w="148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32"/>
                <w:szCs w:val="32"/>
              </w:rPr>
            </w:pPr>
          </w:p>
        </w:tc>
        <w:tc>
          <w:tcPr>
            <w:tcW w:w="156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32"/>
                <w:szCs w:val="32"/>
              </w:rPr>
            </w:pPr>
          </w:p>
        </w:tc>
        <w:tc>
          <w:tcPr>
            <w:tcW w:w="139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32"/>
                <w:szCs w:val="32"/>
              </w:rPr>
            </w:pPr>
          </w:p>
        </w:tc>
        <w:tc>
          <w:tcPr>
            <w:tcW w:w="144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32"/>
                <w:szCs w:val="32"/>
              </w:rPr>
            </w:pPr>
          </w:p>
        </w:tc>
        <w:tc>
          <w:tcPr>
            <w:tcW w:w="165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1"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28"/>
                <w:szCs w:val="28"/>
                <w:u w:val="single"/>
              </w:rPr>
            </w:pPr>
            <w:r>
              <w:rPr>
                <w:rFonts w:hAnsi="宋体"/>
                <w:sz w:val="28"/>
                <w:szCs w:val="28"/>
              </w:rPr>
              <w:t>合计金额大写：</w:t>
            </w:r>
            <w:r>
              <w:rPr>
                <w:sz w:val="28"/>
                <w:szCs w:val="28"/>
                <w:u w:val="single"/>
              </w:rPr>
              <w:t xml:space="preserve">               </w:t>
            </w:r>
            <w:r>
              <w:rPr>
                <w:sz w:val="28"/>
                <w:szCs w:val="28"/>
              </w:rPr>
              <w:t xml:space="preserve">   </w:t>
            </w:r>
            <w:r>
              <w:rPr>
                <w:rFonts w:hAnsi="宋体"/>
                <w:sz w:val="28"/>
                <w:szCs w:val="28"/>
              </w:rPr>
              <w:t>小写：￥</w:t>
            </w:r>
            <w:r>
              <w:rPr>
                <w:sz w:val="28"/>
                <w:szCs w:val="2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sz w:val="28"/>
                <w:szCs w:val="28"/>
              </w:rPr>
            </w:pPr>
          </w:p>
          <w:p>
            <w:pPr>
              <w:rPr>
                <w:sz w:val="28"/>
                <w:szCs w:val="28"/>
              </w:rPr>
            </w:pPr>
          </w:p>
          <w:p>
            <w:pPr>
              <w:rPr>
                <w:sz w:val="28"/>
                <w:szCs w:val="28"/>
              </w:rPr>
            </w:pPr>
          </w:p>
          <w:p>
            <w:pPr>
              <w:rPr>
                <w:sz w:val="28"/>
                <w:szCs w:val="28"/>
              </w:rPr>
            </w:pPr>
            <w:r>
              <w:rPr>
                <w:rFonts w:hAnsi="宋体"/>
                <w:sz w:val="28"/>
                <w:szCs w:val="28"/>
              </w:rPr>
              <w:t>备</w:t>
            </w:r>
          </w:p>
          <w:p>
            <w:pPr>
              <w:rPr>
                <w:sz w:val="28"/>
                <w:szCs w:val="28"/>
              </w:rPr>
            </w:pPr>
          </w:p>
          <w:p>
            <w:pPr>
              <w:rPr>
                <w:sz w:val="28"/>
                <w:szCs w:val="28"/>
              </w:rPr>
            </w:pPr>
            <w:r>
              <w:rPr>
                <w:rFonts w:hAnsi="宋体"/>
                <w:sz w:val="28"/>
                <w:szCs w:val="28"/>
              </w:rPr>
              <w:t>注</w:t>
            </w:r>
          </w:p>
          <w:p>
            <w:pPr>
              <w:rPr>
                <w:sz w:val="28"/>
                <w:szCs w:val="28"/>
              </w:rPr>
            </w:pPr>
          </w:p>
          <w:p>
            <w:pPr>
              <w:rPr>
                <w:sz w:val="28"/>
                <w:szCs w:val="28"/>
              </w:rPr>
            </w:pPr>
          </w:p>
          <w:p>
            <w:pPr>
              <w:rPr>
                <w:rFonts w:eastAsiaTheme="minorEastAsia"/>
                <w:sz w:val="28"/>
                <w:szCs w:val="28"/>
              </w:rPr>
            </w:pPr>
          </w:p>
        </w:tc>
        <w:tc>
          <w:tcPr>
            <w:tcW w:w="7964"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28"/>
                <w:szCs w:val="28"/>
              </w:rPr>
            </w:pPr>
            <w:r>
              <w:rPr>
                <w:sz w:val="28"/>
                <w:szCs w:val="28"/>
              </w:rPr>
              <w:t>1</w:t>
            </w:r>
            <w:r>
              <w:rPr>
                <w:rFonts w:hAnsi="宋体"/>
                <w:sz w:val="28"/>
                <w:szCs w:val="28"/>
              </w:rPr>
              <w:t>、此表应按项目的明细情况列项填表，在填写时，如上表不适合本项目的实际情况，可在确保响应明细内容完整的情况下，根据上表格式自行划表填写。</w:t>
            </w:r>
          </w:p>
          <w:p>
            <w:pPr>
              <w:rPr>
                <w:sz w:val="28"/>
                <w:szCs w:val="28"/>
              </w:rPr>
            </w:pPr>
            <w:r>
              <w:rPr>
                <w:sz w:val="28"/>
                <w:szCs w:val="28"/>
              </w:rPr>
              <w:t>2</w:t>
            </w:r>
            <w:r>
              <w:rPr>
                <w:rFonts w:hAnsi="宋体"/>
                <w:sz w:val="28"/>
                <w:szCs w:val="28"/>
              </w:rPr>
              <w:t>、报价要求：项目费用包括项目实施所需的工程费、工时费、服务费、运输费、安装费调试费、税费及其他一切费用。</w:t>
            </w:r>
          </w:p>
          <w:p>
            <w:pPr>
              <w:rPr>
                <w:sz w:val="28"/>
                <w:szCs w:val="28"/>
              </w:rPr>
            </w:pPr>
            <w:r>
              <w:rPr>
                <w:sz w:val="28"/>
                <w:szCs w:val="28"/>
              </w:rPr>
              <w:t>3</w:t>
            </w:r>
            <w:r>
              <w:rPr>
                <w:rFonts w:hAnsi="宋体"/>
                <w:sz w:val="28"/>
                <w:szCs w:val="28"/>
              </w:rPr>
              <w:t>、报价中不允许出现报价优惠等字样，合计总价应与明细报价汇总相等。</w:t>
            </w:r>
          </w:p>
          <w:p>
            <w:pPr>
              <w:rPr>
                <w:rFonts w:eastAsiaTheme="minorEastAsia"/>
                <w:sz w:val="28"/>
                <w:szCs w:val="28"/>
              </w:rPr>
            </w:pPr>
          </w:p>
        </w:tc>
      </w:tr>
    </w:tbl>
    <w:p>
      <w:pPr>
        <w:rPr>
          <w:sz w:val="32"/>
          <w:szCs w:val="32"/>
        </w:rPr>
      </w:pPr>
    </w:p>
    <w:p>
      <w:pPr>
        <w:rPr>
          <w:sz w:val="32"/>
          <w:szCs w:val="32"/>
          <w:u w:val="single"/>
        </w:rPr>
      </w:pPr>
      <w:r>
        <w:rPr>
          <w:sz w:val="32"/>
          <w:szCs w:val="32"/>
        </w:rPr>
        <w:t>授权代表签名：</w:t>
      </w:r>
      <w:r>
        <w:rPr>
          <w:sz w:val="32"/>
          <w:szCs w:val="32"/>
          <w:u w:val="single"/>
        </w:rPr>
        <w:t xml:space="preserve">                 </w:t>
      </w:r>
    </w:p>
    <w:p>
      <w:pPr>
        <w:rPr>
          <w:sz w:val="32"/>
          <w:szCs w:val="32"/>
          <w:u w:val="single"/>
        </w:rPr>
      </w:pPr>
      <w:r>
        <w:rPr>
          <w:sz w:val="32"/>
          <w:szCs w:val="32"/>
        </w:rPr>
        <w:t>日期：</w:t>
      </w:r>
      <w:r>
        <w:rPr>
          <w:sz w:val="32"/>
          <w:szCs w:val="32"/>
          <w:u w:val="single"/>
        </w:rPr>
        <w:t xml:space="preserve">                   </w:t>
      </w:r>
    </w:p>
    <w:p>
      <w:pPr>
        <w:rPr>
          <w:szCs w:val="22"/>
        </w:rPr>
      </w:pPr>
    </w:p>
    <w:p>
      <w:r>
        <w:rPr>
          <w:rFonts w:hint="eastAsia"/>
        </w:rPr>
        <w:br w:type="page"/>
      </w:r>
    </w:p>
    <w:p>
      <w:pPr>
        <w:pStyle w:val="12"/>
      </w:pPr>
      <w:bookmarkStart w:id="6" w:name="_Toc220618500"/>
      <w:r>
        <w:rPr>
          <w:rFonts w:hint="eastAsia"/>
        </w:rPr>
        <w:t>第五章</w:t>
      </w:r>
      <w:r>
        <w:rPr>
          <w:rFonts w:hint="eastAsia"/>
        </w:rPr>
        <w:tab/>
      </w:r>
      <w:r>
        <w:rPr>
          <w:rFonts w:hint="eastAsia"/>
        </w:rPr>
        <w:t>合同主要条款</w:t>
      </w:r>
      <w:bookmarkEnd w:id="6"/>
    </w:p>
    <w:p>
      <w:pPr>
        <w:widowControl/>
        <w:adjustRightInd w:val="0"/>
        <w:spacing w:line="360" w:lineRule="auto"/>
        <w:ind w:right="210" w:rightChars="100" w:firstLine="2640" w:firstLineChars="1100"/>
        <w:rPr>
          <w:rFonts w:hint="eastAsia" w:ascii="宋体" w:hAnsi="宋体" w:cs="宋体"/>
          <w:bCs/>
          <w:kern w:val="0"/>
          <w:sz w:val="24"/>
        </w:rPr>
      </w:pPr>
      <w:r>
        <w:rPr>
          <w:rFonts w:hint="eastAsia" w:ascii="宋体" w:hAnsi="宋体" w:cs="宋体"/>
          <w:bCs/>
          <w:kern w:val="0"/>
          <w:sz w:val="24"/>
        </w:rPr>
        <w:t>浙江大学医学院附属妇产科医院</w:t>
      </w:r>
    </w:p>
    <w:p>
      <w:pPr>
        <w:spacing w:line="360" w:lineRule="auto"/>
        <w:jc w:val="center"/>
        <w:rPr>
          <w:b/>
          <w:color w:val="C00000"/>
          <w:sz w:val="32"/>
          <w:szCs w:val="32"/>
        </w:rPr>
      </w:pPr>
      <w:r>
        <w:rPr>
          <w:rFonts w:hint="eastAsia"/>
          <w:b/>
          <w:sz w:val="32"/>
          <w:szCs w:val="32"/>
        </w:rPr>
        <w:t>医疗物资采购协议</w:t>
      </w:r>
      <w:r>
        <w:rPr>
          <w:rFonts w:hint="eastAsia"/>
          <w:b/>
          <w:sz w:val="32"/>
          <w:szCs w:val="32"/>
        </w:rPr>
        <w:br w:type="textWrapping"/>
      </w:r>
      <w:r>
        <w:rPr>
          <w:rFonts w:hint="eastAsia"/>
          <w:b/>
          <w:color w:val="C00000"/>
          <w:sz w:val="24"/>
        </w:rPr>
        <w:t>（仅作参考，以最终协商为准）</w:t>
      </w:r>
    </w:p>
    <w:p>
      <w:pPr>
        <w:spacing w:line="360" w:lineRule="auto"/>
        <w:rPr>
          <w:szCs w:val="21"/>
        </w:rPr>
      </w:pPr>
      <w:r>
        <w:rPr>
          <w:rFonts w:hint="eastAsia"/>
          <w:szCs w:val="21"/>
        </w:rPr>
        <w:t>甲方（需方）：浙江大学医学院附属妇产科医院                 合同编号：</w:t>
      </w:r>
    </w:p>
    <w:p>
      <w:pPr>
        <w:spacing w:line="360" w:lineRule="auto"/>
        <w:rPr>
          <w:szCs w:val="21"/>
          <w:u w:val="single"/>
        </w:rPr>
      </w:pPr>
      <w:r>
        <w:rPr>
          <w:rFonts w:hint="eastAsia"/>
          <w:szCs w:val="21"/>
        </w:rPr>
        <w:t xml:space="preserve">乙方（供方）：____________________________                 </w:t>
      </w:r>
    </w:p>
    <w:p>
      <w:pPr>
        <w:spacing w:line="360" w:lineRule="auto"/>
        <w:ind w:firstLine="420" w:firstLineChars="200"/>
        <w:rPr>
          <w:szCs w:val="21"/>
        </w:rPr>
      </w:pPr>
      <w:r>
        <w:rPr>
          <w:rFonts w:hint="eastAsia"/>
          <w:szCs w:val="21"/>
        </w:rPr>
        <w:t>甲、乙双方在平等、自愿、友好、协作的原则下通过相关采购程序，签订如下医用耗材、器械、体外诊断试剂（以下简称“医疗物资”）的采购协议：</w:t>
      </w:r>
    </w:p>
    <w:p>
      <w:pPr>
        <w:numPr>
          <w:ilvl w:val="0"/>
          <w:numId w:val="3"/>
        </w:numPr>
        <w:spacing w:line="400" w:lineRule="exact"/>
        <w:rPr>
          <w:szCs w:val="21"/>
        </w:rPr>
      </w:pPr>
      <w:r>
        <w:rPr>
          <w:rFonts w:hint="eastAsia"/>
          <w:szCs w:val="21"/>
        </w:rPr>
        <w:t>乙方按协议规定要求的品种、规格、价格，保质保量供应给甲方医疗物资（详见附件1）。</w:t>
      </w:r>
    </w:p>
    <w:p>
      <w:pPr>
        <w:numPr>
          <w:ilvl w:val="0"/>
          <w:numId w:val="3"/>
        </w:numPr>
        <w:spacing w:line="400" w:lineRule="exact"/>
        <w:rPr>
          <w:szCs w:val="21"/>
        </w:rPr>
      </w:pPr>
      <w:r>
        <w:rPr>
          <w:rFonts w:hint="eastAsia"/>
          <w:szCs w:val="21"/>
        </w:rPr>
        <w:t>乙方必须按甲方的要求供应证件齐全的合格医疗物资，</w:t>
      </w:r>
      <w:r>
        <w:rPr>
          <w:szCs w:val="21"/>
        </w:rPr>
        <w:t>无合格证明文件、注册证号</w:t>
      </w:r>
      <w:r>
        <w:rPr>
          <w:rFonts w:hint="eastAsia"/>
          <w:kern w:val="0"/>
          <w:szCs w:val="21"/>
        </w:rPr>
        <w:t>（不做医疗器械管理的物资除外）</w:t>
      </w:r>
      <w:r>
        <w:rPr>
          <w:szCs w:val="21"/>
        </w:rPr>
        <w:t>、批号或者序列号的一律拒收</w:t>
      </w:r>
      <w:r>
        <w:rPr>
          <w:rFonts w:hint="eastAsia"/>
          <w:szCs w:val="21"/>
        </w:rPr>
        <w:t>；乙方在供货时发票随货同行。</w:t>
      </w:r>
    </w:p>
    <w:p>
      <w:pPr>
        <w:numPr>
          <w:ilvl w:val="0"/>
          <w:numId w:val="3"/>
        </w:numPr>
        <w:spacing w:line="400" w:lineRule="exact"/>
        <w:rPr>
          <w:szCs w:val="21"/>
        </w:rPr>
      </w:pPr>
      <w:r>
        <w:rPr>
          <w:rFonts w:hint="eastAsia"/>
          <w:szCs w:val="21"/>
        </w:rPr>
        <w:t>甲方在订货时给予乙方必要的准备时间，乙方必须按甲方的要求准时配送到甲方指定地点，植入性材料要求随叫随到。乙方承担包装费、运费、保险费，包装物不再退还乙方。</w:t>
      </w:r>
    </w:p>
    <w:p>
      <w:pPr>
        <w:numPr>
          <w:ilvl w:val="0"/>
          <w:numId w:val="3"/>
        </w:numPr>
        <w:spacing w:line="400" w:lineRule="exact"/>
        <w:rPr>
          <w:szCs w:val="21"/>
        </w:rPr>
      </w:pPr>
      <w:r>
        <w:rPr>
          <w:szCs w:val="21"/>
        </w:rPr>
        <w:t>有特殊储运要求的医疗器械产品储运条件必须符合产品说明书和标签标示的要求，否则一律拒收</w:t>
      </w:r>
      <w:r>
        <w:rPr>
          <w:rFonts w:hint="eastAsia"/>
          <w:szCs w:val="21"/>
        </w:rPr>
        <w:t>。</w:t>
      </w:r>
    </w:p>
    <w:p>
      <w:pPr>
        <w:numPr>
          <w:ilvl w:val="0"/>
          <w:numId w:val="3"/>
        </w:numPr>
        <w:spacing w:line="400" w:lineRule="exact"/>
        <w:rPr>
          <w:szCs w:val="21"/>
        </w:rPr>
      </w:pPr>
      <w:r>
        <w:rPr>
          <w:rFonts w:hint="eastAsia"/>
          <w:szCs w:val="21"/>
        </w:rPr>
        <w:t>协议履行期间，协议物资如出现同一品种产品市场价低于本协议价的，乙方同意主动下调价格。</w:t>
      </w:r>
    </w:p>
    <w:p>
      <w:pPr>
        <w:numPr>
          <w:ilvl w:val="0"/>
          <w:numId w:val="3"/>
        </w:numPr>
        <w:spacing w:line="400" w:lineRule="exact"/>
        <w:rPr>
          <w:szCs w:val="21"/>
        </w:rPr>
      </w:pPr>
      <w:r>
        <w:rPr>
          <w:rFonts w:hint="eastAsia"/>
          <w:szCs w:val="21"/>
        </w:rPr>
        <w:t xml:space="preserve">协议履行期间，乙方应保证协议产品的质量和供应服务。甲方不得擅自更改供货商。但当乙方的协议物资质量或服务出现问题而影响甲方正常工作时，甲方有权单方解除部分协议并选择其它替代产品。 </w:t>
      </w:r>
    </w:p>
    <w:p>
      <w:pPr>
        <w:numPr>
          <w:ilvl w:val="0"/>
          <w:numId w:val="3"/>
        </w:numPr>
        <w:spacing w:line="400" w:lineRule="exact"/>
        <w:rPr>
          <w:szCs w:val="21"/>
        </w:rPr>
      </w:pPr>
      <w:r>
        <w:rPr>
          <w:rFonts w:hint="eastAsia"/>
          <w:szCs w:val="21"/>
        </w:rPr>
        <w:t>因产品质量问题或乙方无法正常供货而给甲方造成损失时，乙方应承担</w:t>
      </w:r>
      <w:bookmarkStart w:id="7" w:name="_Hlk84574869"/>
      <w:r>
        <w:rPr>
          <w:rFonts w:hint="eastAsia"/>
          <w:szCs w:val="21"/>
        </w:rPr>
        <w:t>由此所产生的全部责任。甲方有权单方解除本《医疗物资采购协议》。</w:t>
      </w:r>
    </w:p>
    <w:bookmarkEnd w:id="7"/>
    <w:p>
      <w:pPr>
        <w:numPr>
          <w:ilvl w:val="0"/>
          <w:numId w:val="3"/>
        </w:numPr>
        <w:spacing w:line="400" w:lineRule="exact"/>
        <w:rPr>
          <w:szCs w:val="21"/>
        </w:rPr>
      </w:pPr>
      <w:r>
        <w:rPr>
          <w:rFonts w:hint="eastAsia" w:ascii="宋体" w:hAnsi="宋体"/>
          <w:szCs w:val="21"/>
        </w:rPr>
        <w:t>乙方负责对甲方使用协议物资相关技术进行培训。</w:t>
      </w:r>
    </w:p>
    <w:p>
      <w:pPr>
        <w:numPr>
          <w:ilvl w:val="0"/>
          <w:numId w:val="3"/>
        </w:numPr>
        <w:spacing w:line="400" w:lineRule="exact"/>
        <w:rPr>
          <w:szCs w:val="21"/>
        </w:rPr>
      </w:pPr>
      <w:r>
        <w:rPr>
          <w:rFonts w:hint="eastAsia"/>
          <w:szCs w:val="21"/>
        </w:rPr>
        <w:t>甲方在物资到货验收合格，收到乙方开具的正式发票后付款。</w:t>
      </w:r>
    </w:p>
    <w:p>
      <w:pPr>
        <w:numPr>
          <w:ilvl w:val="0"/>
          <w:numId w:val="3"/>
        </w:numPr>
        <w:spacing w:line="400" w:lineRule="exact"/>
        <w:rPr>
          <w:szCs w:val="21"/>
        </w:rPr>
      </w:pPr>
      <w:r>
        <w:rPr>
          <w:rFonts w:hint="eastAsia" w:ascii="宋体" w:hAnsi="宋体"/>
          <w:szCs w:val="21"/>
        </w:rPr>
        <w:t>如遇国家政策或医院有关制度变动等原因需中止、终止协议的，甲方有权单方面中止或者终止本协议，并及时通知乙方。</w:t>
      </w:r>
    </w:p>
    <w:p>
      <w:pPr>
        <w:spacing w:line="400" w:lineRule="exact"/>
        <w:ind w:left="538" w:hanging="537" w:hangingChars="256"/>
        <w:rPr>
          <w:szCs w:val="21"/>
        </w:rPr>
      </w:pPr>
      <w:bookmarkStart w:id="8" w:name="_Hlk157149319"/>
      <w:r>
        <w:rPr>
          <w:rFonts w:hint="eastAsia"/>
          <w:szCs w:val="21"/>
        </w:rPr>
        <w:t>十一、本协议履行期间出现纠纷的，任何一方可向甲方所在地人民法院提起诉讼。</w:t>
      </w:r>
    </w:p>
    <w:p>
      <w:pPr>
        <w:spacing w:line="400" w:lineRule="exact"/>
        <w:ind w:left="538" w:hanging="537" w:hangingChars="256"/>
        <w:rPr>
          <w:szCs w:val="21"/>
        </w:rPr>
      </w:pPr>
      <w:r>
        <w:rPr>
          <w:rFonts w:hint="eastAsia"/>
          <w:szCs w:val="21"/>
        </w:rPr>
        <w:t>十二、本协议有效期自合同签订之日起</w:t>
      </w:r>
      <w:r>
        <w:rPr>
          <w:rFonts w:hint="eastAsia"/>
          <w:szCs w:val="21"/>
          <w:u w:val="single"/>
        </w:rPr>
        <w:t xml:space="preserve">  贰   </w:t>
      </w:r>
      <w:r>
        <w:rPr>
          <w:rFonts w:hint="eastAsia"/>
          <w:szCs w:val="21"/>
        </w:rPr>
        <w:t>年，协议期内不得提价。</w:t>
      </w:r>
    </w:p>
    <w:p>
      <w:pPr>
        <w:spacing w:line="400" w:lineRule="exact"/>
        <w:rPr>
          <w:szCs w:val="21"/>
        </w:rPr>
      </w:pPr>
      <w:r>
        <w:rPr>
          <w:rFonts w:hint="eastAsia"/>
          <w:szCs w:val="21"/>
        </w:rPr>
        <w:t>十三、其它未尽事宜，双方协商解决。</w:t>
      </w:r>
    </w:p>
    <w:p>
      <w:pPr>
        <w:spacing w:line="400" w:lineRule="exact"/>
        <w:rPr>
          <w:rFonts w:hint="eastAsia" w:ascii="新宋体" w:hAnsi="新宋体" w:eastAsia="新宋体"/>
          <w:szCs w:val="21"/>
        </w:rPr>
      </w:pPr>
      <w:r>
        <w:rPr>
          <w:rFonts w:hint="eastAsia" w:ascii="新宋体" w:hAnsi="新宋体" w:eastAsia="新宋体"/>
          <w:szCs w:val="21"/>
        </w:rPr>
        <w:t>十四、本协议经双方签字盖章之日生效。</w:t>
      </w:r>
    </w:p>
    <w:bookmarkEnd w:id="8"/>
    <w:p>
      <w:pPr>
        <w:spacing w:line="400" w:lineRule="exact"/>
        <w:ind w:firstLine="630" w:firstLineChars="300"/>
        <w:rPr>
          <w:szCs w:val="21"/>
        </w:rPr>
      </w:pPr>
      <w:r>
        <w:rPr>
          <w:rFonts w:hint="eastAsia" w:ascii="新宋体" w:hAnsi="新宋体" w:eastAsia="新宋体"/>
          <w:szCs w:val="21"/>
        </w:rPr>
        <w:t xml:space="preserve">本协议一式 </w:t>
      </w:r>
      <w:r>
        <w:rPr>
          <w:rFonts w:hint="eastAsia" w:ascii="新宋体" w:hAnsi="新宋体" w:eastAsia="新宋体"/>
          <w:szCs w:val="21"/>
          <w:u w:val="single"/>
        </w:rPr>
        <w:t xml:space="preserve">贰 </w:t>
      </w:r>
      <w:r>
        <w:rPr>
          <w:rFonts w:hint="eastAsia" w:ascii="新宋体" w:hAnsi="新宋体" w:eastAsia="新宋体"/>
          <w:szCs w:val="21"/>
        </w:rPr>
        <w:t xml:space="preserve">份，甲乙双方各执 </w:t>
      </w:r>
      <w:r>
        <w:rPr>
          <w:rFonts w:hint="eastAsia" w:ascii="新宋体" w:hAnsi="新宋体" w:eastAsia="新宋体"/>
          <w:szCs w:val="21"/>
          <w:u w:val="single"/>
        </w:rPr>
        <w:t xml:space="preserve">壹 </w:t>
      </w:r>
      <w:r>
        <w:rPr>
          <w:rFonts w:hint="eastAsia" w:ascii="新宋体" w:hAnsi="新宋体" w:eastAsia="新宋体"/>
          <w:szCs w:val="21"/>
        </w:rPr>
        <w:t>份。</w:t>
      </w:r>
    </w:p>
    <w:p>
      <w:pPr>
        <w:spacing w:line="360" w:lineRule="auto"/>
        <w:rPr>
          <w:szCs w:val="21"/>
        </w:rPr>
      </w:pPr>
      <w:r>
        <w:rPr>
          <w:rFonts w:hint="eastAsia"/>
          <w:b/>
          <w:bCs/>
          <w:szCs w:val="21"/>
        </w:rPr>
        <w:t>甲方：</w:t>
      </w:r>
      <w:r>
        <w:rPr>
          <w:rFonts w:hint="eastAsia"/>
          <w:szCs w:val="21"/>
        </w:rPr>
        <w:t>浙江大学医学院附属妇产科医院</w:t>
      </w:r>
      <w:r>
        <w:rPr>
          <w:rFonts w:hint="eastAsia"/>
          <w:b/>
          <w:bCs/>
          <w:szCs w:val="21"/>
        </w:rPr>
        <w:t xml:space="preserve">           乙方：</w:t>
      </w:r>
      <w:r>
        <w:rPr>
          <w:rFonts w:hint="eastAsia"/>
          <w:szCs w:val="21"/>
        </w:rPr>
        <w:t xml:space="preserve">       </w:t>
      </w:r>
    </w:p>
    <w:p>
      <w:pPr>
        <w:spacing w:line="360" w:lineRule="auto"/>
        <w:rPr>
          <w:szCs w:val="21"/>
        </w:rPr>
      </w:pPr>
      <w:r>
        <w:rPr>
          <w:rFonts w:hint="eastAsia"/>
          <w:szCs w:val="21"/>
        </w:rPr>
        <w:t xml:space="preserve">地址：杭州学士路1号                         地址： </w:t>
      </w:r>
    </w:p>
    <w:p>
      <w:pPr>
        <w:spacing w:line="360" w:lineRule="auto"/>
        <w:rPr>
          <w:szCs w:val="21"/>
        </w:rPr>
      </w:pPr>
      <w:r>
        <w:rPr>
          <w:rFonts w:hint="eastAsia"/>
          <w:szCs w:val="21"/>
        </w:rPr>
        <w:t>电话：0571-87061501                          电话及手机：</w:t>
      </w:r>
    </w:p>
    <w:p>
      <w:pPr>
        <w:spacing w:line="360" w:lineRule="auto"/>
        <w:rPr>
          <w:rFonts w:ascii="仿宋_GB2312" w:eastAsia="仿宋_GB2312"/>
          <w:sz w:val="24"/>
        </w:rPr>
      </w:pPr>
      <w:r>
        <w:rPr>
          <w:rFonts w:hint="eastAsia" w:ascii="仿宋_GB2312" w:eastAsia="仿宋_GB2312"/>
          <w:sz w:val="24"/>
        </w:rPr>
        <w:t>法定（授权）代表人                     法定（授权）代表人</w:t>
      </w:r>
    </w:p>
    <w:p>
      <w:pPr>
        <w:spacing w:line="360" w:lineRule="auto"/>
        <w:rPr>
          <w:szCs w:val="21"/>
        </w:rPr>
      </w:pPr>
      <w:r>
        <w:rPr>
          <w:rFonts w:hint="eastAsia"/>
          <w:szCs w:val="21"/>
        </w:rPr>
        <w:t>签字：                                       签字：</w:t>
      </w:r>
    </w:p>
    <w:p>
      <w:pPr>
        <w:spacing w:line="360" w:lineRule="auto"/>
        <w:rPr>
          <w:szCs w:val="21"/>
        </w:rPr>
        <w:sectPr>
          <w:pgSz w:w="11906" w:h="16838"/>
          <w:pgMar w:top="873" w:right="1627" w:bottom="873" w:left="1627" w:header="851" w:footer="992" w:gutter="0"/>
          <w:cols w:space="425" w:num="1"/>
          <w:docGrid w:type="lines" w:linePitch="312" w:charSpace="0"/>
        </w:sectPr>
      </w:pPr>
      <w:r>
        <w:rPr>
          <w:rFonts w:hint="eastAsia"/>
          <w:szCs w:val="21"/>
        </w:rPr>
        <w:t xml:space="preserve">签订日期：                                   签订日期：              </w:t>
      </w:r>
    </w:p>
    <w:p>
      <w:pPr>
        <w:rPr>
          <w:b/>
          <w:bCs/>
          <w:sz w:val="24"/>
        </w:rPr>
      </w:pPr>
      <w:r>
        <w:rPr>
          <w:rFonts w:hint="eastAsia"/>
          <w:b/>
          <w:bCs/>
          <w:sz w:val="24"/>
        </w:rPr>
        <w:t>附件1：</w:t>
      </w:r>
    </w:p>
    <w:tbl>
      <w:tblPr>
        <w:tblStyle w:val="14"/>
        <w:tblW w:w="15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4"/>
        <w:gridCol w:w="1628"/>
        <w:gridCol w:w="1654"/>
        <w:gridCol w:w="1141"/>
        <w:gridCol w:w="1400"/>
        <w:gridCol w:w="948"/>
        <w:gridCol w:w="1205"/>
        <w:gridCol w:w="1244"/>
        <w:gridCol w:w="1705"/>
        <w:gridCol w:w="1398"/>
        <w:gridCol w:w="1192"/>
        <w:gridCol w:w="1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pPr>
              <w:jc w:val="center"/>
              <w:rPr>
                <w:b/>
                <w:bCs/>
              </w:rPr>
            </w:pPr>
            <w:r>
              <w:rPr>
                <w:rFonts w:hint="eastAsia"/>
                <w:b/>
                <w:bCs/>
              </w:rPr>
              <w:t>序号</w:t>
            </w:r>
          </w:p>
        </w:tc>
        <w:tc>
          <w:tcPr>
            <w:tcW w:w="1628" w:type="dxa"/>
            <w:vAlign w:val="center"/>
          </w:tcPr>
          <w:p>
            <w:pPr>
              <w:jc w:val="center"/>
              <w:rPr>
                <w:b/>
                <w:bCs/>
              </w:rPr>
            </w:pPr>
            <w:r>
              <w:rPr>
                <w:rFonts w:hint="eastAsia"/>
                <w:b/>
                <w:bCs/>
              </w:rPr>
              <w:t>耗材统一编码</w:t>
            </w:r>
          </w:p>
        </w:tc>
        <w:tc>
          <w:tcPr>
            <w:tcW w:w="1654" w:type="dxa"/>
            <w:vAlign w:val="center"/>
          </w:tcPr>
          <w:p>
            <w:pPr>
              <w:jc w:val="center"/>
              <w:rPr>
                <w:b/>
                <w:bCs/>
              </w:rPr>
            </w:pPr>
            <w:r>
              <w:rPr>
                <w:rFonts w:hint="eastAsia"/>
                <w:b/>
                <w:bCs/>
              </w:rPr>
              <w:t>两定平台产品ID</w:t>
            </w:r>
          </w:p>
        </w:tc>
        <w:tc>
          <w:tcPr>
            <w:tcW w:w="1141" w:type="dxa"/>
            <w:vAlign w:val="center"/>
          </w:tcPr>
          <w:p>
            <w:pPr>
              <w:jc w:val="center"/>
              <w:rPr>
                <w:b/>
                <w:bCs/>
              </w:rPr>
            </w:pPr>
            <w:r>
              <w:rPr>
                <w:rFonts w:hint="eastAsia"/>
                <w:b/>
                <w:bCs/>
              </w:rPr>
              <w:t>UDI码</w:t>
            </w:r>
          </w:p>
        </w:tc>
        <w:tc>
          <w:tcPr>
            <w:tcW w:w="1400" w:type="dxa"/>
            <w:vAlign w:val="center"/>
          </w:tcPr>
          <w:p>
            <w:pPr>
              <w:jc w:val="center"/>
              <w:rPr>
                <w:b/>
                <w:bCs/>
              </w:rPr>
            </w:pPr>
            <w:r>
              <w:rPr>
                <w:rFonts w:hint="eastAsia"/>
                <w:b/>
                <w:bCs/>
              </w:rPr>
              <w:t>商品名称（注册证名称）</w:t>
            </w:r>
          </w:p>
        </w:tc>
        <w:tc>
          <w:tcPr>
            <w:tcW w:w="948" w:type="dxa"/>
            <w:vAlign w:val="center"/>
          </w:tcPr>
          <w:p>
            <w:pPr>
              <w:jc w:val="center"/>
              <w:rPr>
                <w:b/>
                <w:bCs/>
              </w:rPr>
            </w:pPr>
            <w:r>
              <w:rPr>
                <w:rFonts w:hint="eastAsia"/>
                <w:b/>
                <w:bCs/>
              </w:rPr>
              <w:t>规格</w:t>
            </w:r>
          </w:p>
        </w:tc>
        <w:tc>
          <w:tcPr>
            <w:tcW w:w="1205" w:type="dxa"/>
            <w:vAlign w:val="center"/>
          </w:tcPr>
          <w:p>
            <w:pPr>
              <w:jc w:val="center"/>
              <w:rPr>
                <w:b/>
                <w:bCs/>
              </w:rPr>
            </w:pPr>
            <w:r>
              <w:rPr>
                <w:rFonts w:hint="eastAsia"/>
                <w:b/>
                <w:bCs/>
              </w:rPr>
              <w:t>最小单位</w:t>
            </w:r>
          </w:p>
        </w:tc>
        <w:tc>
          <w:tcPr>
            <w:tcW w:w="1244" w:type="dxa"/>
            <w:vAlign w:val="center"/>
          </w:tcPr>
          <w:p>
            <w:pPr>
              <w:jc w:val="center"/>
              <w:rPr>
                <w:b/>
                <w:bCs/>
              </w:rPr>
            </w:pPr>
            <w:r>
              <w:rPr>
                <w:rFonts w:hint="eastAsia"/>
                <w:b/>
                <w:bCs/>
              </w:rPr>
              <w:t>注册证号</w:t>
            </w:r>
          </w:p>
        </w:tc>
        <w:tc>
          <w:tcPr>
            <w:tcW w:w="1705" w:type="dxa"/>
            <w:vAlign w:val="center"/>
          </w:tcPr>
          <w:p>
            <w:pPr>
              <w:jc w:val="center"/>
              <w:rPr>
                <w:b/>
                <w:bCs/>
              </w:rPr>
            </w:pPr>
            <w:r>
              <w:rPr>
                <w:rFonts w:hint="eastAsia"/>
                <w:b/>
                <w:bCs/>
              </w:rPr>
              <w:t>采购单价（元）</w:t>
            </w:r>
          </w:p>
        </w:tc>
        <w:tc>
          <w:tcPr>
            <w:tcW w:w="1398" w:type="dxa"/>
            <w:vAlign w:val="center"/>
          </w:tcPr>
          <w:p>
            <w:pPr>
              <w:jc w:val="center"/>
              <w:rPr>
                <w:b/>
                <w:bCs/>
              </w:rPr>
            </w:pPr>
            <w:r>
              <w:rPr>
                <w:rFonts w:hint="eastAsia"/>
                <w:b/>
                <w:bCs/>
              </w:rPr>
              <w:t>生产厂家</w:t>
            </w:r>
          </w:p>
        </w:tc>
        <w:tc>
          <w:tcPr>
            <w:tcW w:w="1192" w:type="dxa"/>
            <w:vAlign w:val="center"/>
          </w:tcPr>
          <w:p>
            <w:pPr>
              <w:jc w:val="center"/>
              <w:rPr>
                <w:b/>
                <w:bCs/>
              </w:rPr>
            </w:pPr>
            <w:r>
              <w:rPr>
                <w:rFonts w:hint="eastAsia"/>
                <w:b/>
                <w:bCs/>
              </w:rPr>
              <w:t>货号</w:t>
            </w:r>
          </w:p>
        </w:tc>
        <w:tc>
          <w:tcPr>
            <w:tcW w:w="1192" w:type="dxa"/>
          </w:tcPr>
          <w:p>
            <w:pPr>
              <w:jc w:val="center"/>
            </w:pPr>
            <w:r>
              <w:rPr>
                <w:rFonts w:hint="eastAsia"/>
                <w:b/>
                <w:sz w:val="18"/>
                <w:szCs w:val="18"/>
              </w:rPr>
              <w:t>备注（发货最小包装）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tc>
        <w:tc>
          <w:tcPr>
            <w:tcW w:w="1628" w:type="dxa"/>
            <w:vAlign w:val="center"/>
          </w:tcPr>
          <w:p/>
        </w:tc>
        <w:tc>
          <w:tcPr>
            <w:tcW w:w="1654" w:type="dxa"/>
            <w:vAlign w:val="center"/>
          </w:tcPr>
          <w:p/>
        </w:tc>
        <w:tc>
          <w:tcPr>
            <w:tcW w:w="1141" w:type="dxa"/>
            <w:vAlign w:val="center"/>
          </w:tcPr>
          <w:p/>
        </w:tc>
        <w:tc>
          <w:tcPr>
            <w:tcW w:w="1400" w:type="dxa"/>
            <w:vAlign w:val="center"/>
          </w:tcPr>
          <w:p/>
        </w:tc>
        <w:tc>
          <w:tcPr>
            <w:tcW w:w="948" w:type="dxa"/>
            <w:vAlign w:val="center"/>
          </w:tcPr>
          <w:p>
            <w:pPr>
              <w:ind w:left="210" w:hanging="210" w:hangingChars="100"/>
            </w:pPr>
          </w:p>
        </w:tc>
        <w:tc>
          <w:tcPr>
            <w:tcW w:w="1205" w:type="dxa"/>
            <w:vAlign w:val="center"/>
          </w:tcPr>
          <w:p/>
        </w:tc>
        <w:tc>
          <w:tcPr>
            <w:tcW w:w="1244" w:type="dxa"/>
            <w:vAlign w:val="center"/>
          </w:tcPr>
          <w:p/>
        </w:tc>
        <w:tc>
          <w:tcPr>
            <w:tcW w:w="1705" w:type="dxa"/>
            <w:vAlign w:val="center"/>
          </w:tcPr>
          <w:p/>
        </w:tc>
        <w:tc>
          <w:tcPr>
            <w:tcW w:w="1398" w:type="dxa"/>
            <w:vAlign w:val="center"/>
          </w:tcPr>
          <w:p/>
        </w:tc>
        <w:tc>
          <w:tcPr>
            <w:tcW w:w="1192" w:type="dxa"/>
            <w:vAlign w:val="center"/>
          </w:tcPr>
          <w:p/>
        </w:tc>
        <w:tc>
          <w:tcPr>
            <w:tcW w:w="119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tc>
        <w:tc>
          <w:tcPr>
            <w:tcW w:w="1628" w:type="dxa"/>
            <w:vAlign w:val="center"/>
          </w:tcPr>
          <w:p/>
        </w:tc>
        <w:tc>
          <w:tcPr>
            <w:tcW w:w="1654" w:type="dxa"/>
            <w:vAlign w:val="center"/>
          </w:tcPr>
          <w:p/>
        </w:tc>
        <w:tc>
          <w:tcPr>
            <w:tcW w:w="1141" w:type="dxa"/>
            <w:vAlign w:val="center"/>
          </w:tcPr>
          <w:p/>
        </w:tc>
        <w:tc>
          <w:tcPr>
            <w:tcW w:w="1400" w:type="dxa"/>
            <w:vAlign w:val="center"/>
          </w:tcPr>
          <w:p/>
        </w:tc>
        <w:tc>
          <w:tcPr>
            <w:tcW w:w="948" w:type="dxa"/>
            <w:vAlign w:val="center"/>
          </w:tcPr>
          <w:p/>
        </w:tc>
        <w:tc>
          <w:tcPr>
            <w:tcW w:w="1205" w:type="dxa"/>
            <w:vAlign w:val="center"/>
          </w:tcPr>
          <w:p/>
        </w:tc>
        <w:tc>
          <w:tcPr>
            <w:tcW w:w="1244" w:type="dxa"/>
            <w:vAlign w:val="center"/>
          </w:tcPr>
          <w:p/>
        </w:tc>
        <w:tc>
          <w:tcPr>
            <w:tcW w:w="1705" w:type="dxa"/>
            <w:vAlign w:val="center"/>
          </w:tcPr>
          <w:p/>
        </w:tc>
        <w:tc>
          <w:tcPr>
            <w:tcW w:w="1398" w:type="dxa"/>
            <w:vAlign w:val="center"/>
          </w:tcPr>
          <w:p/>
        </w:tc>
        <w:tc>
          <w:tcPr>
            <w:tcW w:w="1192" w:type="dxa"/>
            <w:vAlign w:val="center"/>
          </w:tcPr>
          <w:p/>
        </w:tc>
        <w:tc>
          <w:tcPr>
            <w:tcW w:w="119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tc>
        <w:tc>
          <w:tcPr>
            <w:tcW w:w="1628" w:type="dxa"/>
            <w:vAlign w:val="center"/>
          </w:tcPr>
          <w:p/>
        </w:tc>
        <w:tc>
          <w:tcPr>
            <w:tcW w:w="1654" w:type="dxa"/>
            <w:vAlign w:val="center"/>
          </w:tcPr>
          <w:p/>
        </w:tc>
        <w:tc>
          <w:tcPr>
            <w:tcW w:w="1141" w:type="dxa"/>
            <w:vAlign w:val="center"/>
          </w:tcPr>
          <w:p/>
        </w:tc>
        <w:tc>
          <w:tcPr>
            <w:tcW w:w="1400" w:type="dxa"/>
            <w:vAlign w:val="center"/>
          </w:tcPr>
          <w:p/>
        </w:tc>
        <w:tc>
          <w:tcPr>
            <w:tcW w:w="948" w:type="dxa"/>
            <w:vAlign w:val="center"/>
          </w:tcPr>
          <w:p/>
        </w:tc>
        <w:tc>
          <w:tcPr>
            <w:tcW w:w="1205" w:type="dxa"/>
            <w:vAlign w:val="center"/>
          </w:tcPr>
          <w:p/>
        </w:tc>
        <w:tc>
          <w:tcPr>
            <w:tcW w:w="1244" w:type="dxa"/>
            <w:vAlign w:val="center"/>
          </w:tcPr>
          <w:p/>
        </w:tc>
        <w:tc>
          <w:tcPr>
            <w:tcW w:w="1705" w:type="dxa"/>
            <w:vAlign w:val="center"/>
          </w:tcPr>
          <w:p/>
        </w:tc>
        <w:tc>
          <w:tcPr>
            <w:tcW w:w="1398" w:type="dxa"/>
            <w:vAlign w:val="center"/>
          </w:tcPr>
          <w:p/>
        </w:tc>
        <w:tc>
          <w:tcPr>
            <w:tcW w:w="1192" w:type="dxa"/>
            <w:vAlign w:val="center"/>
          </w:tcPr>
          <w:p/>
        </w:tc>
        <w:tc>
          <w:tcPr>
            <w:tcW w:w="119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tc>
        <w:tc>
          <w:tcPr>
            <w:tcW w:w="1628" w:type="dxa"/>
            <w:vAlign w:val="center"/>
          </w:tcPr>
          <w:p/>
        </w:tc>
        <w:tc>
          <w:tcPr>
            <w:tcW w:w="1654" w:type="dxa"/>
            <w:vAlign w:val="center"/>
          </w:tcPr>
          <w:p/>
        </w:tc>
        <w:tc>
          <w:tcPr>
            <w:tcW w:w="1141" w:type="dxa"/>
            <w:vAlign w:val="center"/>
          </w:tcPr>
          <w:p/>
        </w:tc>
        <w:tc>
          <w:tcPr>
            <w:tcW w:w="1400" w:type="dxa"/>
            <w:vAlign w:val="center"/>
          </w:tcPr>
          <w:p/>
        </w:tc>
        <w:tc>
          <w:tcPr>
            <w:tcW w:w="948" w:type="dxa"/>
            <w:vAlign w:val="center"/>
          </w:tcPr>
          <w:p/>
        </w:tc>
        <w:tc>
          <w:tcPr>
            <w:tcW w:w="1205" w:type="dxa"/>
            <w:vAlign w:val="center"/>
          </w:tcPr>
          <w:p/>
        </w:tc>
        <w:tc>
          <w:tcPr>
            <w:tcW w:w="1244" w:type="dxa"/>
            <w:vAlign w:val="center"/>
          </w:tcPr>
          <w:p/>
        </w:tc>
        <w:tc>
          <w:tcPr>
            <w:tcW w:w="1705" w:type="dxa"/>
            <w:vAlign w:val="center"/>
          </w:tcPr>
          <w:p/>
        </w:tc>
        <w:tc>
          <w:tcPr>
            <w:tcW w:w="1398" w:type="dxa"/>
            <w:vAlign w:val="center"/>
          </w:tcPr>
          <w:p/>
        </w:tc>
        <w:tc>
          <w:tcPr>
            <w:tcW w:w="1192" w:type="dxa"/>
            <w:vAlign w:val="center"/>
          </w:tcPr>
          <w:p/>
        </w:tc>
        <w:tc>
          <w:tcPr>
            <w:tcW w:w="119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tc>
        <w:tc>
          <w:tcPr>
            <w:tcW w:w="1628" w:type="dxa"/>
            <w:vAlign w:val="center"/>
          </w:tcPr>
          <w:p/>
        </w:tc>
        <w:tc>
          <w:tcPr>
            <w:tcW w:w="1654" w:type="dxa"/>
            <w:vAlign w:val="center"/>
          </w:tcPr>
          <w:p/>
        </w:tc>
        <w:tc>
          <w:tcPr>
            <w:tcW w:w="1141" w:type="dxa"/>
            <w:vAlign w:val="center"/>
          </w:tcPr>
          <w:p/>
        </w:tc>
        <w:tc>
          <w:tcPr>
            <w:tcW w:w="1400" w:type="dxa"/>
            <w:vAlign w:val="center"/>
          </w:tcPr>
          <w:p/>
        </w:tc>
        <w:tc>
          <w:tcPr>
            <w:tcW w:w="948" w:type="dxa"/>
            <w:vAlign w:val="center"/>
          </w:tcPr>
          <w:p>
            <w:pPr>
              <w:ind w:left="210" w:hanging="210" w:hangingChars="100"/>
            </w:pPr>
          </w:p>
        </w:tc>
        <w:tc>
          <w:tcPr>
            <w:tcW w:w="1205" w:type="dxa"/>
            <w:vAlign w:val="center"/>
          </w:tcPr>
          <w:p/>
        </w:tc>
        <w:tc>
          <w:tcPr>
            <w:tcW w:w="1244" w:type="dxa"/>
            <w:vAlign w:val="center"/>
          </w:tcPr>
          <w:p/>
        </w:tc>
        <w:tc>
          <w:tcPr>
            <w:tcW w:w="1705" w:type="dxa"/>
            <w:vAlign w:val="center"/>
          </w:tcPr>
          <w:p/>
        </w:tc>
        <w:tc>
          <w:tcPr>
            <w:tcW w:w="1398" w:type="dxa"/>
            <w:vAlign w:val="center"/>
          </w:tcPr>
          <w:p/>
        </w:tc>
        <w:tc>
          <w:tcPr>
            <w:tcW w:w="1192" w:type="dxa"/>
            <w:vAlign w:val="center"/>
          </w:tcPr>
          <w:p/>
        </w:tc>
        <w:tc>
          <w:tcPr>
            <w:tcW w:w="119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tc>
        <w:tc>
          <w:tcPr>
            <w:tcW w:w="1628" w:type="dxa"/>
            <w:vAlign w:val="center"/>
          </w:tcPr>
          <w:p/>
        </w:tc>
        <w:tc>
          <w:tcPr>
            <w:tcW w:w="1654" w:type="dxa"/>
            <w:vAlign w:val="center"/>
          </w:tcPr>
          <w:p/>
        </w:tc>
        <w:tc>
          <w:tcPr>
            <w:tcW w:w="1141" w:type="dxa"/>
            <w:vAlign w:val="center"/>
          </w:tcPr>
          <w:p/>
        </w:tc>
        <w:tc>
          <w:tcPr>
            <w:tcW w:w="1400" w:type="dxa"/>
            <w:vAlign w:val="center"/>
          </w:tcPr>
          <w:p/>
        </w:tc>
        <w:tc>
          <w:tcPr>
            <w:tcW w:w="948" w:type="dxa"/>
            <w:vAlign w:val="center"/>
          </w:tcPr>
          <w:p/>
        </w:tc>
        <w:tc>
          <w:tcPr>
            <w:tcW w:w="1205" w:type="dxa"/>
            <w:vAlign w:val="center"/>
          </w:tcPr>
          <w:p/>
        </w:tc>
        <w:tc>
          <w:tcPr>
            <w:tcW w:w="1244" w:type="dxa"/>
            <w:vAlign w:val="center"/>
          </w:tcPr>
          <w:p/>
        </w:tc>
        <w:tc>
          <w:tcPr>
            <w:tcW w:w="1705" w:type="dxa"/>
            <w:vAlign w:val="center"/>
          </w:tcPr>
          <w:p/>
        </w:tc>
        <w:tc>
          <w:tcPr>
            <w:tcW w:w="1398" w:type="dxa"/>
            <w:vAlign w:val="center"/>
          </w:tcPr>
          <w:p/>
        </w:tc>
        <w:tc>
          <w:tcPr>
            <w:tcW w:w="1192" w:type="dxa"/>
            <w:vAlign w:val="center"/>
          </w:tcPr>
          <w:p/>
        </w:tc>
        <w:tc>
          <w:tcPr>
            <w:tcW w:w="119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tc>
        <w:tc>
          <w:tcPr>
            <w:tcW w:w="1628" w:type="dxa"/>
            <w:vAlign w:val="center"/>
          </w:tcPr>
          <w:p/>
        </w:tc>
        <w:tc>
          <w:tcPr>
            <w:tcW w:w="1654" w:type="dxa"/>
            <w:vAlign w:val="center"/>
          </w:tcPr>
          <w:p/>
        </w:tc>
        <w:tc>
          <w:tcPr>
            <w:tcW w:w="1141" w:type="dxa"/>
            <w:vAlign w:val="center"/>
          </w:tcPr>
          <w:p/>
        </w:tc>
        <w:tc>
          <w:tcPr>
            <w:tcW w:w="1400" w:type="dxa"/>
            <w:vAlign w:val="center"/>
          </w:tcPr>
          <w:p/>
        </w:tc>
        <w:tc>
          <w:tcPr>
            <w:tcW w:w="948" w:type="dxa"/>
            <w:vAlign w:val="center"/>
          </w:tcPr>
          <w:p/>
        </w:tc>
        <w:tc>
          <w:tcPr>
            <w:tcW w:w="1205" w:type="dxa"/>
            <w:vAlign w:val="center"/>
          </w:tcPr>
          <w:p/>
        </w:tc>
        <w:tc>
          <w:tcPr>
            <w:tcW w:w="1244" w:type="dxa"/>
            <w:vAlign w:val="center"/>
          </w:tcPr>
          <w:p/>
        </w:tc>
        <w:tc>
          <w:tcPr>
            <w:tcW w:w="1705" w:type="dxa"/>
            <w:vAlign w:val="center"/>
          </w:tcPr>
          <w:p/>
        </w:tc>
        <w:tc>
          <w:tcPr>
            <w:tcW w:w="1398" w:type="dxa"/>
            <w:vAlign w:val="center"/>
          </w:tcPr>
          <w:p/>
        </w:tc>
        <w:tc>
          <w:tcPr>
            <w:tcW w:w="1192" w:type="dxa"/>
            <w:vAlign w:val="center"/>
          </w:tcPr>
          <w:p/>
        </w:tc>
        <w:tc>
          <w:tcPr>
            <w:tcW w:w="119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tc>
        <w:tc>
          <w:tcPr>
            <w:tcW w:w="1628" w:type="dxa"/>
            <w:vAlign w:val="center"/>
          </w:tcPr>
          <w:p/>
        </w:tc>
        <w:tc>
          <w:tcPr>
            <w:tcW w:w="1654" w:type="dxa"/>
            <w:vAlign w:val="center"/>
          </w:tcPr>
          <w:p/>
        </w:tc>
        <w:tc>
          <w:tcPr>
            <w:tcW w:w="1141" w:type="dxa"/>
            <w:vAlign w:val="center"/>
          </w:tcPr>
          <w:p/>
        </w:tc>
        <w:tc>
          <w:tcPr>
            <w:tcW w:w="1400" w:type="dxa"/>
            <w:vAlign w:val="center"/>
          </w:tcPr>
          <w:p/>
        </w:tc>
        <w:tc>
          <w:tcPr>
            <w:tcW w:w="948" w:type="dxa"/>
            <w:vAlign w:val="center"/>
          </w:tcPr>
          <w:p/>
        </w:tc>
        <w:tc>
          <w:tcPr>
            <w:tcW w:w="1205" w:type="dxa"/>
            <w:vAlign w:val="center"/>
          </w:tcPr>
          <w:p/>
        </w:tc>
        <w:tc>
          <w:tcPr>
            <w:tcW w:w="1244" w:type="dxa"/>
            <w:vAlign w:val="center"/>
          </w:tcPr>
          <w:p/>
        </w:tc>
        <w:tc>
          <w:tcPr>
            <w:tcW w:w="1705" w:type="dxa"/>
            <w:vAlign w:val="center"/>
          </w:tcPr>
          <w:p/>
        </w:tc>
        <w:tc>
          <w:tcPr>
            <w:tcW w:w="1398" w:type="dxa"/>
            <w:vAlign w:val="center"/>
          </w:tcPr>
          <w:p/>
        </w:tc>
        <w:tc>
          <w:tcPr>
            <w:tcW w:w="1192" w:type="dxa"/>
            <w:vAlign w:val="center"/>
          </w:tcPr>
          <w:p/>
        </w:tc>
        <w:tc>
          <w:tcPr>
            <w:tcW w:w="119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tc>
        <w:tc>
          <w:tcPr>
            <w:tcW w:w="1628" w:type="dxa"/>
            <w:vAlign w:val="center"/>
          </w:tcPr>
          <w:p/>
        </w:tc>
        <w:tc>
          <w:tcPr>
            <w:tcW w:w="1654" w:type="dxa"/>
            <w:vAlign w:val="center"/>
          </w:tcPr>
          <w:p/>
        </w:tc>
        <w:tc>
          <w:tcPr>
            <w:tcW w:w="1141" w:type="dxa"/>
            <w:vAlign w:val="center"/>
          </w:tcPr>
          <w:p/>
        </w:tc>
        <w:tc>
          <w:tcPr>
            <w:tcW w:w="1400" w:type="dxa"/>
            <w:vAlign w:val="center"/>
          </w:tcPr>
          <w:p/>
        </w:tc>
        <w:tc>
          <w:tcPr>
            <w:tcW w:w="948" w:type="dxa"/>
            <w:vAlign w:val="center"/>
          </w:tcPr>
          <w:p/>
        </w:tc>
        <w:tc>
          <w:tcPr>
            <w:tcW w:w="1205" w:type="dxa"/>
            <w:vAlign w:val="center"/>
          </w:tcPr>
          <w:p/>
        </w:tc>
        <w:tc>
          <w:tcPr>
            <w:tcW w:w="1244" w:type="dxa"/>
            <w:vAlign w:val="center"/>
          </w:tcPr>
          <w:p/>
        </w:tc>
        <w:tc>
          <w:tcPr>
            <w:tcW w:w="1705" w:type="dxa"/>
            <w:vAlign w:val="center"/>
          </w:tcPr>
          <w:p/>
        </w:tc>
        <w:tc>
          <w:tcPr>
            <w:tcW w:w="1398" w:type="dxa"/>
            <w:vAlign w:val="center"/>
          </w:tcPr>
          <w:p/>
        </w:tc>
        <w:tc>
          <w:tcPr>
            <w:tcW w:w="1192" w:type="dxa"/>
            <w:vAlign w:val="center"/>
          </w:tcPr>
          <w:p/>
        </w:tc>
        <w:tc>
          <w:tcPr>
            <w:tcW w:w="119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tc>
        <w:tc>
          <w:tcPr>
            <w:tcW w:w="1628" w:type="dxa"/>
            <w:vAlign w:val="center"/>
          </w:tcPr>
          <w:p/>
        </w:tc>
        <w:tc>
          <w:tcPr>
            <w:tcW w:w="1654" w:type="dxa"/>
            <w:vAlign w:val="center"/>
          </w:tcPr>
          <w:p/>
        </w:tc>
        <w:tc>
          <w:tcPr>
            <w:tcW w:w="1141" w:type="dxa"/>
            <w:vAlign w:val="center"/>
          </w:tcPr>
          <w:p/>
        </w:tc>
        <w:tc>
          <w:tcPr>
            <w:tcW w:w="1400" w:type="dxa"/>
            <w:vAlign w:val="center"/>
          </w:tcPr>
          <w:p/>
        </w:tc>
        <w:tc>
          <w:tcPr>
            <w:tcW w:w="948" w:type="dxa"/>
            <w:vAlign w:val="center"/>
          </w:tcPr>
          <w:p/>
        </w:tc>
        <w:tc>
          <w:tcPr>
            <w:tcW w:w="1205" w:type="dxa"/>
            <w:vAlign w:val="center"/>
          </w:tcPr>
          <w:p/>
        </w:tc>
        <w:tc>
          <w:tcPr>
            <w:tcW w:w="1244" w:type="dxa"/>
            <w:vAlign w:val="center"/>
          </w:tcPr>
          <w:p/>
        </w:tc>
        <w:tc>
          <w:tcPr>
            <w:tcW w:w="1705" w:type="dxa"/>
            <w:vAlign w:val="center"/>
          </w:tcPr>
          <w:p/>
        </w:tc>
        <w:tc>
          <w:tcPr>
            <w:tcW w:w="1398" w:type="dxa"/>
            <w:vAlign w:val="center"/>
          </w:tcPr>
          <w:p/>
        </w:tc>
        <w:tc>
          <w:tcPr>
            <w:tcW w:w="1192" w:type="dxa"/>
            <w:vAlign w:val="center"/>
          </w:tcPr>
          <w:p/>
        </w:tc>
        <w:tc>
          <w:tcPr>
            <w:tcW w:w="119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tc>
        <w:tc>
          <w:tcPr>
            <w:tcW w:w="1628" w:type="dxa"/>
            <w:vAlign w:val="center"/>
          </w:tcPr>
          <w:p/>
        </w:tc>
        <w:tc>
          <w:tcPr>
            <w:tcW w:w="1654" w:type="dxa"/>
            <w:vAlign w:val="center"/>
          </w:tcPr>
          <w:p/>
        </w:tc>
        <w:tc>
          <w:tcPr>
            <w:tcW w:w="1141" w:type="dxa"/>
            <w:vAlign w:val="center"/>
          </w:tcPr>
          <w:p/>
        </w:tc>
        <w:tc>
          <w:tcPr>
            <w:tcW w:w="1400" w:type="dxa"/>
            <w:vAlign w:val="center"/>
          </w:tcPr>
          <w:p/>
        </w:tc>
        <w:tc>
          <w:tcPr>
            <w:tcW w:w="948" w:type="dxa"/>
            <w:vAlign w:val="center"/>
          </w:tcPr>
          <w:p/>
        </w:tc>
        <w:tc>
          <w:tcPr>
            <w:tcW w:w="1205" w:type="dxa"/>
            <w:vAlign w:val="center"/>
          </w:tcPr>
          <w:p/>
        </w:tc>
        <w:tc>
          <w:tcPr>
            <w:tcW w:w="1244" w:type="dxa"/>
            <w:vAlign w:val="center"/>
          </w:tcPr>
          <w:p/>
        </w:tc>
        <w:tc>
          <w:tcPr>
            <w:tcW w:w="1705" w:type="dxa"/>
            <w:vAlign w:val="center"/>
          </w:tcPr>
          <w:p/>
        </w:tc>
        <w:tc>
          <w:tcPr>
            <w:tcW w:w="1398" w:type="dxa"/>
            <w:vAlign w:val="center"/>
          </w:tcPr>
          <w:p/>
        </w:tc>
        <w:tc>
          <w:tcPr>
            <w:tcW w:w="1192" w:type="dxa"/>
            <w:vAlign w:val="center"/>
          </w:tcPr>
          <w:p/>
        </w:tc>
        <w:tc>
          <w:tcPr>
            <w:tcW w:w="1192" w:type="dxa"/>
          </w:tcPr>
          <w:p/>
        </w:tc>
      </w:tr>
    </w:tbl>
    <w:p>
      <w:pPr>
        <w:spacing w:line="520" w:lineRule="exact"/>
        <w:rPr>
          <w:szCs w:val="21"/>
        </w:rPr>
      </w:pPr>
      <w:r>
        <w:rPr>
          <w:rFonts w:hint="eastAsia"/>
          <w:szCs w:val="21"/>
        </w:rPr>
        <w:t xml:space="preserve">备注：如无货号则“/” </w:t>
      </w:r>
    </w:p>
    <w:sectPr>
      <w:footerReference r:id="rId9" w:type="default"/>
      <w:pgSz w:w="16838" w:h="11906" w:orient="landscape"/>
      <w:pgMar w:top="1800" w:right="1440" w:bottom="1800" w:left="144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Courier New">
    <w:panose1 w:val="02070309020205020404"/>
    <w:charset w:val="00"/>
    <w:family w:val="modern"/>
    <w:pitch w:val="default"/>
    <w:sig w:usb0="E0002EFF" w:usb1="C0007843" w:usb2="00000009" w:usb3="00000000" w:csb0="400001FF" w:csb1="FFFF0000"/>
  </w:font>
  <w:font w:name="Calibri Light">
    <w:panose1 w:val="020F0302020204030204"/>
    <w:charset w:val="00"/>
    <w:family w:val="swiss"/>
    <w:pitch w:val="default"/>
    <w:sig w:usb0="E4002EFF" w:usb1="C000247B" w:usb2="00000009" w:usb3="00000000" w:csb0="200001FF" w:csb1="00000000"/>
  </w:font>
  <w:font w:name="JEHOPL+TimesNewRomanPS">
    <w:altName w:val="宋体"/>
    <w:panose1 w:val="00000000000000000000"/>
    <w:charset w:val="86"/>
    <w:family w:val="roma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Helvetica">
    <w:altName w:val="Arial"/>
    <w:panose1 w:val="020B0604020202020204"/>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Cambria Math">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v:textbox>
            </v:shape>
          </w:pict>
        </mc:Fallback>
      </mc:AlternateContent>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第 </w:t>
                          </w:r>
                          <w:r>
                            <w:rPr>
                              <w:rFonts w:hint="eastAsia"/>
                            </w:rPr>
                            <w:t>14</w:t>
                          </w:r>
                          <w:r>
                            <w:t xml:space="preserve"> 页 共 </w:t>
                          </w:r>
                          <w:r>
                            <w:fldChar w:fldCharType="begin"/>
                          </w:r>
                          <w:r>
                            <w:instrText xml:space="preserve"> NUMPAGES  \* MERGEFORMAT </w:instrText>
                          </w:r>
                          <w:r>
                            <w:fldChar w:fldCharType="separate"/>
                          </w:r>
                          <w:r>
                            <w:t>14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8"/>
                    </w:pPr>
                    <w:r>
                      <w:t xml:space="preserve">第 </w:t>
                    </w:r>
                    <w:r>
                      <w:rPr>
                        <w:rFonts w:hint="eastAsia"/>
                      </w:rPr>
                      <w:t>14</w:t>
                    </w:r>
                    <w:r>
                      <w:t xml:space="preserve"> 页 共 </w:t>
                    </w:r>
                    <w:r>
                      <w:fldChar w:fldCharType="begin"/>
                    </w:r>
                    <w:r>
                      <w:instrText xml:space="preserve"> NUMPAGES  \* MERGEFORMAT </w:instrText>
                    </w:r>
                    <w:r>
                      <w:fldChar w:fldCharType="separate"/>
                    </w:r>
                    <w:r>
                      <w:t>14</w:t>
                    </w:r>
                    <w:r>
                      <w:fldChar w:fldCharType="end"/>
                    </w:r>
                    <w:r>
                      <w:t xml:space="preserve"> 页</w:t>
                    </w:r>
                  </w:p>
                </w:txbxContent>
              </v:textbox>
            </v:shape>
          </w:pict>
        </mc:Fallback>
      </mc:AlternateContent>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A25F45"/>
    <w:multiLevelType w:val="singleLevel"/>
    <w:tmpl w:val="FEA25F45"/>
    <w:lvl w:ilvl="0" w:tentative="0">
      <w:start w:val="3"/>
      <w:numFmt w:val="chineseCounting"/>
      <w:suff w:val="space"/>
      <w:lvlText w:val="第%1章"/>
      <w:lvlJc w:val="left"/>
      <w:rPr>
        <w:rFonts w:hint="eastAsia"/>
      </w:rPr>
    </w:lvl>
  </w:abstractNum>
  <w:abstractNum w:abstractNumId="1">
    <w:nsid w:val="240A3FD6"/>
    <w:multiLevelType w:val="multilevel"/>
    <w:tmpl w:val="240A3FD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A1B19C9"/>
    <w:multiLevelType w:val="multilevel"/>
    <w:tmpl w:val="2A1B19C9"/>
    <w:lvl w:ilvl="0" w:tentative="0">
      <w:start w:val="1"/>
      <w:numFmt w:val="japaneseCounting"/>
      <w:lvlText w:val="%1、"/>
      <w:lvlJc w:val="left"/>
      <w:pPr>
        <w:tabs>
          <w:tab w:val="left" w:pos="420"/>
        </w:tabs>
        <w:ind w:left="420" w:hanging="420"/>
      </w:pPr>
      <w:rPr>
        <w:rFonts w:ascii="Times New Roman" w:hAnsi="Times New Roman" w:eastAsia="Times New Roman" w:cs="Times New Roman"/>
      </w:rPr>
    </w:lvl>
    <w:lvl w:ilvl="1" w:tentative="0">
      <w:start w:val="6"/>
      <w:numFmt w:val="japaneseCounting"/>
      <w:lvlText w:val="%2．"/>
      <w:lvlJc w:val="left"/>
      <w:pPr>
        <w:tabs>
          <w:tab w:val="left" w:pos="990"/>
        </w:tabs>
        <w:ind w:left="990" w:hanging="570"/>
      </w:pPr>
      <w:rPr>
        <w:rFonts w:hint="eastAsia"/>
        <w:sz w:val="28"/>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RmNzlmNjMxNmM3ZWZkYmQ3ODBhZGE0N2M5NzFmMWEifQ=="/>
  </w:docVars>
  <w:rsids>
    <w:rsidRoot w:val="00C05BD5"/>
    <w:rsid w:val="00000318"/>
    <w:rsid w:val="00000CCC"/>
    <w:rsid w:val="00002EB5"/>
    <w:rsid w:val="00003653"/>
    <w:rsid w:val="00004888"/>
    <w:rsid w:val="00006F2E"/>
    <w:rsid w:val="00007354"/>
    <w:rsid w:val="0001522E"/>
    <w:rsid w:val="0001525E"/>
    <w:rsid w:val="00015FCC"/>
    <w:rsid w:val="00016B55"/>
    <w:rsid w:val="00017807"/>
    <w:rsid w:val="00017E52"/>
    <w:rsid w:val="00020BA1"/>
    <w:rsid w:val="00023C6A"/>
    <w:rsid w:val="00023F2D"/>
    <w:rsid w:val="0002520A"/>
    <w:rsid w:val="00025279"/>
    <w:rsid w:val="00026100"/>
    <w:rsid w:val="00026E97"/>
    <w:rsid w:val="00027E1D"/>
    <w:rsid w:val="000312B3"/>
    <w:rsid w:val="00031E9C"/>
    <w:rsid w:val="00032962"/>
    <w:rsid w:val="00033ACD"/>
    <w:rsid w:val="00034086"/>
    <w:rsid w:val="0003497A"/>
    <w:rsid w:val="00034A50"/>
    <w:rsid w:val="000361C9"/>
    <w:rsid w:val="000370B9"/>
    <w:rsid w:val="00041752"/>
    <w:rsid w:val="000419BF"/>
    <w:rsid w:val="000422C7"/>
    <w:rsid w:val="000461FD"/>
    <w:rsid w:val="000464C0"/>
    <w:rsid w:val="000500D2"/>
    <w:rsid w:val="00052D91"/>
    <w:rsid w:val="000534FF"/>
    <w:rsid w:val="0005585E"/>
    <w:rsid w:val="00055F0B"/>
    <w:rsid w:val="000565A1"/>
    <w:rsid w:val="00056DF4"/>
    <w:rsid w:val="000607E0"/>
    <w:rsid w:val="00060EE1"/>
    <w:rsid w:val="00061CA5"/>
    <w:rsid w:val="00061D71"/>
    <w:rsid w:val="00062499"/>
    <w:rsid w:val="00063A49"/>
    <w:rsid w:val="0006462A"/>
    <w:rsid w:val="000656C3"/>
    <w:rsid w:val="00065C48"/>
    <w:rsid w:val="0006609A"/>
    <w:rsid w:val="0006653E"/>
    <w:rsid w:val="0007499E"/>
    <w:rsid w:val="00074B01"/>
    <w:rsid w:val="00075657"/>
    <w:rsid w:val="00076012"/>
    <w:rsid w:val="00076D1B"/>
    <w:rsid w:val="00080A7E"/>
    <w:rsid w:val="00080F91"/>
    <w:rsid w:val="00081E36"/>
    <w:rsid w:val="000834F7"/>
    <w:rsid w:val="00085FBE"/>
    <w:rsid w:val="0008634C"/>
    <w:rsid w:val="000870AF"/>
    <w:rsid w:val="00090BA3"/>
    <w:rsid w:val="000926FA"/>
    <w:rsid w:val="000954B6"/>
    <w:rsid w:val="000A0BC0"/>
    <w:rsid w:val="000A0ED1"/>
    <w:rsid w:val="000A10E3"/>
    <w:rsid w:val="000A1AC7"/>
    <w:rsid w:val="000A1EFD"/>
    <w:rsid w:val="000B0B70"/>
    <w:rsid w:val="000B0F9C"/>
    <w:rsid w:val="000B1C48"/>
    <w:rsid w:val="000B4516"/>
    <w:rsid w:val="000B529E"/>
    <w:rsid w:val="000B6E39"/>
    <w:rsid w:val="000C018D"/>
    <w:rsid w:val="000C049D"/>
    <w:rsid w:val="000C06BC"/>
    <w:rsid w:val="000C1A40"/>
    <w:rsid w:val="000C3355"/>
    <w:rsid w:val="000D1899"/>
    <w:rsid w:val="000D395A"/>
    <w:rsid w:val="000D4078"/>
    <w:rsid w:val="000D56B2"/>
    <w:rsid w:val="000D7E28"/>
    <w:rsid w:val="000E1C37"/>
    <w:rsid w:val="000E208C"/>
    <w:rsid w:val="000E38A0"/>
    <w:rsid w:val="000E7E40"/>
    <w:rsid w:val="000F0931"/>
    <w:rsid w:val="000F6D42"/>
    <w:rsid w:val="000F713C"/>
    <w:rsid w:val="000F7B1D"/>
    <w:rsid w:val="001006FF"/>
    <w:rsid w:val="00100DA6"/>
    <w:rsid w:val="00101D20"/>
    <w:rsid w:val="00103A55"/>
    <w:rsid w:val="0010578A"/>
    <w:rsid w:val="001059CE"/>
    <w:rsid w:val="00105D50"/>
    <w:rsid w:val="00105DB9"/>
    <w:rsid w:val="001064EA"/>
    <w:rsid w:val="00106CF2"/>
    <w:rsid w:val="00110410"/>
    <w:rsid w:val="00114084"/>
    <w:rsid w:val="0012108D"/>
    <w:rsid w:val="0012134D"/>
    <w:rsid w:val="00123455"/>
    <w:rsid w:val="00123DF8"/>
    <w:rsid w:val="00124F73"/>
    <w:rsid w:val="00126001"/>
    <w:rsid w:val="00127094"/>
    <w:rsid w:val="00131401"/>
    <w:rsid w:val="00131529"/>
    <w:rsid w:val="00131CAB"/>
    <w:rsid w:val="00132B4E"/>
    <w:rsid w:val="00133532"/>
    <w:rsid w:val="00134B45"/>
    <w:rsid w:val="0013597E"/>
    <w:rsid w:val="00135B98"/>
    <w:rsid w:val="00140BCC"/>
    <w:rsid w:val="0014305A"/>
    <w:rsid w:val="0014396A"/>
    <w:rsid w:val="0014434D"/>
    <w:rsid w:val="00145699"/>
    <w:rsid w:val="001474B3"/>
    <w:rsid w:val="00147569"/>
    <w:rsid w:val="001517EA"/>
    <w:rsid w:val="00153429"/>
    <w:rsid w:val="001536BF"/>
    <w:rsid w:val="0015371B"/>
    <w:rsid w:val="0015442D"/>
    <w:rsid w:val="00154DCD"/>
    <w:rsid w:val="00154E5F"/>
    <w:rsid w:val="0015603A"/>
    <w:rsid w:val="00161D83"/>
    <w:rsid w:val="00162EE5"/>
    <w:rsid w:val="001632A5"/>
    <w:rsid w:val="0016655B"/>
    <w:rsid w:val="00166956"/>
    <w:rsid w:val="00166A6E"/>
    <w:rsid w:val="001735B8"/>
    <w:rsid w:val="00173BC2"/>
    <w:rsid w:val="00174E00"/>
    <w:rsid w:val="00175E54"/>
    <w:rsid w:val="00183DA2"/>
    <w:rsid w:val="00183F71"/>
    <w:rsid w:val="00184286"/>
    <w:rsid w:val="00186063"/>
    <w:rsid w:val="00186AB7"/>
    <w:rsid w:val="00187B4E"/>
    <w:rsid w:val="00190293"/>
    <w:rsid w:val="001915BC"/>
    <w:rsid w:val="00192CB0"/>
    <w:rsid w:val="001945F2"/>
    <w:rsid w:val="0019462E"/>
    <w:rsid w:val="0019533B"/>
    <w:rsid w:val="00196428"/>
    <w:rsid w:val="001A0877"/>
    <w:rsid w:val="001A16DC"/>
    <w:rsid w:val="001A42FB"/>
    <w:rsid w:val="001A477F"/>
    <w:rsid w:val="001A4985"/>
    <w:rsid w:val="001A4A98"/>
    <w:rsid w:val="001A6847"/>
    <w:rsid w:val="001B020B"/>
    <w:rsid w:val="001B1935"/>
    <w:rsid w:val="001B474C"/>
    <w:rsid w:val="001B7C87"/>
    <w:rsid w:val="001B7E63"/>
    <w:rsid w:val="001C0D02"/>
    <w:rsid w:val="001C12A0"/>
    <w:rsid w:val="001C31F8"/>
    <w:rsid w:val="001C35E1"/>
    <w:rsid w:val="001C379C"/>
    <w:rsid w:val="001C3B48"/>
    <w:rsid w:val="001C3F3C"/>
    <w:rsid w:val="001C42CB"/>
    <w:rsid w:val="001C5345"/>
    <w:rsid w:val="001C7BC9"/>
    <w:rsid w:val="001C7E5A"/>
    <w:rsid w:val="001D024D"/>
    <w:rsid w:val="001D0253"/>
    <w:rsid w:val="001D0281"/>
    <w:rsid w:val="001D4713"/>
    <w:rsid w:val="001D69AF"/>
    <w:rsid w:val="001E199E"/>
    <w:rsid w:val="001E1EA5"/>
    <w:rsid w:val="001E27E2"/>
    <w:rsid w:val="001E2BBF"/>
    <w:rsid w:val="001E3A60"/>
    <w:rsid w:val="001E6631"/>
    <w:rsid w:val="001E6FF1"/>
    <w:rsid w:val="001E751E"/>
    <w:rsid w:val="001F114C"/>
    <w:rsid w:val="001F29C1"/>
    <w:rsid w:val="001F3001"/>
    <w:rsid w:val="001F508A"/>
    <w:rsid w:val="001F5425"/>
    <w:rsid w:val="002039C7"/>
    <w:rsid w:val="00203BC2"/>
    <w:rsid w:val="00204BA6"/>
    <w:rsid w:val="002079BA"/>
    <w:rsid w:val="00210814"/>
    <w:rsid w:val="00210CA0"/>
    <w:rsid w:val="00210D41"/>
    <w:rsid w:val="002121F4"/>
    <w:rsid w:val="002137B4"/>
    <w:rsid w:val="00215232"/>
    <w:rsid w:val="002159DD"/>
    <w:rsid w:val="00216639"/>
    <w:rsid w:val="0022248C"/>
    <w:rsid w:val="00223DA7"/>
    <w:rsid w:val="00227614"/>
    <w:rsid w:val="00227A2E"/>
    <w:rsid w:val="00230397"/>
    <w:rsid w:val="002303F9"/>
    <w:rsid w:val="0023247F"/>
    <w:rsid w:val="002335CF"/>
    <w:rsid w:val="00233E82"/>
    <w:rsid w:val="00235D10"/>
    <w:rsid w:val="0023627E"/>
    <w:rsid w:val="00236D7A"/>
    <w:rsid w:val="00240590"/>
    <w:rsid w:val="002451DA"/>
    <w:rsid w:val="002473D8"/>
    <w:rsid w:val="0025044E"/>
    <w:rsid w:val="00250DC4"/>
    <w:rsid w:val="00251A93"/>
    <w:rsid w:val="00253AEF"/>
    <w:rsid w:val="00254044"/>
    <w:rsid w:val="00256F68"/>
    <w:rsid w:val="002605AA"/>
    <w:rsid w:val="00260CAE"/>
    <w:rsid w:val="00261D2D"/>
    <w:rsid w:val="00261E37"/>
    <w:rsid w:val="002660AC"/>
    <w:rsid w:val="00266D7D"/>
    <w:rsid w:val="00270CFC"/>
    <w:rsid w:val="002715BD"/>
    <w:rsid w:val="0027398A"/>
    <w:rsid w:val="002741C1"/>
    <w:rsid w:val="0027459D"/>
    <w:rsid w:val="0027512F"/>
    <w:rsid w:val="00275B22"/>
    <w:rsid w:val="00280B0F"/>
    <w:rsid w:val="002816F4"/>
    <w:rsid w:val="00283270"/>
    <w:rsid w:val="00283678"/>
    <w:rsid w:val="00283F6F"/>
    <w:rsid w:val="00284F72"/>
    <w:rsid w:val="002852F6"/>
    <w:rsid w:val="0028743B"/>
    <w:rsid w:val="00290C56"/>
    <w:rsid w:val="0029260D"/>
    <w:rsid w:val="00292844"/>
    <w:rsid w:val="00292D2D"/>
    <w:rsid w:val="00294D9E"/>
    <w:rsid w:val="002959EA"/>
    <w:rsid w:val="0029677A"/>
    <w:rsid w:val="002A0995"/>
    <w:rsid w:val="002A2FAF"/>
    <w:rsid w:val="002A5000"/>
    <w:rsid w:val="002A5FE0"/>
    <w:rsid w:val="002B1BFA"/>
    <w:rsid w:val="002B1FE4"/>
    <w:rsid w:val="002B248A"/>
    <w:rsid w:val="002B249F"/>
    <w:rsid w:val="002B2C51"/>
    <w:rsid w:val="002B2EF7"/>
    <w:rsid w:val="002B3FBF"/>
    <w:rsid w:val="002B456B"/>
    <w:rsid w:val="002B4D82"/>
    <w:rsid w:val="002B5A45"/>
    <w:rsid w:val="002B5DDE"/>
    <w:rsid w:val="002C1CEE"/>
    <w:rsid w:val="002C221F"/>
    <w:rsid w:val="002C36ED"/>
    <w:rsid w:val="002C4F1F"/>
    <w:rsid w:val="002C5036"/>
    <w:rsid w:val="002C5A76"/>
    <w:rsid w:val="002C6BF4"/>
    <w:rsid w:val="002D08D8"/>
    <w:rsid w:val="002D2EFA"/>
    <w:rsid w:val="002D3A67"/>
    <w:rsid w:val="002D4531"/>
    <w:rsid w:val="002D4E15"/>
    <w:rsid w:val="002D502E"/>
    <w:rsid w:val="002E074C"/>
    <w:rsid w:val="002E1AEE"/>
    <w:rsid w:val="002E2175"/>
    <w:rsid w:val="002E44E1"/>
    <w:rsid w:val="002E49B0"/>
    <w:rsid w:val="002E5595"/>
    <w:rsid w:val="002E6671"/>
    <w:rsid w:val="002F06B6"/>
    <w:rsid w:val="002F0D5E"/>
    <w:rsid w:val="002F1869"/>
    <w:rsid w:val="002F3963"/>
    <w:rsid w:val="002F39BB"/>
    <w:rsid w:val="00300E88"/>
    <w:rsid w:val="00301363"/>
    <w:rsid w:val="00301D4C"/>
    <w:rsid w:val="00303338"/>
    <w:rsid w:val="003039F8"/>
    <w:rsid w:val="0030639B"/>
    <w:rsid w:val="003071C0"/>
    <w:rsid w:val="00310097"/>
    <w:rsid w:val="00312092"/>
    <w:rsid w:val="00313D70"/>
    <w:rsid w:val="0031425E"/>
    <w:rsid w:val="0031616D"/>
    <w:rsid w:val="00316A3F"/>
    <w:rsid w:val="00322244"/>
    <w:rsid w:val="00323833"/>
    <w:rsid w:val="0032408B"/>
    <w:rsid w:val="003240B6"/>
    <w:rsid w:val="00325AD3"/>
    <w:rsid w:val="003261B2"/>
    <w:rsid w:val="003276DD"/>
    <w:rsid w:val="00327792"/>
    <w:rsid w:val="00327EF1"/>
    <w:rsid w:val="00332286"/>
    <w:rsid w:val="00332591"/>
    <w:rsid w:val="003335F3"/>
    <w:rsid w:val="0033521E"/>
    <w:rsid w:val="0033537A"/>
    <w:rsid w:val="00337AA5"/>
    <w:rsid w:val="00340847"/>
    <w:rsid w:val="0034194B"/>
    <w:rsid w:val="00341B85"/>
    <w:rsid w:val="003427D3"/>
    <w:rsid w:val="00342D39"/>
    <w:rsid w:val="0034341A"/>
    <w:rsid w:val="00343664"/>
    <w:rsid w:val="003444D5"/>
    <w:rsid w:val="00344A14"/>
    <w:rsid w:val="00344E2F"/>
    <w:rsid w:val="003453CF"/>
    <w:rsid w:val="003457E2"/>
    <w:rsid w:val="00345E72"/>
    <w:rsid w:val="0035118A"/>
    <w:rsid w:val="003555BC"/>
    <w:rsid w:val="00355937"/>
    <w:rsid w:val="00355E55"/>
    <w:rsid w:val="00357A76"/>
    <w:rsid w:val="0036023C"/>
    <w:rsid w:val="00360497"/>
    <w:rsid w:val="0036139C"/>
    <w:rsid w:val="00361845"/>
    <w:rsid w:val="003631E3"/>
    <w:rsid w:val="003634AD"/>
    <w:rsid w:val="003658A4"/>
    <w:rsid w:val="003712BE"/>
    <w:rsid w:val="003713FE"/>
    <w:rsid w:val="00371F65"/>
    <w:rsid w:val="00373E6C"/>
    <w:rsid w:val="0037405D"/>
    <w:rsid w:val="00374EE1"/>
    <w:rsid w:val="003753EF"/>
    <w:rsid w:val="003758CE"/>
    <w:rsid w:val="00375E40"/>
    <w:rsid w:val="00376F9D"/>
    <w:rsid w:val="003817C6"/>
    <w:rsid w:val="003822CC"/>
    <w:rsid w:val="00387240"/>
    <w:rsid w:val="00392861"/>
    <w:rsid w:val="00393BB8"/>
    <w:rsid w:val="00395635"/>
    <w:rsid w:val="00395820"/>
    <w:rsid w:val="003A15EB"/>
    <w:rsid w:val="003A186C"/>
    <w:rsid w:val="003A3F57"/>
    <w:rsid w:val="003B08E0"/>
    <w:rsid w:val="003B0CA1"/>
    <w:rsid w:val="003B2618"/>
    <w:rsid w:val="003B2725"/>
    <w:rsid w:val="003B36A9"/>
    <w:rsid w:val="003B3A42"/>
    <w:rsid w:val="003B40F4"/>
    <w:rsid w:val="003B4FFD"/>
    <w:rsid w:val="003B53D3"/>
    <w:rsid w:val="003C0106"/>
    <w:rsid w:val="003C17CF"/>
    <w:rsid w:val="003C1F8E"/>
    <w:rsid w:val="003C3A1D"/>
    <w:rsid w:val="003C6BEC"/>
    <w:rsid w:val="003C6C2A"/>
    <w:rsid w:val="003D0D92"/>
    <w:rsid w:val="003D212F"/>
    <w:rsid w:val="003D2907"/>
    <w:rsid w:val="003D329D"/>
    <w:rsid w:val="003D3C26"/>
    <w:rsid w:val="003D3F36"/>
    <w:rsid w:val="003D4E3D"/>
    <w:rsid w:val="003D4ED4"/>
    <w:rsid w:val="003D584A"/>
    <w:rsid w:val="003D6E53"/>
    <w:rsid w:val="003D6E63"/>
    <w:rsid w:val="003E1649"/>
    <w:rsid w:val="003E21E1"/>
    <w:rsid w:val="003E26E3"/>
    <w:rsid w:val="003E2C1F"/>
    <w:rsid w:val="003E2CA9"/>
    <w:rsid w:val="003E3ABC"/>
    <w:rsid w:val="003E6B8B"/>
    <w:rsid w:val="003E7BAF"/>
    <w:rsid w:val="003F1786"/>
    <w:rsid w:val="003F1CA5"/>
    <w:rsid w:val="003F337E"/>
    <w:rsid w:val="003F4BF9"/>
    <w:rsid w:val="003F6398"/>
    <w:rsid w:val="003F7492"/>
    <w:rsid w:val="003F77C2"/>
    <w:rsid w:val="003F7D2D"/>
    <w:rsid w:val="00400A17"/>
    <w:rsid w:val="00400B49"/>
    <w:rsid w:val="00401435"/>
    <w:rsid w:val="00401D19"/>
    <w:rsid w:val="004024CF"/>
    <w:rsid w:val="00404B4A"/>
    <w:rsid w:val="00404DB8"/>
    <w:rsid w:val="00405D6B"/>
    <w:rsid w:val="004063CA"/>
    <w:rsid w:val="00407E99"/>
    <w:rsid w:val="00410B9F"/>
    <w:rsid w:val="00410CD3"/>
    <w:rsid w:val="00411797"/>
    <w:rsid w:val="00413AD2"/>
    <w:rsid w:val="004148F0"/>
    <w:rsid w:val="00416E7B"/>
    <w:rsid w:val="004170DB"/>
    <w:rsid w:val="00420607"/>
    <w:rsid w:val="00421C6C"/>
    <w:rsid w:val="00421DD3"/>
    <w:rsid w:val="00421E32"/>
    <w:rsid w:val="00422650"/>
    <w:rsid w:val="00423882"/>
    <w:rsid w:val="00423CDD"/>
    <w:rsid w:val="004251BF"/>
    <w:rsid w:val="00425B7A"/>
    <w:rsid w:val="00426879"/>
    <w:rsid w:val="00430773"/>
    <w:rsid w:val="00430C45"/>
    <w:rsid w:val="00441231"/>
    <w:rsid w:val="00441C98"/>
    <w:rsid w:val="0044273D"/>
    <w:rsid w:val="00444463"/>
    <w:rsid w:val="00445425"/>
    <w:rsid w:val="004462F0"/>
    <w:rsid w:val="00446E5E"/>
    <w:rsid w:val="00447025"/>
    <w:rsid w:val="0044770D"/>
    <w:rsid w:val="00447EBC"/>
    <w:rsid w:val="004501F8"/>
    <w:rsid w:val="00451BC5"/>
    <w:rsid w:val="004525FE"/>
    <w:rsid w:val="00454CAF"/>
    <w:rsid w:val="00455889"/>
    <w:rsid w:val="004565AC"/>
    <w:rsid w:val="0045663F"/>
    <w:rsid w:val="00456972"/>
    <w:rsid w:val="004572E1"/>
    <w:rsid w:val="00457E81"/>
    <w:rsid w:val="00461F36"/>
    <w:rsid w:val="004626AF"/>
    <w:rsid w:val="00462B71"/>
    <w:rsid w:val="00463455"/>
    <w:rsid w:val="00465388"/>
    <w:rsid w:val="00465D71"/>
    <w:rsid w:val="00467A4A"/>
    <w:rsid w:val="004713D9"/>
    <w:rsid w:val="00471495"/>
    <w:rsid w:val="004729B4"/>
    <w:rsid w:val="00472D7E"/>
    <w:rsid w:val="0047417B"/>
    <w:rsid w:val="004763AB"/>
    <w:rsid w:val="00476EA0"/>
    <w:rsid w:val="00477D4B"/>
    <w:rsid w:val="00480383"/>
    <w:rsid w:val="0048104D"/>
    <w:rsid w:val="00481F9D"/>
    <w:rsid w:val="00484490"/>
    <w:rsid w:val="00485497"/>
    <w:rsid w:val="00487196"/>
    <w:rsid w:val="004876C5"/>
    <w:rsid w:val="00490544"/>
    <w:rsid w:val="0049098D"/>
    <w:rsid w:val="00490F4B"/>
    <w:rsid w:val="00490FAA"/>
    <w:rsid w:val="004931C6"/>
    <w:rsid w:val="004948E4"/>
    <w:rsid w:val="004954AE"/>
    <w:rsid w:val="00495EF5"/>
    <w:rsid w:val="00496215"/>
    <w:rsid w:val="004973B6"/>
    <w:rsid w:val="004A0A37"/>
    <w:rsid w:val="004A28A8"/>
    <w:rsid w:val="004A3FA5"/>
    <w:rsid w:val="004A57E5"/>
    <w:rsid w:val="004A7452"/>
    <w:rsid w:val="004A7990"/>
    <w:rsid w:val="004B052D"/>
    <w:rsid w:val="004B5C46"/>
    <w:rsid w:val="004B71F0"/>
    <w:rsid w:val="004C01BA"/>
    <w:rsid w:val="004C0B67"/>
    <w:rsid w:val="004C1BCB"/>
    <w:rsid w:val="004C2E6D"/>
    <w:rsid w:val="004C49E5"/>
    <w:rsid w:val="004C4E08"/>
    <w:rsid w:val="004C620C"/>
    <w:rsid w:val="004C6D01"/>
    <w:rsid w:val="004C6F81"/>
    <w:rsid w:val="004C736B"/>
    <w:rsid w:val="004C7418"/>
    <w:rsid w:val="004D0FA0"/>
    <w:rsid w:val="004D1A50"/>
    <w:rsid w:val="004D1D7D"/>
    <w:rsid w:val="004D1FC9"/>
    <w:rsid w:val="004E1CD3"/>
    <w:rsid w:val="004E2603"/>
    <w:rsid w:val="004E2CCB"/>
    <w:rsid w:val="004E30A9"/>
    <w:rsid w:val="004E3489"/>
    <w:rsid w:val="004E35B2"/>
    <w:rsid w:val="004E7B50"/>
    <w:rsid w:val="004F0C2C"/>
    <w:rsid w:val="004F26A2"/>
    <w:rsid w:val="004F2A5D"/>
    <w:rsid w:val="004F4177"/>
    <w:rsid w:val="004F4BDF"/>
    <w:rsid w:val="004F62A5"/>
    <w:rsid w:val="00501054"/>
    <w:rsid w:val="005018D3"/>
    <w:rsid w:val="005044B8"/>
    <w:rsid w:val="0050472F"/>
    <w:rsid w:val="00504A0F"/>
    <w:rsid w:val="00506350"/>
    <w:rsid w:val="0050702D"/>
    <w:rsid w:val="00511813"/>
    <w:rsid w:val="00513559"/>
    <w:rsid w:val="005137AA"/>
    <w:rsid w:val="00515813"/>
    <w:rsid w:val="00517AE9"/>
    <w:rsid w:val="00520674"/>
    <w:rsid w:val="00522388"/>
    <w:rsid w:val="00522BAA"/>
    <w:rsid w:val="00524F4E"/>
    <w:rsid w:val="00525DDB"/>
    <w:rsid w:val="00525E90"/>
    <w:rsid w:val="005261CC"/>
    <w:rsid w:val="005263D0"/>
    <w:rsid w:val="005267AF"/>
    <w:rsid w:val="00531057"/>
    <w:rsid w:val="00531368"/>
    <w:rsid w:val="00532FD8"/>
    <w:rsid w:val="005338FD"/>
    <w:rsid w:val="005372BA"/>
    <w:rsid w:val="005377C3"/>
    <w:rsid w:val="0054030E"/>
    <w:rsid w:val="00543A95"/>
    <w:rsid w:val="00544315"/>
    <w:rsid w:val="0054509B"/>
    <w:rsid w:val="005453ED"/>
    <w:rsid w:val="0054577A"/>
    <w:rsid w:val="005460C1"/>
    <w:rsid w:val="0054647C"/>
    <w:rsid w:val="0055011C"/>
    <w:rsid w:val="005505D0"/>
    <w:rsid w:val="00550E7F"/>
    <w:rsid w:val="0055179B"/>
    <w:rsid w:val="00553EE5"/>
    <w:rsid w:val="0055519B"/>
    <w:rsid w:val="0055542A"/>
    <w:rsid w:val="005557DD"/>
    <w:rsid w:val="00556665"/>
    <w:rsid w:val="005647E3"/>
    <w:rsid w:val="0056482B"/>
    <w:rsid w:val="005660C7"/>
    <w:rsid w:val="005660DB"/>
    <w:rsid w:val="00566219"/>
    <w:rsid w:val="0056710D"/>
    <w:rsid w:val="00567642"/>
    <w:rsid w:val="00567EBF"/>
    <w:rsid w:val="00571F7F"/>
    <w:rsid w:val="00572E8D"/>
    <w:rsid w:val="00574294"/>
    <w:rsid w:val="005748F4"/>
    <w:rsid w:val="00574FF5"/>
    <w:rsid w:val="0057516C"/>
    <w:rsid w:val="00575A91"/>
    <w:rsid w:val="00576628"/>
    <w:rsid w:val="00576B33"/>
    <w:rsid w:val="005803A2"/>
    <w:rsid w:val="00581FC6"/>
    <w:rsid w:val="00582E41"/>
    <w:rsid w:val="005849CB"/>
    <w:rsid w:val="005851D0"/>
    <w:rsid w:val="0058785F"/>
    <w:rsid w:val="00590AAE"/>
    <w:rsid w:val="005918CF"/>
    <w:rsid w:val="005935F5"/>
    <w:rsid w:val="00593825"/>
    <w:rsid w:val="00594E78"/>
    <w:rsid w:val="00595CE5"/>
    <w:rsid w:val="00595E4A"/>
    <w:rsid w:val="005A033C"/>
    <w:rsid w:val="005A1AB3"/>
    <w:rsid w:val="005A2394"/>
    <w:rsid w:val="005A2644"/>
    <w:rsid w:val="005A26AD"/>
    <w:rsid w:val="005A3FB4"/>
    <w:rsid w:val="005A41B2"/>
    <w:rsid w:val="005A481D"/>
    <w:rsid w:val="005A5163"/>
    <w:rsid w:val="005A66B6"/>
    <w:rsid w:val="005A7017"/>
    <w:rsid w:val="005B0ADB"/>
    <w:rsid w:val="005B16A8"/>
    <w:rsid w:val="005B1951"/>
    <w:rsid w:val="005B24A7"/>
    <w:rsid w:val="005B27AE"/>
    <w:rsid w:val="005B349A"/>
    <w:rsid w:val="005B3DF7"/>
    <w:rsid w:val="005B46CB"/>
    <w:rsid w:val="005B58BD"/>
    <w:rsid w:val="005B603B"/>
    <w:rsid w:val="005B60FF"/>
    <w:rsid w:val="005B712F"/>
    <w:rsid w:val="005B79A5"/>
    <w:rsid w:val="005B7A83"/>
    <w:rsid w:val="005C056A"/>
    <w:rsid w:val="005C3449"/>
    <w:rsid w:val="005C420F"/>
    <w:rsid w:val="005C54D4"/>
    <w:rsid w:val="005C6E16"/>
    <w:rsid w:val="005C706D"/>
    <w:rsid w:val="005C7BF8"/>
    <w:rsid w:val="005D0387"/>
    <w:rsid w:val="005D0425"/>
    <w:rsid w:val="005D1CD4"/>
    <w:rsid w:val="005D1D27"/>
    <w:rsid w:val="005D25DD"/>
    <w:rsid w:val="005D3A03"/>
    <w:rsid w:val="005D3B80"/>
    <w:rsid w:val="005D3F75"/>
    <w:rsid w:val="005D6AB3"/>
    <w:rsid w:val="005D6D46"/>
    <w:rsid w:val="005D6E69"/>
    <w:rsid w:val="005D7E0C"/>
    <w:rsid w:val="005E1353"/>
    <w:rsid w:val="005E27CD"/>
    <w:rsid w:val="005F0825"/>
    <w:rsid w:val="005F0EEF"/>
    <w:rsid w:val="005F2045"/>
    <w:rsid w:val="005F5748"/>
    <w:rsid w:val="005F7584"/>
    <w:rsid w:val="005F7BE5"/>
    <w:rsid w:val="005F7FE5"/>
    <w:rsid w:val="0060212D"/>
    <w:rsid w:val="0060256E"/>
    <w:rsid w:val="006038B6"/>
    <w:rsid w:val="00603DF4"/>
    <w:rsid w:val="0060493D"/>
    <w:rsid w:val="006053AA"/>
    <w:rsid w:val="006064FE"/>
    <w:rsid w:val="0060679D"/>
    <w:rsid w:val="006077F3"/>
    <w:rsid w:val="0061119E"/>
    <w:rsid w:val="00613DD4"/>
    <w:rsid w:val="00614091"/>
    <w:rsid w:val="00615E9A"/>
    <w:rsid w:val="0061618B"/>
    <w:rsid w:val="00616573"/>
    <w:rsid w:val="006167D9"/>
    <w:rsid w:val="00620935"/>
    <w:rsid w:val="00620981"/>
    <w:rsid w:val="00621B3B"/>
    <w:rsid w:val="006246AC"/>
    <w:rsid w:val="006258CA"/>
    <w:rsid w:val="006273ED"/>
    <w:rsid w:val="0062758E"/>
    <w:rsid w:val="00630CCF"/>
    <w:rsid w:val="00631088"/>
    <w:rsid w:val="00631F72"/>
    <w:rsid w:val="00632471"/>
    <w:rsid w:val="006329A2"/>
    <w:rsid w:val="00634202"/>
    <w:rsid w:val="00637E50"/>
    <w:rsid w:val="0064233E"/>
    <w:rsid w:val="006424D4"/>
    <w:rsid w:val="00645401"/>
    <w:rsid w:val="006459CD"/>
    <w:rsid w:val="00645A28"/>
    <w:rsid w:val="00651D24"/>
    <w:rsid w:val="00652B87"/>
    <w:rsid w:val="00652DB0"/>
    <w:rsid w:val="006531F0"/>
    <w:rsid w:val="006534A2"/>
    <w:rsid w:val="006536F5"/>
    <w:rsid w:val="00653A65"/>
    <w:rsid w:val="00654A4B"/>
    <w:rsid w:val="00655C02"/>
    <w:rsid w:val="00661151"/>
    <w:rsid w:val="00662903"/>
    <w:rsid w:val="00662EBA"/>
    <w:rsid w:val="00663F0B"/>
    <w:rsid w:val="0066531C"/>
    <w:rsid w:val="0066590A"/>
    <w:rsid w:val="0066666D"/>
    <w:rsid w:val="00667CE4"/>
    <w:rsid w:val="0067007F"/>
    <w:rsid w:val="00670BBD"/>
    <w:rsid w:val="00670D91"/>
    <w:rsid w:val="00670FDB"/>
    <w:rsid w:val="006713BC"/>
    <w:rsid w:val="006714FE"/>
    <w:rsid w:val="0067278B"/>
    <w:rsid w:val="00675DCC"/>
    <w:rsid w:val="00677AA2"/>
    <w:rsid w:val="00677B11"/>
    <w:rsid w:val="00682B9B"/>
    <w:rsid w:val="00682D83"/>
    <w:rsid w:val="006833B9"/>
    <w:rsid w:val="006836CC"/>
    <w:rsid w:val="00684FD7"/>
    <w:rsid w:val="006854BC"/>
    <w:rsid w:val="00687343"/>
    <w:rsid w:val="006875E3"/>
    <w:rsid w:val="00690B93"/>
    <w:rsid w:val="0069336D"/>
    <w:rsid w:val="0069421F"/>
    <w:rsid w:val="00694923"/>
    <w:rsid w:val="0069618F"/>
    <w:rsid w:val="0069722B"/>
    <w:rsid w:val="00697AF6"/>
    <w:rsid w:val="00697DB0"/>
    <w:rsid w:val="006A0673"/>
    <w:rsid w:val="006A1768"/>
    <w:rsid w:val="006A2561"/>
    <w:rsid w:val="006A736C"/>
    <w:rsid w:val="006B11A7"/>
    <w:rsid w:val="006B1480"/>
    <w:rsid w:val="006B24C3"/>
    <w:rsid w:val="006B2552"/>
    <w:rsid w:val="006B25E7"/>
    <w:rsid w:val="006B2862"/>
    <w:rsid w:val="006B5EB0"/>
    <w:rsid w:val="006B75B4"/>
    <w:rsid w:val="006C03AF"/>
    <w:rsid w:val="006C040B"/>
    <w:rsid w:val="006C10E0"/>
    <w:rsid w:val="006C19C2"/>
    <w:rsid w:val="006C22ED"/>
    <w:rsid w:val="006C4291"/>
    <w:rsid w:val="006C7009"/>
    <w:rsid w:val="006C7167"/>
    <w:rsid w:val="006D1051"/>
    <w:rsid w:val="006D1233"/>
    <w:rsid w:val="006D2BBD"/>
    <w:rsid w:val="006D415C"/>
    <w:rsid w:val="006D4702"/>
    <w:rsid w:val="006D581E"/>
    <w:rsid w:val="006D7386"/>
    <w:rsid w:val="006D75E7"/>
    <w:rsid w:val="006E054E"/>
    <w:rsid w:val="006E0CE6"/>
    <w:rsid w:val="006E0E5C"/>
    <w:rsid w:val="006E1798"/>
    <w:rsid w:val="006E235B"/>
    <w:rsid w:val="006E2BD0"/>
    <w:rsid w:val="006E2D1D"/>
    <w:rsid w:val="006F0C73"/>
    <w:rsid w:val="006F4D88"/>
    <w:rsid w:val="006F56A8"/>
    <w:rsid w:val="006F672C"/>
    <w:rsid w:val="006F709E"/>
    <w:rsid w:val="00700AB3"/>
    <w:rsid w:val="00701958"/>
    <w:rsid w:val="00701B3F"/>
    <w:rsid w:val="007025FA"/>
    <w:rsid w:val="00702BAE"/>
    <w:rsid w:val="00702CE3"/>
    <w:rsid w:val="007035B8"/>
    <w:rsid w:val="0070400E"/>
    <w:rsid w:val="00704012"/>
    <w:rsid w:val="00704558"/>
    <w:rsid w:val="00704673"/>
    <w:rsid w:val="00706D2C"/>
    <w:rsid w:val="007072BE"/>
    <w:rsid w:val="00707DCB"/>
    <w:rsid w:val="0071081A"/>
    <w:rsid w:val="00710B79"/>
    <w:rsid w:val="00711E37"/>
    <w:rsid w:val="00717652"/>
    <w:rsid w:val="0072016E"/>
    <w:rsid w:val="00722CC3"/>
    <w:rsid w:val="007242E6"/>
    <w:rsid w:val="00724385"/>
    <w:rsid w:val="00724542"/>
    <w:rsid w:val="0072514B"/>
    <w:rsid w:val="00725696"/>
    <w:rsid w:val="0072709C"/>
    <w:rsid w:val="00730995"/>
    <w:rsid w:val="00732633"/>
    <w:rsid w:val="007331D8"/>
    <w:rsid w:val="0073367F"/>
    <w:rsid w:val="00734F3C"/>
    <w:rsid w:val="00735486"/>
    <w:rsid w:val="00736A62"/>
    <w:rsid w:val="0073760A"/>
    <w:rsid w:val="0074076B"/>
    <w:rsid w:val="00741628"/>
    <w:rsid w:val="00741D6B"/>
    <w:rsid w:val="0074258C"/>
    <w:rsid w:val="0074277F"/>
    <w:rsid w:val="00742E58"/>
    <w:rsid w:val="007445A7"/>
    <w:rsid w:val="0074479D"/>
    <w:rsid w:val="00746E6F"/>
    <w:rsid w:val="0074778E"/>
    <w:rsid w:val="007512AB"/>
    <w:rsid w:val="00752074"/>
    <w:rsid w:val="00753582"/>
    <w:rsid w:val="00753CC7"/>
    <w:rsid w:val="00755F97"/>
    <w:rsid w:val="00756C78"/>
    <w:rsid w:val="00756D54"/>
    <w:rsid w:val="007601FF"/>
    <w:rsid w:val="00761B8A"/>
    <w:rsid w:val="00764494"/>
    <w:rsid w:val="00764E04"/>
    <w:rsid w:val="00765D9C"/>
    <w:rsid w:val="00767AC8"/>
    <w:rsid w:val="0077098D"/>
    <w:rsid w:val="007758D5"/>
    <w:rsid w:val="00780D0C"/>
    <w:rsid w:val="00783D29"/>
    <w:rsid w:val="00785693"/>
    <w:rsid w:val="00786209"/>
    <w:rsid w:val="007864AB"/>
    <w:rsid w:val="00786BC8"/>
    <w:rsid w:val="00787C7E"/>
    <w:rsid w:val="00790315"/>
    <w:rsid w:val="0079092F"/>
    <w:rsid w:val="00791071"/>
    <w:rsid w:val="0079109D"/>
    <w:rsid w:val="007912D3"/>
    <w:rsid w:val="00791319"/>
    <w:rsid w:val="0079164C"/>
    <w:rsid w:val="007925AF"/>
    <w:rsid w:val="00792BBF"/>
    <w:rsid w:val="00793748"/>
    <w:rsid w:val="00796BD6"/>
    <w:rsid w:val="0079719D"/>
    <w:rsid w:val="007978B1"/>
    <w:rsid w:val="007A0B1A"/>
    <w:rsid w:val="007A20A7"/>
    <w:rsid w:val="007A21A4"/>
    <w:rsid w:val="007A2D7E"/>
    <w:rsid w:val="007A335D"/>
    <w:rsid w:val="007A4744"/>
    <w:rsid w:val="007A5FC9"/>
    <w:rsid w:val="007A73CA"/>
    <w:rsid w:val="007B0264"/>
    <w:rsid w:val="007B11BF"/>
    <w:rsid w:val="007B1F18"/>
    <w:rsid w:val="007B20DD"/>
    <w:rsid w:val="007B2146"/>
    <w:rsid w:val="007B3697"/>
    <w:rsid w:val="007B36AA"/>
    <w:rsid w:val="007B3FB8"/>
    <w:rsid w:val="007B70E0"/>
    <w:rsid w:val="007C1A8D"/>
    <w:rsid w:val="007C21F1"/>
    <w:rsid w:val="007C5861"/>
    <w:rsid w:val="007C60D0"/>
    <w:rsid w:val="007C6684"/>
    <w:rsid w:val="007C7099"/>
    <w:rsid w:val="007C75DE"/>
    <w:rsid w:val="007D180A"/>
    <w:rsid w:val="007D34ED"/>
    <w:rsid w:val="007D4192"/>
    <w:rsid w:val="007D4292"/>
    <w:rsid w:val="007D781B"/>
    <w:rsid w:val="007D78F4"/>
    <w:rsid w:val="007E17DF"/>
    <w:rsid w:val="007E1DFF"/>
    <w:rsid w:val="007E4D87"/>
    <w:rsid w:val="007E745C"/>
    <w:rsid w:val="007E7ECE"/>
    <w:rsid w:val="007F0273"/>
    <w:rsid w:val="007F11D1"/>
    <w:rsid w:val="007F227D"/>
    <w:rsid w:val="007F2677"/>
    <w:rsid w:val="007F3625"/>
    <w:rsid w:val="007F367D"/>
    <w:rsid w:val="007F4678"/>
    <w:rsid w:val="007F5765"/>
    <w:rsid w:val="007F5B92"/>
    <w:rsid w:val="007F6871"/>
    <w:rsid w:val="007F77B4"/>
    <w:rsid w:val="007F7FCB"/>
    <w:rsid w:val="00801077"/>
    <w:rsid w:val="00801DB6"/>
    <w:rsid w:val="00804ACB"/>
    <w:rsid w:val="00806168"/>
    <w:rsid w:val="0080745A"/>
    <w:rsid w:val="00807B9B"/>
    <w:rsid w:val="00810AC9"/>
    <w:rsid w:val="00812700"/>
    <w:rsid w:val="00814176"/>
    <w:rsid w:val="0081497E"/>
    <w:rsid w:val="008159B8"/>
    <w:rsid w:val="00815A34"/>
    <w:rsid w:val="00815D89"/>
    <w:rsid w:val="0081689D"/>
    <w:rsid w:val="00817262"/>
    <w:rsid w:val="0081790B"/>
    <w:rsid w:val="00817D25"/>
    <w:rsid w:val="00820D41"/>
    <w:rsid w:val="00820D9A"/>
    <w:rsid w:val="0082179A"/>
    <w:rsid w:val="008231A4"/>
    <w:rsid w:val="0082537F"/>
    <w:rsid w:val="00825CBE"/>
    <w:rsid w:val="0082709E"/>
    <w:rsid w:val="008279E9"/>
    <w:rsid w:val="0083016D"/>
    <w:rsid w:val="00830725"/>
    <w:rsid w:val="00831267"/>
    <w:rsid w:val="00835EBA"/>
    <w:rsid w:val="008360EC"/>
    <w:rsid w:val="00841336"/>
    <w:rsid w:val="00841D3C"/>
    <w:rsid w:val="008432A3"/>
    <w:rsid w:val="008432F8"/>
    <w:rsid w:val="0084434E"/>
    <w:rsid w:val="00845E60"/>
    <w:rsid w:val="00846355"/>
    <w:rsid w:val="008470EB"/>
    <w:rsid w:val="0085068A"/>
    <w:rsid w:val="00852287"/>
    <w:rsid w:val="008551F8"/>
    <w:rsid w:val="00856F0D"/>
    <w:rsid w:val="00857E40"/>
    <w:rsid w:val="00860FBA"/>
    <w:rsid w:val="00862B43"/>
    <w:rsid w:val="00862B9C"/>
    <w:rsid w:val="00863F05"/>
    <w:rsid w:val="00864857"/>
    <w:rsid w:val="00865163"/>
    <w:rsid w:val="008661CA"/>
    <w:rsid w:val="00866E0D"/>
    <w:rsid w:val="0086773A"/>
    <w:rsid w:val="00870B4D"/>
    <w:rsid w:val="00871691"/>
    <w:rsid w:val="008777A1"/>
    <w:rsid w:val="0088002D"/>
    <w:rsid w:val="008831EF"/>
    <w:rsid w:val="008858B9"/>
    <w:rsid w:val="00886D36"/>
    <w:rsid w:val="00886DF8"/>
    <w:rsid w:val="00886FBB"/>
    <w:rsid w:val="00887397"/>
    <w:rsid w:val="008906DF"/>
    <w:rsid w:val="00890B76"/>
    <w:rsid w:val="00890B78"/>
    <w:rsid w:val="00890CE7"/>
    <w:rsid w:val="008919A2"/>
    <w:rsid w:val="00892426"/>
    <w:rsid w:val="00892AC0"/>
    <w:rsid w:val="00893ACA"/>
    <w:rsid w:val="00893AFB"/>
    <w:rsid w:val="00893BCF"/>
    <w:rsid w:val="00896F22"/>
    <w:rsid w:val="008A00B7"/>
    <w:rsid w:val="008A0778"/>
    <w:rsid w:val="008A530F"/>
    <w:rsid w:val="008A61B0"/>
    <w:rsid w:val="008B1084"/>
    <w:rsid w:val="008B2B93"/>
    <w:rsid w:val="008B2CEE"/>
    <w:rsid w:val="008B434A"/>
    <w:rsid w:val="008B475C"/>
    <w:rsid w:val="008B6F7A"/>
    <w:rsid w:val="008B7987"/>
    <w:rsid w:val="008B7B0E"/>
    <w:rsid w:val="008B7E9B"/>
    <w:rsid w:val="008C0349"/>
    <w:rsid w:val="008C0C90"/>
    <w:rsid w:val="008C1356"/>
    <w:rsid w:val="008C3E65"/>
    <w:rsid w:val="008C5947"/>
    <w:rsid w:val="008C5C7E"/>
    <w:rsid w:val="008D0820"/>
    <w:rsid w:val="008D16D7"/>
    <w:rsid w:val="008D1B21"/>
    <w:rsid w:val="008D38F5"/>
    <w:rsid w:val="008D3CF1"/>
    <w:rsid w:val="008D4BE2"/>
    <w:rsid w:val="008D568A"/>
    <w:rsid w:val="008D61A0"/>
    <w:rsid w:val="008D67C8"/>
    <w:rsid w:val="008D6834"/>
    <w:rsid w:val="008D7CEA"/>
    <w:rsid w:val="008E1391"/>
    <w:rsid w:val="008E2815"/>
    <w:rsid w:val="008E2DD6"/>
    <w:rsid w:val="008E3E2C"/>
    <w:rsid w:val="008E4717"/>
    <w:rsid w:val="008E48DB"/>
    <w:rsid w:val="008E5957"/>
    <w:rsid w:val="008E608F"/>
    <w:rsid w:val="008E7043"/>
    <w:rsid w:val="008F05DA"/>
    <w:rsid w:val="008F0D05"/>
    <w:rsid w:val="008F1015"/>
    <w:rsid w:val="008F10AC"/>
    <w:rsid w:val="008F204D"/>
    <w:rsid w:val="008F20BD"/>
    <w:rsid w:val="008F27C6"/>
    <w:rsid w:val="008F2C2F"/>
    <w:rsid w:val="008F2DBD"/>
    <w:rsid w:val="008F3380"/>
    <w:rsid w:val="008F338B"/>
    <w:rsid w:val="008F4D6D"/>
    <w:rsid w:val="008F60D9"/>
    <w:rsid w:val="008F6C52"/>
    <w:rsid w:val="00900B4A"/>
    <w:rsid w:val="0090196A"/>
    <w:rsid w:val="00903897"/>
    <w:rsid w:val="00903C32"/>
    <w:rsid w:val="00906199"/>
    <w:rsid w:val="009070EB"/>
    <w:rsid w:val="009074F5"/>
    <w:rsid w:val="00910074"/>
    <w:rsid w:val="0091109A"/>
    <w:rsid w:val="009134D2"/>
    <w:rsid w:val="0091372F"/>
    <w:rsid w:val="00914CA6"/>
    <w:rsid w:val="00915CCB"/>
    <w:rsid w:val="00917409"/>
    <w:rsid w:val="0091793D"/>
    <w:rsid w:val="009202BC"/>
    <w:rsid w:val="00920859"/>
    <w:rsid w:val="00923C30"/>
    <w:rsid w:val="00924070"/>
    <w:rsid w:val="00924692"/>
    <w:rsid w:val="009272B7"/>
    <w:rsid w:val="00931E1F"/>
    <w:rsid w:val="00932ABC"/>
    <w:rsid w:val="00933185"/>
    <w:rsid w:val="00934D25"/>
    <w:rsid w:val="00935049"/>
    <w:rsid w:val="00936953"/>
    <w:rsid w:val="00937121"/>
    <w:rsid w:val="009400B9"/>
    <w:rsid w:val="00940DDB"/>
    <w:rsid w:val="00944349"/>
    <w:rsid w:val="009473C3"/>
    <w:rsid w:val="00947869"/>
    <w:rsid w:val="00950FA9"/>
    <w:rsid w:val="009523AB"/>
    <w:rsid w:val="0095258C"/>
    <w:rsid w:val="00952865"/>
    <w:rsid w:val="00954C35"/>
    <w:rsid w:val="0095515C"/>
    <w:rsid w:val="009552DE"/>
    <w:rsid w:val="00955A02"/>
    <w:rsid w:val="0095684E"/>
    <w:rsid w:val="00957D29"/>
    <w:rsid w:val="00957DA5"/>
    <w:rsid w:val="009606BA"/>
    <w:rsid w:val="00960A64"/>
    <w:rsid w:val="0096127F"/>
    <w:rsid w:val="00961519"/>
    <w:rsid w:val="00961909"/>
    <w:rsid w:val="009630FD"/>
    <w:rsid w:val="00963507"/>
    <w:rsid w:val="0096471D"/>
    <w:rsid w:val="009647B6"/>
    <w:rsid w:val="009662D9"/>
    <w:rsid w:val="0096663B"/>
    <w:rsid w:val="009668D5"/>
    <w:rsid w:val="00966992"/>
    <w:rsid w:val="00967977"/>
    <w:rsid w:val="00971010"/>
    <w:rsid w:val="00971405"/>
    <w:rsid w:val="00971BA6"/>
    <w:rsid w:val="0097220F"/>
    <w:rsid w:val="00972392"/>
    <w:rsid w:val="0097540F"/>
    <w:rsid w:val="0097542C"/>
    <w:rsid w:val="00975A1A"/>
    <w:rsid w:val="0098004D"/>
    <w:rsid w:val="00981C7C"/>
    <w:rsid w:val="00983332"/>
    <w:rsid w:val="00984CB6"/>
    <w:rsid w:val="0098543F"/>
    <w:rsid w:val="00986623"/>
    <w:rsid w:val="00992511"/>
    <w:rsid w:val="00992F79"/>
    <w:rsid w:val="009956B3"/>
    <w:rsid w:val="00996B64"/>
    <w:rsid w:val="00996CA9"/>
    <w:rsid w:val="00996DD5"/>
    <w:rsid w:val="009A15B8"/>
    <w:rsid w:val="009A15D1"/>
    <w:rsid w:val="009A2B2A"/>
    <w:rsid w:val="009A43DD"/>
    <w:rsid w:val="009B6782"/>
    <w:rsid w:val="009B70AE"/>
    <w:rsid w:val="009B77D8"/>
    <w:rsid w:val="009C0AF5"/>
    <w:rsid w:val="009C1155"/>
    <w:rsid w:val="009C16A2"/>
    <w:rsid w:val="009C1791"/>
    <w:rsid w:val="009C3B31"/>
    <w:rsid w:val="009C4F02"/>
    <w:rsid w:val="009D05E5"/>
    <w:rsid w:val="009D1962"/>
    <w:rsid w:val="009D2016"/>
    <w:rsid w:val="009D206C"/>
    <w:rsid w:val="009D295A"/>
    <w:rsid w:val="009D2982"/>
    <w:rsid w:val="009D35A1"/>
    <w:rsid w:val="009D39C7"/>
    <w:rsid w:val="009D44F5"/>
    <w:rsid w:val="009D6BF3"/>
    <w:rsid w:val="009E0569"/>
    <w:rsid w:val="009E0CA8"/>
    <w:rsid w:val="009E27B3"/>
    <w:rsid w:val="009E27BB"/>
    <w:rsid w:val="009E28A1"/>
    <w:rsid w:val="009E45D5"/>
    <w:rsid w:val="009E6A01"/>
    <w:rsid w:val="009E6A1F"/>
    <w:rsid w:val="009E72EB"/>
    <w:rsid w:val="009E7425"/>
    <w:rsid w:val="009E74AE"/>
    <w:rsid w:val="009F0240"/>
    <w:rsid w:val="009F2032"/>
    <w:rsid w:val="009F2F00"/>
    <w:rsid w:val="009F5CE4"/>
    <w:rsid w:val="00A001BD"/>
    <w:rsid w:val="00A00FFA"/>
    <w:rsid w:val="00A019B1"/>
    <w:rsid w:val="00A01D2A"/>
    <w:rsid w:val="00A021E0"/>
    <w:rsid w:val="00A03435"/>
    <w:rsid w:val="00A04171"/>
    <w:rsid w:val="00A041D2"/>
    <w:rsid w:val="00A05700"/>
    <w:rsid w:val="00A06CAD"/>
    <w:rsid w:val="00A07535"/>
    <w:rsid w:val="00A07703"/>
    <w:rsid w:val="00A07F82"/>
    <w:rsid w:val="00A1054F"/>
    <w:rsid w:val="00A11A62"/>
    <w:rsid w:val="00A11CE6"/>
    <w:rsid w:val="00A129C5"/>
    <w:rsid w:val="00A141DC"/>
    <w:rsid w:val="00A151F9"/>
    <w:rsid w:val="00A15756"/>
    <w:rsid w:val="00A15B21"/>
    <w:rsid w:val="00A15FB9"/>
    <w:rsid w:val="00A17284"/>
    <w:rsid w:val="00A206A7"/>
    <w:rsid w:val="00A21177"/>
    <w:rsid w:val="00A2170D"/>
    <w:rsid w:val="00A21C95"/>
    <w:rsid w:val="00A220B2"/>
    <w:rsid w:val="00A242B3"/>
    <w:rsid w:val="00A24B5E"/>
    <w:rsid w:val="00A262BB"/>
    <w:rsid w:val="00A26863"/>
    <w:rsid w:val="00A316B7"/>
    <w:rsid w:val="00A328F9"/>
    <w:rsid w:val="00A332B8"/>
    <w:rsid w:val="00A33768"/>
    <w:rsid w:val="00A338F8"/>
    <w:rsid w:val="00A376C3"/>
    <w:rsid w:val="00A37CA5"/>
    <w:rsid w:val="00A42F47"/>
    <w:rsid w:val="00A43EA2"/>
    <w:rsid w:val="00A45490"/>
    <w:rsid w:val="00A45B8E"/>
    <w:rsid w:val="00A45CAE"/>
    <w:rsid w:val="00A46138"/>
    <w:rsid w:val="00A46367"/>
    <w:rsid w:val="00A472B7"/>
    <w:rsid w:val="00A50E81"/>
    <w:rsid w:val="00A544DF"/>
    <w:rsid w:val="00A60A3F"/>
    <w:rsid w:val="00A62931"/>
    <w:rsid w:val="00A62E15"/>
    <w:rsid w:val="00A63734"/>
    <w:rsid w:val="00A63B0E"/>
    <w:rsid w:val="00A6401E"/>
    <w:rsid w:val="00A64D74"/>
    <w:rsid w:val="00A667B6"/>
    <w:rsid w:val="00A72431"/>
    <w:rsid w:val="00A72B8D"/>
    <w:rsid w:val="00A77933"/>
    <w:rsid w:val="00A77F78"/>
    <w:rsid w:val="00A81312"/>
    <w:rsid w:val="00A817CE"/>
    <w:rsid w:val="00A81898"/>
    <w:rsid w:val="00A82494"/>
    <w:rsid w:val="00A8282E"/>
    <w:rsid w:val="00A84955"/>
    <w:rsid w:val="00A84F78"/>
    <w:rsid w:val="00A850F9"/>
    <w:rsid w:val="00A8568A"/>
    <w:rsid w:val="00A85A0E"/>
    <w:rsid w:val="00A863BF"/>
    <w:rsid w:val="00A86890"/>
    <w:rsid w:val="00A87449"/>
    <w:rsid w:val="00A90001"/>
    <w:rsid w:val="00A901DF"/>
    <w:rsid w:val="00A92DF1"/>
    <w:rsid w:val="00A93190"/>
    <w:rsid w:val="00AA1F17"/>
    <w:rsid w:val="00AA1FC1"/>
    <w:rsid w:val="00AA2D76"/>
    <w:rsid w:val="00AA384D"/>
    <w:rsid w:val="00AA3D84"/>
    <w:rsid w:val="00AA400E"/>
    <w:rsid w:val="00AA6CDB"/>
    <w:rsid w:val="00AA7683"/>
    <w:rsid w:val="00AB0234"/>
    <w:rsid w:val="00AB176A"/>
    <w:rsid w:val="00AB1F10"/>
    <w:rsid w:val="00AB2E3C"/>
    <w:rsid w:val="00AB4DCB"/>
    <w:rsid w:val="00AB502F"/>
    <w:rsid w:val="00AC1099"/>
    <w:rsid w:val="00AC16DB"/>
    <w:rsid w:val="00AC191C"/>
    <w:rsid w:val="00AC2543"/>
    <w:rsid w:val="00AC2EAC"/>
    <w:rsid w:val="00AC3941"/>
    <w:rsid w:val="00AC39E6"/>
    <w:rsid w:val="00AC412C"/>
    <w:rsid w:val="00AC560C"/>
    <w:rsid w:val="00AC58FD"/>
    <w:rsid w:val="00AD0761"/>
    <w:rsid w:val="00AD0874"/>
    <w:rsid w:val="00AD0B43"/>
    <w:rsid w:val="00AD11A6"/>
    <w:rsid w:val="00AD16B8"/>
    <w:rsid w:val="00AD2BBB"/>
    <w:rsid w:val="00AD33FA"/>
    <w:rsid w:val="00AD3E29"/>
    <w:rsid w:val="00AD402B"/>
    <w:rsid w:val="00AD5389"/>
    <w:rsid w:val="00AD78CD"/>
    <w:rsid w:val="00AE10D0"/>
    <w:rsid w:val="00AE176D"/>
    <w:rsid w:val="00AE2AC6"/>
    <w:rsid w:val="00AE2F25"/>
    <w:rsid w:val="00AE3A6A"/>
    <w:rsid w:val="00AE4361"/>
    <w:rsid w:val="00AE50DB"/>
    <w:rsid w:val="00AE5AA1"/>
    <w:rsid w:val="00AE666F"/>
    <w:rsid w:val="00AE76F5"/>
    <w:rsid w:val="00AE78F1"/>
    <w:rsid w:val="00AF0296"/>
    <w:rsid w:val="00AF1D29"/>
    <w:rsid w:val="00AF23D6"/>
    <w:rsid w:val="00AF3705"/>
    <w:rsid w:val="00AF4F08"/>
    <w:rsid w:val="00AF661D"/>
    <w:rsid w:val="00AF6629"/>
    <w:rsid w:val="00AF6C15"/>
    <w:rsid w:val="00B011ED"/>
    <w:rsid w:val="00B012C8"/>
    <w:rsid w:val="00B041B9"/>
    <w:rsid w:val="00B047EE"/>
    <w:rsid w:val="00B048C3"/>
    <w:rsid w:val="00B0520C"/>
    <w:rsid w:val="00B07CCA"/>
    <w:rsid w:val="00B107B1"/>
    <w:rsid w:val="00B10842"/>
    <w:rsid w:val="00B113D2"/>
    <w:rsid w:val="00B14B72"/>
    <w:rsid w:val="00B1577F"/>
    <w:rsid w:val="00B15FC8"/>
    <w:rsid w:val="00B23BA9"/>
    <w:rsid w:val="00B269D6"/>
    <w:rsid w:val="00B26CAB"/>
    <w:rsid w:val="00B27282"/>
    <w:rsid w:val="00B30011"/>
    <w:rsid w:val="00B30C92"/>
    <w:rsid w:val="00B32DB0"/>
    <w:rsid w:val="00B32F6F"/>
    <w:rsid w:val="00B34011"/>
    <w:rsid w:val="00B34985"/>
    <w:rsid w:val="00B36D8B"/>
    <w:rsid w:val="00B376DF"/>
    <w:rsid w:val="00B40152"/>
    <w:rsid w:val="00B40552"/>
    <w:rsid w:val="00B41B14"/>
    <w:rsid w:val="00B421A9"/>
    <w:rsid w:val="00B432AF"/>
    <w:rsid w:val="00B43549"/>
    <w:rsid w:val="00B45FC5"/>
    <w:rsid w:val="00B4775A"/>
    <w:rsid w:val="00B51297"/>
    <w:rsid w:val="00B5199F"/>
    <w:rsid w:val="00B519FA"/>
    <w:rsid w:val="00B52EA7"/>
    <w:rsid w:val="00B542FB"/>
    <w:rsid w:val="00B54965"/>
    <w:rsid w:val="00B54C28"/>
    <w:rsid w:val="00B560B3"/>
    <w:rsid w:val="00B56417"/>
    <w:rsid w:val="00B5673C"/>
    <w:rsid w:val="00B56FD5"/>
    <w:rsid w:val="00B60C0C"/>
    <w:rsid w:val="00B61418"/>
    <w:rsid w:val="00B61DE0"/>
    <w:rsid w:val="00B63DBD"/>
    <w:rsid w:val="00B642CB"/>
    <w:rsid w:val="00B66C09"/>
    <w:rsid w:val="00B67BC6"/>
    <w:rsid w:val="00B733E6"/>
    <w:rsid w:val="00B75AE1"/>
    <w:rsid w:val="00B77D9E"/>
    <w:rsid w:val="00B77DDF"/>
    <w:rsid w:val="00B77E2E"/>
    <w:rsid w:val="00B807CC"/>
    <w:rsid w:val="00B80D62"/>
    <w:rsid w:val="00B82440"/>
    <w:rsid w:val="00B84415"/>
    <w:rsid w:val="00B84437"/>
    <w:rsid w:val="00B84789"/>
    <w:rsid w:val="00B86946"/>
    <w:rsid w:val="00B87406"/>
    <w:rsid w:val="00B9022F"/>
    <w:rsid w:val="00B90B62"/>
    <w:rsid w:val="00B90F89"/>
    <w:rsid w:val="00B91D3A"/>
    <w:rsid w:val="00B922C5"/>
    <w:rsid w:val="00B932AF"/>
    <w:rsid w:val="00B942F5"/>
    <w:rsid w:val="00B95A86"/>
    <w:rsid w:val="00B95F1D"/>
    <w:rsid w:val="00B965F2"/>
    <w:rsid w:val="00BA150F"/>
    <w:rsid w:val="00BA1B03"/>
    <w:rsid w:val="00BA390B"/>
    <w:rsid w:val="00BA3F15"/>
    <w:rsid w:val="00BB2BE2"/>
    <w:rsid w:val="00BB3F42"/>
    <w:rsid w:val="00BB69C4"/>
    <w:rsid w:val="00BB6AEB"/>
    <w:rsid w:val="00BC1358"/>
    <w:rsid w:val="00BC1C1B"/>
    <w:rsid w:val="00BC2097"/>
    <w:rsid w:val="00BC3421"/>
    <w:rsid w:val="00BC50CB"/>
    <w:rsid w:val="00BC5887"/>
    <w:rsid w:val="00BC5E1D"/>
    <w:rsid w:val="00BC6849"/>
    <w:rsid w:val="00BC6CA2"/>
    <w:rsid w:val="00BC7818"/>
    <w:rsid w:val="00BD2338"/>
    <w:rsid w:val="00BD241A"/>
    <w:rsid w:val="00BD3291"/>
    <w:rsid w:val="00BD340F"/>
    <w:rsid w:val="00BD4234"/>
    <w:rsid w:val="00BD42A8"/>
    <w:rsid w:val="00BD7213"/>
    <w:rsid w:val="00BD780F"/>
    <w:rsid w:val="00BD7C0F"/>
    <w:rsid w:val="00BD7DF4"/>
    <w:rsid w:val="00BE1376"/>
    <w:rsid w:val="00BE2C9F"/>
    <w:rsid w:val="00BE2F95"/>
    <w:rsid w:val="00BE4CD1"/>
    <w:rsid w:val="00BE7A51"/>
    <w:rsid w:val="00BE7A91"/>
    <w:rsid w:val="00BE7FA0"/>
    <w:rsid w:val="00BF03CC"/>
    <w:rsid w:val="00BF198B"/>
    <w:rsid w:val="00BF1D43"/>
    <w:rsid w:val="00BF33B8"/>
    <w:rsid w:val="00BF4CCD"/>
    <w:rsid w:val="00BF4F3B"/>
    <w:rsid w:val="00BF6F2C"/>
    <w:rsid w:val="00C00756"/>
    <w:rsid w:val="00C00C7D"/>
    <w:rsid w:val="00C00D41"/>
    <w:rsid w:val="00C01C1D"/>
    <w:rsid w:val="00C041E7"/>
    <w:rsid w:val="00C0452E"/>
    <w:rsid w:val="00C046CE"/>
    <w:rsid w:val="00C0531C"/>
    <w:rsid w:val="00C057F6"/>
    <w:rsid w:val="00C05A32"/>
    <w:rsid w:val="00C05BD5"/>
    <w:rsid w:val="00C06A5C"/>
    <w:rsid w:val="00C06AE6"/>
    <w:rsid w:val="00C070AA"/>
    <w:rsid w:val="00C07344"/>
    <w:rsid w:val="00C107F0"/>
    <w:rsid w:val="00C116C3"/>
    <w:rsid w:val="00C12FC1"/>
    <w:rsid w:val="00C13D7D"/>
    <w:rsid w:val="00C15049"/>
    <w:rsid w:val="00C15932"/>
    <w:rsid w:val="00C168F2"/>
    <w:rsid w:val="00C169CA"/>
    <w:rsid w:val="00C204AB"/>
    <w:rsid w:val="00C219AE"/>
    <w:rsid w:val="00C231C0"/>
    <w:rsid w:val="00C25519"/>
    <w:rsid w:val="00C258E9"/>
    <w:rsid w:val="00C25BB8"/>
    <w:rsid w:val="00C26016"/>
    <w:rsid w:val="00C275F3"/>
    <w:rsid w:val="00C30F45"/>
    <w:rsid w:val="00C31571"/>
    <w:rsid w:val="00C317E6"/>
    <w:rsid w:val="00C32616"/>
    <w:rsid w:val="00C32BDC"/>
    <w:rsid w:val="00C33968"/>
    <w:rsid w:val="00C35101"/>
    <w:rsid w:val="00C351F1"/>
    <w:rsid w:val="00C400E3"/>
    <w:rsid w:val="00C40829"/>
    <w:rsid w:val="00C4093D"/>
    <w:rsid w:val="00C42AA3"/>
    <w:rsid w:val="00C43992"/>
    <w:rsid w:val="00C43E57"/>
    <w:rsid w:val="00C43F3C"/>
    <w:rsid w:val="00C46F36"/>
    <w:rsid w:val="00C50D49"/>
    <w:rsid w:val="00C57A96"/>
    <w:rsid w:val="00C60E12"/>
    <w:rsid w:val="00C60F20"/>
    <w:rsid w:val="00C61021"/>
    <w:rsid w:val="00C6147B"/>
    <w:rsid w:val="00C6204E"/>
    <w:rsid w:val="00C6229C"/>
    <w:rsid w:val="00C628EB"/>
    <w:rsid w:val="00C62A34"/>
    <w:rsid w:val="00C63D6F"/>
    <w:rsid w:val="00C64DDD"/>
    <w:rsid w:val="00C65A6A"/>
    <w:rsid w:val="00C65DD2"/>
    <w:rsid w:val="00C6660F"/>
    <w:rsid w:val="00C67B84"/>
    <w:rsid w:val="00C7054D"/>
    <w:rsid w:val="00C7209C"/>
    <w:rsid w:val="00C72381"/>
    <w:rsid w:val="00C72CB1"/>
    <w:rsid w:val="00C737CE"/>
    <w:rsid w:val="00C74262"/>
    <w:rsid w:val="00C771B1"/>
    <w:rsid w:val="00C80403"/>
    <w:rsid w:val="00C80619"/>
    <w:rsid w:val="00C824DE"/>
    <w:rsid w:val="00C87891"/>
    <w:rsid w:val="00C879CA"/>
    <w:rsid w:val="00C901E1"/>
    <w:rsid w:val="00C91FE2"/>
    <w:rsid w:val="00C92937"/>
    <w:rsid w:val="00C93C9C"/>
    <w:rsid w:val="00C96F89"/>
    <w:rsid w:val="00C97119"/>
    <w:rsid w:val="00CA2838"/>
    <w:rsid w:val="00CA3EE4"/>
    <w:rsid w:val="00CA55D1"/>
    <w:rsid w:val="00CA6145"/>
    <w:rsid w:val="00CA731E"/>
    <w:rsid w:val="00CB0607"/>
    <w:rsid w:val="00CB0EDE"/>
    <w:rsid w:val="00CB1F96"/>
    <w:rsid w:val="00CB4E33"/>
    <w:rsid w:val="00CB6A1E"/>
    <w:rsid w:val="00CB7D11"/>
    <w:rsid w:val="00CB7DF4"/>
    <w:rsid w:val="00CC0010"/>
    <w:rsid w:val="00CC0261"/>
    <w:rsid w:val="00CC19BA"/>
    <w:rsid w:val="00CC2159"/>
    <w:rsid w:val="00CC3781"/>
    <w:rsid w:val="00CC4457"/>
    <w:rsid w:val="00CC6784"/>
    <w:rsid w:val="00CD1123"/>
    <w:rsid w:val="00CD2007"/>
    <w:rsid w:val="00CD2115"/>
    <w:rsid w:val="00CD2390"/>
    <w:rsid w:val="00CD4835"/>
    <w:rsid w:val="00CD57C8"/>
    <w:rsid w:val="00CD5D50"/>
    <w:rsid w:val="00CD63FD"/>
    <w:rsid w:val="00CD7E56"/>
    <w:rsid w:val="00CE021E"/>
    <w:rsid w:val="00CE198C"/>
    <w:rsid w:val="00CE22E2"/>
    <w:rsid w:val="00CE565F"/>
    <w:rsid w:val="00CE669C"/>
    <w:rsid w:val="00CE6D39"/>
    <w:rsid w:val="00CE735D"/>
    <w:rsid w:val="00CF15D2"/>
    <w:rsid w:val="00CF24E6"/>
    <w:rsid w:val="00CF6935"/>
    <w:rsid w:val="00CF76A9"/>
    <w:rsid w:val="00CF7BDB"/>
    <w:rsid w:val="00D01747"/>
    <w:rsid w:val="00D01BF0"/>
    <w:rsid w:val="00D024CA"/>
    <w:rsid w:val="00D0288F"/>
    <w:rsid w:val="00D03E5A"/>
    <w:rsid w:val="00D04358"/>
    <w:rsid w:val="00D06839"/>
    <w:rsid w:val="00D112BA"/>
    <w:rsid w:val="00D1264D"/>
    <w:rsid w:val="00D141D6"/>
    <w:rsid w:val="00D16FC5"/>
    <w:rsid w:val="00D219D8"/>
    <w:rsid w:val="00D21C4E"/>
    <w:rsid w:val="00D24271"/>
    <w:rsid w:val="00D245C8"/>
    <w:rsid w:val="00D246C5"/>
    <w:rsid w:val="00D24E7D"/>
    <w:rsid w:val="00D25F4C"/>
    <w:rsid w:val="00D261A5"/>
    <w:rsid w:val="00D27961"/>
    <w:rsid w:val="00D31169"/>
    <w:rsid w:val="00D3133A"/>
    <w:rsid w:val="00D34150"/>
    <w:rsid w:val="00D368D9"/>
    <w:rsid w:val="00D36A8C"/>
    <w:rsid w:val="00D374AF"/>
    <w:rsid w:val="00D3784D"/>
    <w:rsid w:val="00D379BC"/>
    <w:rsid w:val="00D40A32"/>
    <w:rsid w:val="00D43ACC"/>
    <w:rsid w:val="00D43BFF"/>
    <w:rsid w:val="00D43F89"/>
    <w:rsid w:val="00D44B5C"/>
    <w:rsid w:val="00D45315"/>
    <w:rsid w:val="00D4539E"/>
    <w:rsid w:val="00D45F7F"/>
    <w:rsid w:val="00D4665A"/>
    <w:rsid w:val="00D50C84"/>
    <w:rsid w:val="00D510A7"/>
    <w:rsid w:val="00D513DE"/>
    <w:rsid w:val="00D52019"/>
    <w:rsid w:val="00D53A1E"/>
    <w:rsid w:val="00D548B1"/>
    <w:rsid w:val="00D55135"/>
    <w:rsid w:val="00D57921"/>
    <w:rsid w:val="00D6243F"/>
    <w:rsid w:val="00D6634E"/>
    <w:rsid w:val="00D666CA"/>
    <w:rsid w:val="00D70379"/>
    <w:rsid w:val="00D70832"/>
    <w:rsid w:val="00D70914"/>
    <w:rsid w:val="00D7122C"/>
    <w:rsid w:val="00D7150E"/>
    <w:rsid w:val="00D7207C"/>
    <w:rsid w:val="00D7294D"/>
    <w:rsid w:val="00D73463"/>
    <w:rsid w:val="00D77EE1"/>
    <w:rsid w:val="00D77FE0"/>
    <w:rsid w:val="00D81C34"/>
    <w:rsid w:val="00D848BB"/>
    <w:rsid w:val="00D84A04"/>
    <w:rsid w:val="00D84E77"/>
    <w:rsid w:val="00D912AB"/>
    <w:rsid w:val="00D9150F"/>
    <w:rsid w:val="00D91923"/>
    <w:rsid w:val="00D91F26"/>
    <w:rsid w:val="00D923A4"/>
    <w:rsid w:val="00D93E07"/>
    <w:rsid w:val="00D95850"/>
    <w:rsid w:val="00D96953"/>
    <w:rsid w:val="00D97806"/>
    <w:rsid w:val="00DA0278"/>
    <w:rsid w:val="00DA1033"/>
    <w:rsid w:val="00DA33C0"/>
    <w:rsid w:val="00DA4748"/>
    <w:rsid w:val="00DA5746"/>
    <w:rsid w:val="00DA59F5"/>
    <w:rsid w:val="00DA5C3F"/>
    <w:rsid w:val="00DB092C"/>
    <w:rsid w:val="00DB0F19"/>
    <w:rsid w:val="00DB1D49"/>
    <w:rsid w:val="00DB5A98"/>
    <w:rsid w:val="00DB6F02"/>
    <w:rsid w:val="00DB74B1"/>
    <w:rsid w:val="00DC3B66"/>
    <w:rsid w:val="00DC3D40"/>
    <w:rsid w:val="00DC3ECD"/>
    <w:rsid w:val="00DC43F0"/>
    <w:rsid w:val="00DC457B"/>
    <w:rsid w:val="00DC5326"/>
    <w:rsid w:val="00DC5424"/>
    <w:rsid w:val="00DC55B4"/>
    <w:rsid w:val="00DC795A"/>
    <w:rsid w:val="00DD0020"/>
    <w:rsid w:val="00DD002D"/>
    <w:rsid w:val="00DD0E47"/>
    <w:rsid w:val="00DD0ED2"/>
    <w:rsid w:val="00DD1D29"/>
    <w:rsid w:val="00DD1E35"/>
    <w:rsid w:val="00DD2B57"/>
    <w:rsid w:val="00DD3E3B"/>
    <w:rsid w:val="00DD49A5"/>
    <w:rsid w:val="00DD63FB"/>
    <w:rsid w:val="00DD651C"/>
    <w:rsid w:val="00DD7242"/>
    <w:rsid w:val="00DE32BD"/>
    <w:rsid w:val="00DE350D"/>
    <w:rsid w:val="00DE6E44"/>
    <w:rsid w:val="00DE7C95"/>
    <w:rsid w:val="00DE7F3D"/>
    <w:rsid w:val="00DE7F93"/>
    <w:rsid w:val="00DF06C0"/>
    <w:rsid w:val="00DF0D39"/>
    <w:rsid w:val="00DF1710"/>
    <w:rsid w:val="00DF4708"/>
    <w:rsid w:val="00DF56FD"/>
    <w:rsid w:val="00DF70FF"/>
    <w:rsid w:val="00DF7611"/>
    <w:rsid w:val="00DF79FF"/>
    <w:rsid w:val="00E009D6"/>
    <w:rsid w:val="00E020DA"/>
    <w:rsid w:val="00E02816"/>
    <w:rsid w:val="00E02CD6"/>
    <w:rsid w:val="00E06EA6"/>
    <w:rsid w:val="00E079B3"/>
    <w:rsid w:val="00E079F5"/>
    <w:rsid w:val="00E1043A"/>
    <w:rsid w:val="00E10CFB"/>
    <w:rsid w:val="00E1186C"/>
    <w:rsid w:val="00E12002"/>
    <w:rsid w:val="00E14879"/>
    <w:rsid w:val="00E15409"/>
    <w:rsid w:val="00E15975"/>
    <w:rsid w:val="00E15EA1"/>
    <w:rsid w:val="00E16B47"/>
    <w:rsid w:val="00E17D3D"/>
    <w:rsid w:val="00E22677"/>
    <w:rsid w:val="00E22E1C"/>
    <w:rsid w:val="00E2307B"/>
    <w:rsid w:val="00E238CB"/>
    <w:rsid w:val="00E2457E"/>
    <w:rsid w:val="00E252E4"/>
    <w:rsid w:val="00E26095"/>
    <w:rsid w:val="00E260D5"/>
    <w:rsid w:val="00E27B4B"/>
    <w:rsid w:val="00E27BEC"/>
    <w:rsid w:val="00E30F0C"/>
    <w:rsid w:val="00E30F96"/>
    <w:rsid w:val="00E31EA7"/>
    <w:rsid w:val="00E320E7"/>
    <w:rsid w:val="00E34674"/>
    <w:rsid w:val="00E35DBF"/>
    <w:rsid w:val="00E36BDD"/>
    <w:rsid w:val="00E375DB"/>
    <w:rsid w:val="00E402F2"/>
    <w:rsid w:val="00E43C3D"/>
    <w:rsid w:val="00E44581"/>
    <w:rsid w:val="00E460A3"/>
    <w:rsid w:val="00E514CF"/>
    <w:rsid w:val="00E52662"/>
    <w:rsid w:val="00E52DEF"/>
    <w:rsid w:val="00E541AB"/>
    <w:rsid w:val="00E544FA"/>
    <w:rsid w:val="00E612A8"/>
    <w:rsid w:val="00E6176C"/>
    <w:rsid w:val="00E61A68"/>
    <w:rsid w:val="00E6266E"/>
    <w:rsid w:val="00E62F21"/>
    <w:rsid w:val="00E6328C"/>
    <w:rsid w:val="00E64B0A"/>
    <w:rsid w:val="00E65E4B"/>
    <w:rsid w:val="00E673A4"/>
    <w:rsid w:val="00E70CF3"/>
    <w:rsid w:val="00E71324"/>
    <w:rsid w:val="00E713BE"/>
    <w:rsid w:val="00E71820"/>
    <w:rsid w:val="00E71F88"/>
    <w:rsid w:val="00E73886"/>
    <w:rsid w:val="00E744E8"/>
    <w:rsid w:val="00E74D0F"/>
    <w:rsid w:val="00E74FAE"/>
    <w:rsid w:val="00E76612"/>
    <w:rsid w:val="00E7681A"/>
    <w:rsid w:val="00E76FFD"/>
    <w:rsid w:val="00E77589"/>
    <w:rsid w:val="00E80B43"/>
    <w:rsid w:val="00E81405"/>
    <w:rsid w:val="00E817A8"/>
    <w:rsid w:val="00E8236B"/>
    <w:rsid w:val="00E83832"/>
    <w:rsid w:val="00E83992"/>
    <w:rsid w:val="00E83BEF"/>
    <w:rsid w:val="00E83DC8"/>
    <w:rsid w:val="00E84A99"/>
    <w:rsid w:val="00E85804"/>
    <w:rsid w:val="00E91E6C"/>
    <w:rsid w:val="00E9210A"/>
    <w:rsid w:val="00E92162"/>
    <w:rsid w:val="00E92748"/>
    <w:rsid w:val="00E92BD9"/>
    <w:rsid w:val="00E930EE"/>
    <w:rsid w:val="00E93E39"/>
    <w:rsid w:val="00E94397"/>
    <w:rsid w:val="00E96AFE"/>
    <w:rsid w:val="00EA19B2"/>
    <w:rsid w:val="00EA1D67"/>
    <w:rsid w:val="00EA21F5"/>
    <w:rsid w:val="00EA3087"/>
    <w:rsid w:val="00EA364B"/>
    <w:rsid w:val="00EA38F4"/>
    <w:rsid w:val="00EA5C32"/>
    <w:rsid w:val="00EA73BD"/>
    <w:rsid w:val="00EA7CB9"/>
    <w:rsid w:val="00EA7D27"/>
    <w:rsid w:val="00EB0557"/>
    <w:rsid w:val="00EB0F94"/>
    <w:rsid w:val="00EB1512"/>
    <w:rsid w:val="00EB1FF0"/>
    <w:rsid w:val="00EB3DC9"/>
    <w:rsid w:val="00EB4523"/>
    <w:rsid w:val="00EB5E12"/>
    <w:rsid w:val="00EB6226"/>
    <w:rsid w:val="00EC0B68"/>
    <w:rsid w:val="00EC3BD7"/>
    <w:rsid w:val="00EC5339"/>
    <w:rsid w:val="00EC59F9"/>
    <w:rsid w:val="00EC62A8"/>
    <w:rsid w:val="00EC69DF"/>
    <w:rsid w:val="00EC76F4"/>
    <w:rsid w:val="00ED0342"/>
    <w:rsid w:val="00ED06C8"/>
    <w:rsid w:val="00ED0C4D"/>
    <w:rsid w:val="00ED2E85"/>
    <w:rsid w:val="00ED3003"/>
    <w:rsid w:val="00ED68F8"/>
    <w:rsid w:val="00ED6B3B"/>
    <w:rsid w:val="00ED6ED1"/>
    <w:rsid w:val="00ED7E58"/>
    <w:rsid w:val="00EE1053"/>
    <w:rsid w:val="00EE1DE9"/>
    <w:rsid w:val="00EE251E"/>
    <w:rsid w:val="00EE34BC"/>
    <w:rsid w:val="00EE3ABD"/>
    <w:rsid w:val="00EE3D7B"/>
    <w:rsid w:val="00EE4921"/>
    <w:rsid w:val="00EE5600"/>
    <w:rsid w:val="00EE660F"/>
    <w:rsid w:val="00EE67DA"/>
    <w:rsid w:val="00EF0492"/>
    <w:rsid w:val="00EF0FD3"/>
    <w:rsid w:val="00EF13CE"/>
    <w:rsid w:val="00EF1CBC"/>
    <w:rsid w:val="00EF37C4"/>
    <w:rsid w:val="00EF4A80"/>
    <w:rsid w:val="00EF7E02"/>
    <w:rsid w:val="00F004B7"/>
    <w:rsid w:val="00F00621"/>
    <w:rsid w:val="00F010FE"/>
    <w:rsid w:val="00F018DE"/>
    <w:rsid w:val="00F0338F"/>
    <w:rsid w:val="00F03A73"/>
    <w:rsid w:val="00F103CF"/>
    <w:rsid w:val="00F11648"/>
    <w:rsid w:val="00F12781"/>
    <w:rsid w:val="00F12C71"/>
    <w:rsid w:val="00F15F31"/>
    <w:rsid w:val="00F16AA8"/>
    <w:rsid w:val="00F22D55"/>
    <w:rsid w:val="00F230D8"/>
    <w:rsid w:val="00F235CD"/>
    <w:rsid w:val="00F24AB3"/>
    <w:rsid w:val="00F259D0"/>
    <w:rsid w:val="00F2676B"/>
    <w:rsid w:val="00F26FDB"/>
    <w:rsid w:val="00F27CDA"/>
    <w:rsid w:val="00F30414"/>
    <w:rsid w:val="00F30619"/>
    <w:rsid w:val="00F316A1"/>
    <w:rsid w:val="00F332E7"/>
    <w:rsid w:val="00F3373B"/>
    <w:rsid w:val="00F363A5"/>
    <w:rsid w:val="00F36883"/>
    <w:rsid w:val="00F368A9"/>
    <w:rsid w:val="00F3697B"/>
    <w:rsid w:val="00F36FA7"/>
    <w:rsid w:val="00F441C2"/>
    <w:rsid w:val="00F4571C"/>
    <w:rsid w:val="00F46796"/>
    <w:rsid w:val="00F4772D"/>
    <w:rsid w:val="00F477B7"/>
    <w:rsid w:val="00F47C8A"/>
    <w:rsid w:val="00F47D6B"/>
    <w:rsid w:val="00F509F8"/>
    <w:rsid w:val="00F51295"/>
    <w:rsid w:val="00F51FA8"/>
    <w:rsid w:val="00F53B83"/>
    <w:rsid w:val="00F53F71"/>
    <w:rsid w:val="00F541D6"/>
    <w:rsid w:val="00F60DCD"/>
    <w:rsid w:val="00F616F1"/>
    <w:rsid w:val="00F618C9"/>
    <w:rsid w:val="00F61C94"/>
    <w:rsid w:val="00F620B1"/>
    <w:rsid w:val="00F6326F"/>
    <w:rsid w:val="00F6369B"/>
    <w:rsid w:val="00F63B92"/>
    <w:rsid w:val="00F654CA"/>
    <w:rsid w:val="00F66444"/>
    <w:rsid w:val="00F66A88"/>
    <w:rsid w:val="00F675A3"/>
    <w:rsid w:val="00F704DF"/>
    <w:rsid w:val="00F7172E"/>
    <w:rsid w:val="00F76FE6"/>
    <w:rsid w:val="00F77AFD"/>
    <w:rsid w:val="00F77BC6"/>
    <w:rsid w:val="00F77D0A"/>
    <w:rsid w:val="00F809CA"/>
    <w:rsid w:val="00F80B71"/>
    <w:rsid w:val="00F81E18"/>
    <w:rsid w:val="00F82893"/>
    <w:rsid w:val="00F83513"/>
    <w:rsid w:val="00F83AB7"/>
    <w:rsid w:val="00F84586"/>
    <w:rsid w:val="00F85C00"/>
    <w:rsid w:val="00F93617"/>
    <w:rsid w:val="00F93CF7"/>
    <w:rsid w:val="00F944AE"/>
    <w:rsid w:val="00F952D2"/>
    <w:rsid w:val="00F959C4"/>
    <w:rsid w:val="00F95D15"/>
    <w:rsid w:val="00F9692A"/>
    <w:rsid w:val="00FA0BC5"/>
    <w:rsid w:val="00FA2552"/>
    <w:rsid w:val="00FA360F"/>
    <w:rsid w:val="00FA42DA"/>
    <w:rsid w:val="00FA459F"/>
    <w:rsid w:val="00FA50C9"/>
    <w:rsid w:val="00FA563E"/>
    <w:rsid w:val="00FB3679"/>
    <w:rsid w:val="00FB5C1C"/>
    <w:rsid w:val="00FB60EB"/>
    <w:rsid w:val="00FB6240"/>
    <w:rsid w:val="00FB735D"/>
    <w:rsid w:val="00FB74D3"/>
    <w:rsid w:val="00FB7F32"/>
    <w:rsid w:val="00FC01B6"/>
    <w:rsid w:val="00FC0B72"/>
    <w:rsid w:val="00FC0E39"/>
    <w:rsid w:val="00FC199A"/>
    <w:rsid w:val="00FC31CF"/>
    <w:rsid w:val="00FC3B3D"/>
    <w:rsid w:val="00FC4166"/>
    <w:rsid w:val="00FC5F42"/>
    <w:rsid w:val="00FC68EB"/>
    <w:rsid w:val="00FC72A7"/>
    <w:rsid w:val="00FD07EE"/>
    <w:rsid w:val="00FD6A53"/>
    <w:rsid w:val="00FD752F"/>
    <w:rsid w:val="00FD7C8B"/>
    <w:rsid w:val="00FE006A"/>
    <w:rsid w:val="00FE06B7"/>
    <w:rsid w:val="00FE23FF"/>
    <w:rsid w:val="00FE2594"/>
    <w:rsid w:val="00FE286E"/>
    <w:rsid w:val="00FE2CBE"/>
    <w:rsid w:val="00FE3F40"/>
    <w:rsid w:val="00FE5B8F"/>
    <w:rsid w:val="00FE69C7"/>
    <w:rsid w:val="00FE6D14"/>
    <w:rsid w:val="00FE7A1A"/>
    <w:rsid w:val="00FF00D4"/>
    <w:rsid w:val="00FF0149"/>
    <w:rsid w:val="00FF07FA"/>
    <w:rsid w:val="00FF2DC5"/>
    <w:rsid w:val="00FF31DC"/>
    <w:rsid w:val="00FF5A0B"/>
    <w:rsid w:val="00FF78F4"/>
    <w:rsid w:val="00FF7AA4"/>
    <w:rsid w:val="00FF7D54"/>
    <w:rsid w:val="098A2D84"/>
    <w:rsid w:val="0ADA132B"/>
    <w:rsid w:val="0DF3355F"/>
    <w:rsid w:val="0FC56B5A"/>
    <w:rsid w:val="17324E66"/>
    <w:rsid w:val="1B0511AB"/>
    <w:rsid w:val="1DC32EB5"/>
    <w:rsid w:val="1E6A40E6"/>
    <w:rsid w:val="25B4635F"/>
    <w:rsid w:val="26CA426D"/>
    <w:rsid w:val="2AA05E26"/>
    <w:rsid w:val="2F4F65F6"/>
    <w:rsid w:val="35906A43"/>
    <w:rsid w:val="43E10162"/>
    <w:rsid w:val="4A5611F5"/>
    <w:rsid w:val="4ACD0E7F"/>
    <w:rsid w:val="5085694D"/>
    <w:rsid w:val="596A6026"/>
    <w:rsid w:val="599364B0"/>
    <w:rsid w:val="5A6645C8"/>
    <w:rsid w:val="5C97357F"/>
    <w:rsid w:val="5DBF0DF0"/>
    <w:rsid w:val="60275541"/>
    <w:rsid w:val="655517DA"/>
    <w:rsid w:val="66096397"/>
    <w:rsid w:val="709938DD"/>
    <w:rsid w:val="73FD0AD3"/>
    <w:rsid w:val="75E13D4B"/>
    <w:rsid w:val="793D5CDE"/>
    <w:rsid w:val="7A8578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0"/>
    <w:qFormat/>
    <w:uiPriority w:val="9"/>
    <w:pPr>
      <w:keepNext/>
      <w:keepLines/>
      <w:spacing w:before="340" w:after="330" w:line="578" w:lineRule="auto"/>
      <w:outlineLvl w:val="0"/>
    </w:pPr>
    <w:rPr>
      <w:rFonts w:asciiTheme="minorHAnsi" w:hAnsiTheme="minorHAnsi" w:eastAsiaTheme="minorEastAsia" w:cstheme="minorBidi"/>
      <w:b/>
      <w:bCs/>
      <w:kern w:val="44"/>
      <w:sz w:val="44"/>
      <w:szCs w:val="44"/>
    </w:rPr>
  </w:style>
  <w:style w:type="character" w:default="1" w:styleId="16">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42"/>
    <w:semiHidden/>
    <w:unhideWhenUsed/>
    <w:qFormat/>
    <w:uiPriority w:val="0"/>
    <w:pPr>
      <w:jc w:val="left"/>
    </w:pPr>
  </w:style>
  <w:style w:type="paragraph" w:styleId="4">
    <w:name w:val="Body Text"/>
    <w:basedOn w:val="1"/>
    <w:link w:val="33"/>
    <w:qFormat/>
    <w:uiPriority w:val="0"/>
    <w:pPr>
      <w:widowControl/>
      <w:jc w:val="left"/>
    </w:pPr>
    <w:rPr>
      <w:rFonts w:eastAsia="PMingLiU"/>
      <w:kern w:val="0"/>
      <w:sz w:val="24"/>
      <w:szCs w:val="20"/>
      <w:lang w:eastAsia="en-US"/>
    </w:rPr>
  </w:style>
  <w:style w:type="paragraph" w:styleId="5">
    <w:name w:val="Body Text Indent"/>
    <w:basedOn w:val="1"/>
    <w:link w:val="32"/>
    <w:qFormat/>
    <w:uiPriority w:val="0"/>
    <w:pPr>
      <w:widowControl/>
      <w:ind w:left="-270" w:firstLine="270"/>
      <w:jc w:val="left"/>
    </w:pPr>
    <w:rPr>
      <w:rFonts w:eastAsia="PMingLiU"/>
      <w:kern w:val="0"/>
      <w:sz w:val="24"/>
      <w:szCs w:val="20"/>
      <w:lang w:val="en-GB" w:eastAsia="en-US"/>
    </w:rPr>
  </w:style>
  <w:style w:type="paragraph" w:styleId="6">
    <w:name w:val="Plain Text"/>
    <w:basedOn w:val="1"/>
    <w:link w:val="30"/>
    <w:qFormat/>
    <w:uiPriority w:val="0"/>
    <w:rPr>
      <w:rFonts w:ascii="宋体" w:hAnsi="Courier New"/>
      <w:szCs w:val="20"/>
    </w:rPr>
  </w:style>
  <w:style w:type="paragraph" w:styleId="7">
    <w:name w:val="Balloon Text"/>
    <w:basedOn w:val="1"/>
    <w:semiHidden/>
    <w:qFormat/>
    <w:uiPriority w:val="0"/>
    <w:rPr>
      <w:sz w:val="18"/>
      <w:szCs w:val="18"/>
    </w:rPr>
  </w:style>
  <w:style w:type="paragraph" w:styleId="8">
    <w:name w:val="footer"/>
    <w:basedOn w:val="1"/>
    <w:link w:val="23"/>
    <w:qFormat/>
    <w:uiPriority w:val="99"/>
    <w:pPr>
      <w:tabs>
        <w:tab w:val="center" w:pos="4153"/>
        <w:tab w:val="right" w:pos="8306"/>
      </w:tabs>
      <w:snapToGrid w:val="0"/>
      <w:jc w:val="left"/>
    </w:pPr>
    <w:rPr>
      <w:sz w:val="18"/>
      <w:szCs w:val="18"/>
    </w:rPr>
  </w:style>
  <w:style w:type="paragraph" w:styleId="9">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style>
  <w:style w:type="paragraph" w:styleId="11">
    <w:name w:val="Normal (Web)"/>
    <w:basedOn w:val="1"/>
    <w:qFormat/>
    <w:uiPriority w:val="99"/>
    <w:pPr>
      <w:widowControl/>
      <w:spacing w:before="100" w:beforeAutospacing="1" w:after="100" w:afterAutospacing="1"/>
      <w:jc w:val="left"/>
    </w:pPr>
    <w:rPr>
      <w:rFonts w:ascii="宋体" w:hAnsi="宋体" w:cs="宋体"/>
      <w:color w:val="000000"/>
      <w:kern w:val="0"/>
      <w:sz w:val="24"/>
    </w:rPr>
  </w:style>
  <w:style w:type="paragraph" w:styleId="12">
    <w:name w:val="Title"/>
    <w:basedOn w:val="1"/>
    <w:next w:val="1"/>
    <w:link w:val="48"/>
    <w:qFormat/>
    <w:uiPriority w:val="0"/>
    <w:pPr>
      <w:spacing w:before="240" w:after="60"/>
      <w:jc w:val="center"/>
      <w:outlineLvl w:val="0"/>
    </w:pPr>
    <w:rPr>
      <w:rFonts w:asciiTheme="majorHAnsi" w:hAnsiTheme="majorHAnsi" w:cstheme="majorBidi"/>
      <w:b/>
      <w:bCs/>
      <w:sz w:val="32"/>
      <w:szCs w:val="32"/>
    </w:rPr>
  </w:style>
  <w:style w:type="paragraph" w:styleId="13">
    <w:name w:val="annotation subject"/>
    <w:basedOn w:val="3"/>
    <w:next w:val="3"/>
    <w:link w:val="43"/>
    <w:semiHidden/>
    <w:unhideWhenUsed/>
    <w:qFormat/>
    <w:uiPriority w:val="0"/>
    <w:rPr>
      <w:b/>
      <w:bCs/>
    </w:rPr>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0"/>
    <w:rPr>
      <w:b/>
      <w:bCs/>
    </w:rPr>
  </w:style>
  <w:style w:type="character" w:styleId="18">
    <w:name w:val="Emphasis"/>
    <w:qFormat/>
    <w:uiPriority w:val="20"/>
    <w:rPr>
      <w:color w:val="DD4B39"/>
    </w:rPr>
  </w:style>
  <w:style w:type="character" w:styleId="19">
    <w:name w:val="Hyperlink"/>
    <w:qFormat/>
    <w:uiPriority w:val="99"/>
    <w:rPr>
      <w:color w:val="0000FF"/>
      <w:u w:val="single"/>
    </w:rPr>
  </w:style>
  <w:style w:type="character" w:styleId="20">
    <w:name w:val="annotation reference"/>
    <w:basedOn w:val="16"/>
    <w:semiHidden/>
    <w:unhideWhenUsed/>
    <w:qFormat/>
    <w:uiPriority w:val="0"/>
    <w:rPr>
      <w:sz w:val="21"/>
      <w:szCs w:val="21"/>
    </w:rPr>
  </w:style>
  <w:style w:type="paragraph" w:customStyle="1" w:styleId="21">
    <w:name w:val="Default"/>
    <w:qFormat/>
    <w:uiPriority w:val="0"/>
    <w:pPr>
      <w:widowControl w:val="0"/>
      <w:autoSpaceDE w:val="0"/>
      <w:autoSpaceDN w:val="0"/>
      <w:adjustRightInd w:val="0"/>
    </w:pPr>
    <w:rPr>
      <w:rFonts w:ascii="JEHOPL+TimesNewRomanPS" w:hAnsi="Times New Roman" w:eastAsia="JEHOPL+TimesNewRomanPS" w:cs="JEHOPL+TimesNewRomanPS"/>
      <w:color w:val="000000"/>
      <w:sz w:val="24"/>
      <w:szCs w:val="24"/>
      <w:lang w:val="en-US" w:eastAsia="zh-CN" w:bidi="ar-SA"/>
    </w:rPr>
  </w:style>
  <w:style w:type="character" w:customStyle="1" w:styleId="22">
    <w:name w:val="页眉 字符"/>
    <w:link w:val="9"/>
    <w:qFormat/>
    <w:uiPriority w:val="0"/>
    <w:rPr>
      <w:kern w:val="2"/>
      <w:sz w:val="18"/>
      <w:szCs w:val="18"/>
    </w:rPr>
  </w:style>
  <w:style w:type="character" w:customStyle="1" w:styleId="23">
    <w:name w:val="页脚 字符"/>
    <w:link w:val="8"/>
    <w:qFormat/>
    <w:uiPriority w:val="99"/>
    <w:rPr>
      <w:kern w:val="2"/>
      <w:sz w:val="18"/>
      <w:szCs w:val="18"/>
    </w:rPr>
  </w:style>
  <w:style w:type="paragraph" w:styleId="24">
    <w:name w:val="List Paragraph"/>
    <w:basedOn w:val="1"/>
    <w:qFormat/>
    <w:uiPriority w:val="34"/>
    <w:pPr>
      <w:ind w:firstLine="420" w:firstLineChars="200"/>
    </w:pPr>
    <w:rPr>
      <w:rFonts w:ascii="Calibri" w:hAnsi="Calibri"/>
      <w:szCs w:val="22"/>
    </w:rPr>
  </w:style>
  <w:style w:type="paragraph" w:customStyle="1" w:styleId="25">
    <w:name w:val="Char"/>
    <w:basedOn w:val="1"/>
    <w:qFormat/>
    <w:uiPriority w:val="0"/>
    <w:pPr>
      <w:spacing w:line="360" w:lineRule="auto"/>
      <w:ind w:firstLine="200" w:firstLineChars="200"/>
    </w:pPr>
    <w:rPr>
      <w:rFonts w:ascii="宋体" w:hAnsi="宋体" w:cs="宋体"/>
      <w:sz w:val="24"/>
    </w:rPr>
  </w:style>
  <w:style w:type="paragraph" w:customStyle="1" w:styleId="26">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7">
    <w:name w:val="apple-style-span"/>
    <w:basedOn w:val="16"/>
    <w:qFormat/>
    <w:uiPriority w:val="0"/>
  </w:style>
  <w:style w:type="paragraph" w:customStyle="1" w:styleId="28">
    <w:name w:val="列出段落1"/>
    <w:basedOn w:val="1"/>
    <w:qFormat/>
    <w:uiPriority w:val="0"/>
    <w:pPr>
      <w:ind w:firstLine="420" w:firstLineChars="200"/>
    </w:pPr>
  </w:style>
  <w:style w:type="character" w:customStyle="1" w:styleId="29">
    <w:name w:val="bumpedfont20"/>
    <w:basedOn w:val="16"/>
    <w:qFormat/>
    <w:uiPriority w:val="0"/>
  </w:style>
  <w:style w:type="character" w:customStyle="1" w:styleId="30">
    <w:name w:val="纯文本 字符"/>
    <w:link w:val="6"/>
    <w:qFormat/>
    <w:uiPriority w:val="0"/>
    <w:rPr>
      <w:rFonts w:ascii="宋体" w:hAnsi="Courier New"/>
      <w:kern w:val="2"/>
      <w:sz w:val="21"/>
    </w:rPr>
  </w:style>
  <w:style w:type="paragraph" w:styleId="31">
    <w:name w:val="No Spacing"/>
    <w:qFormat/>
    <w:uiPriority w:val="1"/>
    <w:pPr>
      <w:widowControl w:val="0"/>
      <w:adjustRightInd w:val="0"/>
      <w:textAlignment w:val="baseline"/>
    </w:pPr>
    <w:rPr>
      <w:rFonts w:ascii="Times New Roman" w:hAnsi="Times New Roman" w:eastAsia="宋体" w:cs="Times New Roman"/>
      <w:lang w:val="en-US" w:eastAsia="zh-CN" w:bidi="ar-SA"/>
    </w:rPr>
  </w:style>
  <w:style w:type="character" w:customStyle="1" w:styleId="32">
    <w:name w:val="正文文本缩进 字符"/>
    <w:link w:val="5"/>
    <w:qFormat/>
    <w:uiPriority w:val="0"/>
    <w:rPr>
      <w:rFonts w:eastAsia="PMingLiU"/>
      <w:sz w:val="24"/>
      <w:lang w:val="en-GB" w:eastAsia="en-US"/>
    </w:rPr>
  </w:style>
  <w:style w:type="character" w:customStyle="1" w:styleId="33">
    <w:name w:val="正文文本 字符"/>
    <w:link w:val="4"/>
    <w:qFormat/>
    <w:uiPriority w:val="0"/>
    <w:rPr>
      <w:rFonts w:eastAsia="PMingLiU"/>
      <w:sz w:val="24"/>
      <w:lang w:eastAsia="en-US"/>
    </w:rPr>
  </w:style>
  <w:style w:type="character" w:customStyle="1" w:styleId="34">
    <w:name w:val="short_text"/>
    <w:qFormat/>
    <w:uiPriority w:val="0"/>
  </w:style>
  <w:style w:type="character" w:customStyle="1" w:styleId="35">
    <w:name w:val="st1"/>
    <w:qFormat/>
    <w:uiPriority w:val="0"/>
  </w:style>
  <w:style w:type="character" w:customStyle="1" w:styleId="36">
    <w:name w:val="apple-converted-space"/>
    <w:basedOn w:val="16"/>
    <w:qFormat/>
    <w:uiPriority w:val="99"/>
  </w:style>
  <w:style w:type="paragraph" w:customStyle="1" w:styleId="37">
    <w:name w:val="默认"/>
    <w:qFormat/>
    <w:uiPriority w:val="0"/>
    <w:rPr>
      <w:rFonts w:hint="eastAsia" w:ascii="Arial Unicode MS" w:hAnsi="Arial Unicode MS" w:eastAsia="Helvetica" w:cs="Arial Unicode MS"/>
      <w:color w:val="000000"/>
      <w:sz w:val="22"/>
      <w:szCs w:val="22"/>
      <w:lang w:val="zh-CN" w:eastAsia="zh-CN" w:bidi="ar-SA"/>
    </w:rPr>
  </w:style>
  <w:style w:type="table" w:customStyle="1" w:styleId="38">
    <w:name w:val="网格型1"/>
    <w:basedOn w:val="14"/>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39">
    <w:name w:val="_Style 2"/>
    <w:basedOn w:val="1"/>
    <w:qFormat/>
    <w:uiPriority w:val="34"/>
    <w:pPr>
      <w:ind w:firstLine="420" w:firstLineChars="200"/>
    </w:pPr>
  </w:style>
  <w:style w:type="character" w:customStyle="1" w:styleId="40">
    <w:name w:val="标题 1 字符"/>
    <w:basedOn w:val="16"/>
    <w:link w:val="2"/>
    <w:qFormat/>
    <w:uiPriority w:val="9"/>
    <w:rPr>
      <w:rFonts w:asciiTheme="minorHAnsi" w:hAnsiTheme="minorHAnsi" w:eastAsiaTheme="minorEastAsia" w:cstheme="minorBidi"/>
      <w:b/>
      <w:bCs/>
      <w:kern w:val="44"/>
      <w:sz w:val="44"/>
      <w:szCs w:val="44"/>
    </w:rPr>
  </w:style>
  <w:style w:type="paragraph" w:customStyle="1" w:styleId="41">
    <w:name w:val="列出段落2"/>
    <w:basedOn w:val="1"/>
    <w:qFormat/>
    <w:uiPriority w:val="0"/>
    <w:pPr>
      <w:ind w:firstLine="420" w:firstLineChars="200"/>
    </w:pPr>
    <w:rPr>
      <w:rFonts w:ascii="Calibri" w:hAnsi="Calibri"/>
      <w:szCs w:val="22"/>
    </w:rPr>
  </w:style>
  <w:style w:type="character" w:customStyle="1" w:styleId="42">
    <w:name w:val="批注文字 字符"/>
    <w:basedOn w:val="16"/>
    <w:link w:val="3"/>
    <w:semiHidden/>
    <w:qFormat/>
    <w:uiPriority w:val="0"/>
    <w:rPr>
      <w:kern w:val="2"/>
      <w:sz w:val="21"/>
      <w:szCs w:val="24"/>
    </w:rPr>
  </w:style>
  <w:style w:type="character" w:customStyle="1" w:styleId="43">
    <w:name w:val="批注主题 字符"/>
    <w:basedOn w:val="42"/>
    <w:link w:val="13"/>
    <w:semiHidden/>
    <w:qFormat/>
    <w:uiPriority w:val="0"/>
    <w:rPr>
      <w:b/>
      <w:bCs/>
      <w:kern w:val="2"/>
      <w:sz w:val="21"/>
      <w:szCs w:val="24"/>
    </w:rPr>
  </w:style>
  <w:style w:type="table" w:customStyle="1" w:styleId="44">
    <w:name w:val="网格型2"/>
    <w:basedOn w:val="14"/>
    <w:qFormat/>
    <w:uiPriority w:val="0"/>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5">
    <w:name w:val="修订1"/>
    <w:hidden/>
    <w:semiHidden/>
    <w:unhideWhenUsed/>
    <w:qFormat/>
    <w:uiPriority w:val="99"/>
    <w:rPr>
      <w:rFonts w:ascii="Times New Roman" w:hAnsi="Times New Roman" w:eastAsia="宋体" w:cs="Times New Roman"/>
      <w:kern w:val="2"/>
      <w:sz w:val="21"/>
      <w:szCs w:val="24"/>
      <w:lang w:val="en-US" w:eastAsia="zh-CN" w:bidi="ar-SA"/>
    </w:rPr>
  </w:style>
  <w:style w:type="paragraph" w:customStyle="1" w:styleId="46">
    <w:name w:val="正文文字"/>
    <w:basedOn w:val="1"/>
    <w:qFormat/>
    <w:uiPriority w:val="0"/>
    <w:pPr>
      <w:widowControl/>
      <w:spacing w:line="952" w:lineRule="atLeast"/>
      <w:ind w:firstLine="419"/>
      <w:textAlignment w:val="baseline"/>
    </w:pPr>
    <w:rPr>
      <w:b/>
      <w:color w:val="000000"/>
      <w:kern w:val="0"/>
      <w:sz w:val="44"/>
      <w:szCs w:val="20"/>
      <w:u w:color="000000"/>
    </w:rPr>
  </w:style>
  <w:style w:type="paragraph" w:customStyle="1" w:styleId="47">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48">
    <w:name w:val="标题 字符"/>
    <w:basedOn w:val="16"/>
    <w:link w:val="12"/>
    <w:qFormat/>
    <w:uiPriority w:val="0"/>
    <w:rPr>
      <w:rFonts w:asciiTheme="majorHAnsi" w:hAnsiTheme="majorHAnsi" w:cstheme="majorBidi"/>
      <w:b/>
      <w:bCs/>
      <w:kern w:val="2"/>
      <w:sz w:val="32"/>
      <w:szCs w:val="32"/>
    </w:rPr>
  </w:style>
  <w:style w:type="character" w:customStyle="1" w:styleId="49">
    <w:name w:val="font11"/>
    <w:basedOn w:val="16"/>
    <w:qFormat/>
    <w:uiPriority w:val="0"/>
    <w:rPr>
      <w:rFonts w:hint="eastAsia" w:ascii="宋体" w:hAnsi="宋体" w:eastAsia="宋体" w:cs="宋体"/>
      <w:color w:val="000000"/>
      <w:sz w:val="22"/>
      <w:szCs w:val="22"/>
      <w:u w:val="none"/>
    </w:rPr>
  </w:style>
  <w:style w:type="character" w:customStyle="1" w:styleId="50">
    <w:name w:val="font51"/>
    <w:basedOn w:val="16"/>
    <w:qFormat/>
    <w:uiPriority w:val="0"/>
    <w:rPr>
      <w:rFonts w:hint="default" w:ascii="Times New Roman" w:hAnsi="Times New Roman" w:cs="Times New Roman"/>
      <w:color w:val="000000"/>
      <w:sz w:val="22"/>
      <w:szCs w:val="22"/>
      <w:u w:val="none"/>
    </w:rPr>
  </w:style>
  <w:style w:type="character" w:customStyle="1" w:styleId="51">
    <w:name w:val="font41"/>
    <w:basedOn w:val="16"/>
    <w:qFormat/>
    <w:uiPriority w:val="0"/>
    <w:rPr>
      <w:rFonts w:hint="eastAsia" w:ascii="宋体" w:hAnsi="宋体" w:eastAsia="宋体" w:cs="宋体"/>
      <w:b/>
      <w:bCs/>
      <w:color w:val="000000"/>
      <w:sz w:val="22"/>
      <w:szCs w:val="22"/>
      <w:u w:val="none"/>
    </w:rPr>
  </w:style>
  <w:style w:type="character" w:customStyle="1" w:styleId="52">
    <w:name w:val="font81"/>
    <w:basedOn w:val="16"/>
    <w:qFormat/>
    <w:uiPriority w:val="0"/>
    <w:rPr>
      <w:rFonts w:hint="default" w:ascii="Times New Roman" w:hAnsi="Times New Roman" w:cs="Times New Roman"/>
      <w:color w:val="000000"/>
      <w:sz w:val="22"/>
      <w:szCs w:val="22"/>
      <w:u w:val="none"/>
      <w:vertAlign w:val="superscript"/>
    </w:rPr>
  </w:style>
  <w:style w:type="character" w:customStyle="1" w:styleId="53">
    <w:name w:val="font71"/>
    <w:basedOn w:val="16"/>
    <w:qFormat/>
    <w:uiPriority w:val="0"/>
    <w:rPr>
      <w:rFonts w:hint="eastAsia" w:ascii="宋体" w:hAnsi="宋体" w:eastAsia="宋体" w:cs="宋体"/>
      <w:color w:val="000000"/>
      <w:sz w:val="22"/>
      <w:szCs w:val="22"/>
      <w:u w:val="none"/>
    </w:rPr>
  </w:style>
  <w:style w:type="character" w:customStyle="1" w:styleId="54">
    <w:name w:val="font01"/>
    <w:basedOn w:val="16"/>
    <w:qFormat/>
    <w:uiPriority w:val="0"/>
    <w:rPr>
      <w:rFonts w:hint="default" w:ascii="Times New Roman" w:hAnsi="Times New Roman" w:cs="Times New Roman"/>
      <w:color w:val="000000"/>
      <w:sz w:val="22"/>
      <w:szCs w:val="22"/>
      <w:u w:val="none"/>
    </w:rPr>
  </w:style>
  <w:style w:type="character" w:customStyle="1" w:styleId="55">
    <w:name w:val="font91"/>
    <w:basedOn w:val="16"/>
    <w:qFormat/>
    <w:uiPriority w:val="0"/>
    <w:rPr>
      <w:rFonts w:hint="eastAsia" w:ascii="宋体" w:hAnsi="宋体" w:eastAsia="宋体" w:cs="宋体"/>
      <w:b/>
      <w:bCs/>
      <w:color w:val="000000"/>
      <w:sz w:val="22"/>
      <w:szCs w:val="22"/>
      <w:u w:val="none"/>
    </w:rPr>
  </w:style>
  <w:style w:type="character" w:customStyle="1" w:styleId="56">
    <w:name w:val="font61"/>
    <w:basedOn w:val="16"/>
    <w:qFormat/>
    <w:uiPriority w:val="0"/>
    <w:rPr>
      <w:rFonts w:hint="eastAsia" w:ascii="宋体" w:hAnsi="宋体" w:eastAsia="宋体" w:cs="宋体"/>
      <w:color w:val="000000"/>
      <w:sz w:val="22"/>
      <w:szCs w:val="22"/>
      <w:u w:val="none"/>
    </w:rPr>
  </w:style>
  <w:style w:type="character" w:customStyle="1" w:styleId="57">
    <w:name w:val="font101"/>
    <w:basedOn w:val="16"/>
    <w:qFormat/>
    <w:uiPriority w:val="0"/>
    <w:rPr>
      <w:rFonts w:hint="eastAsia" w:ascii="宋体" w:hAnsi="宋体" w:eastAsia="宋体" w:cs="宋体"/>
      <w:b/>
      <w:bCs/>
      <w:color w:val="000000"/>
      <w:sz w:val="22"/>
      <w:szCs w:val="22"/>
      <w:u w:val="none"/>
    </w:rPr>
  </w:style>
  <w:style w:type="character" w:customStyle="1" w:styleId="58">
    <w:name w:val="font112"/>
    <w:basedOn w:val="16"/>
    <w:qFormat/>
    <w:uiPriority w:val="0"/>
    <w:rPr>
      <w:rFonts w:hint="default" w:ascii="Times New Roman" w:hAnsi="Times New Roman" w:cs="Times New Roman"/>
      <w:color w:val="000000"/>
      <w:sz w:val="21"/>
      <w:szCs w:val="21"/>
      <w:u w:val="none"/>
    </w:rPr>
  </w:style>
  <w:style w:type="character" w:customStyle="1" w:styleId="59">
    <w:name w:val="font121"/>
    <w:basedOn w:val="16"/>
    <w:qFormat/>
    <w:uiPriority w:val="0"/>
    <w:rPr>
      <w:rFonts w:hint="default" w:ascii="Times New Roman" w:hAnsi="Times New Roman" w:cs="Times New Roman"/>
      <w:color w:val="000000"/>
      <w:sz w:val="21"/>
      <w:szCs w:val="21"/>
      <w:u w:val="none"/>
      <w:vertAlign w:val="superscript"/>
    </w:rPr>
  </w:style>
  <w:style w:type="character" w:customStyle="1" w:styleId="60">
    <w:name w:val="font31"/>
    <w:basedOn w:val="16"/>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319AEF-3227-4231-BD02-67834427550B}">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18</Pages>
  <Words>3496</Words>
  <Characters>4791</Characters>
  <Lines>1597</Lines>
  <Paragraphs>1183</Paragraphs>
  <TotalTime>10</TotalTime>
  <ScaleCrop>false</ScaleCrop>
  <LinksUpToDate>false</LinksUpToDate>
  <CharactersWithSpaces>7104</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2020-08-03T07:24:00Z</dcterms:created>
  <dc:creator>HP</dc:creator>
  <cp:lastModifiedBy>F.f</cp:lastModifiedBy>
  <cp:lastPrinted>2013-11-05T01:37:00Z</cp:lastPrinted>
  <dcterms:modified xsi:type="dcterms:W3CDTF">2026-01-30T00:17:45Z</dcterms:modified>
  <cp:revision>683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D680E1FFDF2C4F40A6B827C20713C5A7</vt:lpwstr>
  </property>
  <property fmtid="{D5CDD505-2E9C-101B-9397-08002B2CF9AE}" pid="4" name="KSOTemplateDocerSaveRecord">
    <vt:lpwstr>eyJoZGlkIjoiOTRmNzlmNjMxNmM3ZWZkYmQ3ODBhZGE0N2M5NzFmMWEiLCJ1c2VySWQiOiI0OTkyMjc2NzgifQ==</vt:lpwstr>
  </property>
</Properties>
</file>