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widowControl w:val="0"/>
        <w:snapToGrid w:val="0"/>
        <w:spacing w:line="360" w:lineRule="auto"/>
        <w:ind w:firstLine="418" w:firstLineChars="52"/>
        <w:jc w:val="center"/>
        <w:rPr>
          <w:rFonts w:hint="eastAsia" w:ascii="宋体" w:hAnsi="宋体"/>
          <w:color w:val="auto"/>
          <w:sz w:val="80"/>
          <w:szCs w:val="80"/>
        </w:rPr>
      </w:pPr>
    </w:p>
    <w:p>
      <w:pPr>
        <w:pStyle w:val="47"/>
        <w:widowControl w:val="0"/>
        <w:snapToGrid w:val="0"/>
        <w:spacing w:line="360" w:lineRule="auto"/>
        <w:ind w:firstLine="418" w:firstLineChars="52"/>
        <w:jc w:val="center"/>
        <w:rPr>
          <w:rFonts w:hint="eastAsia" w:ascii="宋体" w:hAnsi="宋体"/>
          <w:color w:val="auto"/>
          <w:sz w:val="80"/>
          <w:szCs w:val="80"/>
        </w:rPr>
      </w:pPr>
      <w:r>
        <w:rPr>
          <w:rFonts w:hint="eastAsia" w:ascii="宋体" w:hAnsi="宋体"/>
          <w:color w:val="auto"/>
          <w:sz w:val="80"/>
          <w:szCs w:val="80"/>
        </w:rPr>
        <w:t>院内采购文件</w:t>
      </w:r>
    </w:p>
    <w:p>
      <w:pPr>
        <w:pStyle w:val="47"/>
        <w:widowControl w:val="0"/>
        <w:snapToGrid w:val="0"/>
        <w:spacing w:line="360" w:lineRule="auto"/>
        <w:ind w:firstLine="0"/>
        <w:jc w:val="center"/>
        <w:rPr>
          <w:bCs/>
          <w:color w:val="auto"/>
          <w:kern w:val="2"/>
          <w:sz w:val="32"/>
          <w:szCs w:val="32"/>
        </w:rPr>
      </w:pPr>
    </w:p>
    <w:p>
      <w:pPr>
        <w:pStyle w:val="47"/>
        <w:widowControl w:val="0"/>
        <w:snapToGrid w:val="0"/>
        <w:spacing w:line="360" w:lineRule="auto"/>
        <w:ind w:firstLine="0"/>
        <w:jc w:val="center"/>
        <w:rPr>
          <w:bCs/>
          <w:color w:val="auto"/>
          <w:kern w:val="2"/>
          <w:sz w:val="32"/>
          <w:szCs w:val="32"/>
        </w:rPr>
      </w:pPr>
    </w:p>
    <w:p>
      <w:pPr>
        <w:pStyle w:val="47"/>
        <w:widowControl w:val="0"/>
        <w:snapToGrid w:val="0"/>
        <w:spacing w:line="360" w:lineRule="auto"/>
        <w:ind w:firstLine="0"/>
        <w:jc w:val="center"/>
        <w:rPr>
          <w:bCs/>
          <w:color w:val="auto"/>
          <w:kern w:val="2"/>
          <w:sz w:val="32"/>
          <w:szCs w:val="32"/>
        </w:rPr>
      </w:pPr>
    </w:p>
    <w:p>
      <w:pPr>
        <w:pStyle w:val="47"/>
        <w:widowControl w:val="0"/>
        <w:snapToGrid w:val="0"/>
        <w:spacing w:line="360" w:lineRule="auto"/>
        <w:ind w:firstLine="0"/>
        <w:jc w:val="center"/>
        <w:rPr>
          <w:bCs/>
          <w:color w:val="auto"/>
          <w:kern w:val="2"/>
          <w:sz w:val="32"/>
          <w:szCs w:val="32"/>
        </w:rPr>
      </w:pPr>
    </w:p>
    <w:p>
      <w:pPr>
        <w:pStyle w:val="47"/>
        <w:widowControl w:val="0"/>
        <w:snapToGrid w:val="0"/>
        <w:spacing w:line="360" w:lineRule="auto"/>
        <w:ind w:firstLine="0"/>
        <w:jc w:val="center"/>
        <w:rPr>
          <w:bCs/>
          <w:color w:val="auto"/>
          <w:kern w:val="2"/>
          <w:sz w:val="32"/>
          <w:szCs w:val="32"/>
        </w:rPr>
      </w:pPr>
    </w:p>
    <w:p>
      <w:pPr>
        <w:spacing w:line="360" w:lineRule="auto"/>
        <w:jc w:val="center"/>
        <w:rPr>
          <w:rFonts w:hint="eastAsia" w:eastAsia="宋体"/>
          <w:b/>
          <w:bCs/>
          <w:sz w:val="32"/>
          <w:szCs w:val="32"/>
          <w:lang w:eastAsia="zh-CN"/>
        </w:rPr>
      </w:pPr>
      <w:r>
        <w:rPr>
          <w:rFonts w:hint="eastAsia"/>
          <w:b/>
          <w:bCs/>
          <w:sz w:val="32"/>
          <w:szCs w:val="32"/>
        </w:rPr>
        <w:t xml:space="preserve">项目名称： </w:t>
      </w:r>
      <w:bookmarkStart w:id="0" w:name="OLE_LINK2"/>
      <w:r>
        <w:rPr>
          <w:b/>
          <w:bCs/>
          <w:sz w:val="32"/>
          <w:szCs w:val="32"/>
        </w:rPr>
        <w:t>乳腺癌精准诊疗基因检测</w:t>
      </w:r>
      <w:bookmarkEnd w:id="0"/>
      <w:r>
        <w:rPr>
          <w:rFonts w:hint="eastAsia"/>
          <w:b/>
          <w:bCs/>
          <w:sz w:val="32"/>
          <w:szCs w:val="32"/>
          <w:lang w:eastAsia="zh-CN"/>
        </w:rPr>
        <w:t>服务</w:t>
      </w:r>
    </w:p>
    <w:p>
      <w:pPr>
        <w:pStyle w:val="47"/>
        <w:widowControl w:val="0"/>
        <w:snapToGrid w:val="0"/>
        <w:spacing w:line="360" w:lineRule="auto"/>
        <w:ind w:firstLine="0"/>
        <w:jc w:val="center"/>
        <w:rPr>
          <w:rFonts w:hint="default" w:eastAsia="宋体"/>
          <w:bCs/>
          <w:color w:val="auto"/>
          <w:kern w:val="2"/>
          <w:sz w:val="32"/>
          <w:szCs w:val="32"/>
          <w:lang w:val="en-US" w:eastAsia="zh-CN"/>
        </w:rPr>
      </w:pPr>
    </w:p>
    <w:p>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b/>
          <w:bCs/>
          <w:sz w:val="32"/>
          <w:szCs w:val="32"/>
        </w:rPr>
        <w:t>-</w:t>
      </w:r>
      <w:r>
        <w:rPr>
          <w:rFonts w:hint="eastAsia"/>
          <w:b/>
          <w:bCs/>
          <w:sz w:val="32"/>
          <w:szCs w:val="32"/>
          <w:lang w:val="en-US" w:eastAsia="zh-CN"/>
        </w:rPr>
        <w:t>WSFW</w:t>
      </w:r>
      <w:r>
        <w:rPr>
          <w:b/>
          <w:bCs/>
          <w:sz w:val="32"/>
          <w:szCs w:val="32"/>
        </w:rPr>
        <w:t>-202</w:t>
      </w:r>
      <w:r>
        <w:rPr>
          <w:rFonts w:hint="eastAsia"/>
          <w:b/>
          <w:bCs/>
          <w:sz w:val="32"/>
          <w:szCs w:val="32"/>
        </w:rPr>
        <w:t>60</w:t>
      </w:r>
      <w:r>
        <w:rPr>
          <w:rFonts w:hint="eastAsia"/>
          <w:b/>
          <w:bCs/>
          <w:sz w:val="32"/>
          <w:szCs w:val="32"/>
          <w:lang w:val="en-US" w:eastAsia="zh-CN"/>
        </w:rPr>
        <w:t>313</w:t>
      </w:r>
    </w:p>
    <w:p>
      <w:pPr>
        <w:pStyle w:val="47"/>
        <w:widowControl w:val="0"/>
        <w:snapToGrid w:val="0"/>
        <w:spacing w:line="360" w:lineRule="auto"/>
        <w:ind w:firstLine="0"/>
        <w:jc w:val="center"/>
        <w:rPr>
          <w:rFonts w:hint="eastAsia" w:ascii="宋体" w:hAnsi="宋体"/>
          <w:color w:val="auto"/>
        </w:rPr>
      </w:pPr>
    </w:p>
    <w:p>
      <w:pPr>
        <w:pStyle w:val="47"/>
        <w:spacing w:line="360" w:lineRule="auto"/>
        <w:ind w:firstLine="0"/>
        <w:jc w:val="center"/>
        <w:rPr>
          <w:rFonts w:hint="eastAsia" w:ascii="宋体" w:hAnsi="宋体"/>
          <w:color w:val="auto"/>
          <w:sz w:val="32"/>
          <w:szCs w:val="32"/>
        </w:rPr>
      </w:pPr>
    </w:p>
    <w:p>
      <w:pPr>
        <w:pStyle w:val="47"/>
        <w:spacing w:line="360" w:lineRule="auto"/>
        <w:ind w:firstLine="0"/>
        <w:jc w:val="center"/>
        <w:rPr>
          <w:rFonts w:hint="eastAsia" w:ascii="宋体" w:hAnsi="宋体"/>
          <w:color w:val="auto"/>
          <w:sz w:val="32"/>
          <w:szCs w:val="32"/>
        </w:rPr>
      </w:pPr>
    </w:p>
    <w:p>
      <w:pPr>
        <w:pStyle w:val="47"/>
        <w:spacing w:line="360" w:lineRule="auto"/>
        <w:ind w:firstLine="0"/>
        <w:jc w:val="center"/>
        <w:rPr>
          <w:rFonts w:hint="eastAsia" w:ascii="宋体" w:hAnsi="宋体"/>
          <w:color w:val="auto"/>
          <w:sz w:val="32"/>
          <w:szCs w:val="32"/>
        </w:rPr>
      </w:pPr>
    </w:p>
    <w:p>
      <w:pPr>
        <w:pStyle w:val="47"/>
        <w:spacing w:line="360" w:lineRule="auto"/>
        <w:ind w:firstLine="0"/>
        <w:jc w:val="center"/>
        <w:rPr>
          <w:rFonts w:hint="eastAsia" w:ascii="宋体" w:hAnsi="宋体"/>
          <w:color w:val="auto"/>
          <w:sz w:val="32"/>
          <w:szCs w:val="32"/>
        </w:rPr>
      </w:pPr>
    </w:p>
    <w:p>
      <w:pPr>
        <w:pStyle w:val="47"/>
        <w:spacing w:line="360" w:lineRule="auto"/>
        <w:ind w:firstLine="0"/>
        <w:jc w:val="center"/>
        <w:rPr>
          <w:rFonts w:hint="eastAsia" w:ascii="宋体" w:hAnsi="宋体"/>
          <w:color w:val="auto"/>
          <w:sz w:val="32"/>
          <w:szCs w:val="32"/>
        </w:rPr>
      </w:pPr>
    </w:p>
    <w:p>
      <w:pPr>
        <w:pStyle w:val="47"/>
        <w:spacing w:line="360" w:lineRule="auto"/>
        <w:ind w:firstLine="0"/>
        <w:jc w:val="center"/>
        <w:rPr>
          <w:rFonts w:hint="eastAsia" w:ascii="宋体" w:hAnsi="宋体"/>
          <w:color w:val="auto"/>
          <w:sz w:val="32"/>
          <w:szCs w:val="32"/>
        </w:rPr>
      </w:pPr>
      <w:r>
        <w:rPr>
          <w:rFonts w:hint="eastAsia" w:ascii="宋体" w:hAnsi="宋体"/>
          <w:color w:val="auto"/>
          <w:sz w:val="32"/>
          <w:szCs w:val="32"/>
        </w:rPr>
        <w:t>采购单位：浙江大学医学院附属妇产科医院</w:t>
      </w:r>
    </w:p>
    <w:p>
      <w:pPr>
        <w:pStyle w:val="47"/>
        <w:spacing w:line="360" w:lineRule="auto"/>
        <w:ind w:firstLine="0"/>
        <w:jc w:val="center"/>
        <w:rPr>
          <w:rFonts w:hint="eastAsia" w:ascii="宋体" w:hAnsi="宋体"/>
          <w:sz w:val="32"/>
          <w:szCs w:val="32"/>
        </w:rPr>
      </w:pPr>
      <w:r>
        <w:rPr>
          <w:rFonts w:hint="eastAsia" w:ascii="宋体" w:hAnsi="宋体"/>
          <w:sz w:val="32"/>
          <w:szCs w:val="32"/>
        </w:rPr>
        <w:t>二〇二六</w:t>
      </w:r>
      <w:r>
        <w:rPr>
          <w:rFonts w:ascii="宋体" w:hAnsi="宋体"/>
          <w:sz w:val="32"/>
          <w:szCs w:val="32"/>
        </w:rPr>
        <w:t>年</w:t>
      </w:r>
      <w:r>
        <w:rPr>
          <w:rFonts w:hint="eastAsia" w:ascii="宋体" w:hAnsi="宋体"/>
          <w:sz w:val="32"/>
          <w:szCs w:val="32"/>
          <w:lang w:eastAsia="zh-CN"/>
        </w:rPr>
        <w:t>三</w:t>
      </w:r>
      <w:r>
        <w:rPr>
          <w:rFonts w:ascii="宋体" w:hAnsi="宋体"/>
          <w:sz w:val="32"/>
          <w:szCs w:val="32"/>
        </w:rPr>
        <w:t>月</w:t>
      </w:r>
    </w:p>
    <w:p>
      <w:pPr>
        <w:jc w:val="center"/>
        <w:rPr>
          <w:b/>
          <w:bCs/>
          <w:sz w:val="32"/>
        </w:rPr>
      </w:pPr>
    </w:p>
    <w:p>
      <w:pPr>
        <w:widowControl/>
        <w:jc w:val="center"/>
        <w:rPr>
          <w:b/>
          <w:bCs/>
          <w:sz w:val="48"/>
          <w:szCs w:val="48"/>
        </w:rPr>
      </w:pPr>
      <w:r>
        <w:rPr>
          <w:rFonts w:hint="eastAsia"/>
          <w:b/>
          <w:bCs/>
          <w:sz w:val="48"/>
          <w:szCs w:val="48"/>
        </w:rPr>
        <w:t>目  录</w:t>
      </w:r>
    </w:p>
    <w:p>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48"/>
          </w:pPr>
        </w:p>
        <w:p>
          <w:pPr>
            <w:pStyle w:val="10"/>
            <w:tabs>
              <w:tab w:val="right" w:leader="dot" w:pos="8296"/>
            </w:tabs>
            <w:rPr>
              <w:rFonts w:hint="eastAsia" w:asciiTheme="minorHAnsi" w:hAnsiTheme="minorHAnsi" w:eastAsiaTheme="minorEastAsia" w:cstheme="minorBidi"/>
              <w:sz w:val="22"/>
              <w14:ligatures w14:val="standardContextual"/>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"_Toc220618496" </w:instrText>
          </w:r>
          <w:r>
            <w:fldChar w:fldCharType="separate"/>
          </w:r>
          <w:r>
            <w:rPr>
              <w:rStyle w:val="20"/>
            </w:rPr>
            <w:t xml:space="preserve">第一章 </w:t>
          </w:r>
          <w:r>
            <w:rPr>
              <w:rStyle w:val="20"/>
              <w:rFonts w:hint="eastAsia"/>
            </w:rPr>
            <w:t xml:space="preserve"> </w:t>
          </w:r>
          <w:r>
            <w:rPr>
              <w:rStyle w:val="20"/>
            </w:rPr>
            <w:t>采购公告</w:t>
          </w:r>
          <w:r>
            <w:rPr>
              <w:rFonts w:hint="eastAsia"/>
            </w:rPr>
            <w:tab/>
          </w:r>
          <w:r>
            <w:rPr>
              <w:rFonts w:hint="eastAsia"/>
            </w:rPr>
            <w:fldChar w:fldCharType="begin"/>
          </w:r>
          <w:r>
            <w:rPr>
              <w:rFonts w:hint="eastAsia"/>
            </w:rPr>
            <w:instrText xml:space="preserve"> </w:instrText>
          </w:r>
          <w:r>
            <w:instrText xml:space="preserve">PAGEREF _Toc220618496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0"/>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"_Toc220618497" </w:instrText>
          </w:r>
          <w:r>
            <w:fldChar w:fldCharType="separate"/>
          </w:r>
          <w:r>
            <w:rPr>
              <w:rStyle w:val="20"/>
            </w:rPr>
            <w:t xml:space="preserve">第二章 </w:t>
          </w:r>
          <w:r>
            <w:rPr>
              <w:rStyle w:val="20"/>
              <w:rFonts w:hint="eastAsia"/>
            </w:rPr>
            <w:t xml:space="preserve"> </w:t>
          </w:r>
          <w:r>
            <w:rPr>
              <w:rStyle w:val="20"/>
            </w:rPr>
            <w:t>采购内容及需求</w:t>
          </w:r>
          <w:r>
            <w:rPr>
              <w:rFonts w:hint="eastAsia"/>
            </w:rPr>
            <w:tab/>
          </w:r>
          <w:r>
            <w:rPr>
              <w:rFonts w:hint="eastAsia"/>
            </w:rPr>
            <w:fldChar w:fldCharType="begin"/>
          </w:r>
          <w:r>
            <w:rPr>
              <w:rFonts w:hint="eastAsia"/>
            </w:rPr>
            <w:instrText xml:space="preserve"> </w:instrText>
          </w:r>
          <w:r>
            <w:instrText xml:space="preserve">PAGEREF _Toc220618497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0"/>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"_Toc220618498" </w:instrText>
          </w:r>
          <w:r>
            <w:fldChar w:fldCharType="separate"/>
          </w:r>
          <w:r>
            <w:rPr>
              <w:rStyle w:val="20"/>
            </w:rPr>
            <w:t xml:space="preserve">第三章 </w:t>
          </w:r>
          <w:r>
            <w:rPr>
              <w:rStyle w:val="20"/>
              <w:rFonts w:hint="eastAsia"/>
            </w:rPr>
            <w:t xml:space="preserve"> </w:t>
          </w:r>
          <w:r>
            <w:rPr>
              <w:rStyle w:val="20"/>
            </w:rPr>
            <w:t>评分标准</w:t>
          </w:r>
          <w:r>
            <w:rPr>
              <w:rFonts w:hint="eastAsia"/>
            </w:rPr>
            <w:tab/>
          </w:r>
          <w:r>
            <w:rPr>
              <w:rFonts w:hint="eastAsia"/>
            </w:rPr>
            <w:fldChar w:fldCharType="begin"/>
          </w:r>
          <w:r>
            <w:rPr>
              <w:rFonts w:hint="eastAsia"/>
            </w:rPr>
            <w:instrText xml:space="preserve"> </w:instrText>
          </w:r>
          <w:r>
            <w:instrText xml:space="preserve">PAGEREF _Toc220618498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0"/>
            <w:tabs>
              <w:tab w:val="left" w:pos="880"/>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"_Toc220618499" </w:instrText>
          </w:r>
          <w:r>
            <w:fldChar w:fldCharType="separate"/>
          </w:r>
          <w:r>
            <w:rPr>
              <w:rStyle w:val="20"/>
            </w:rPr>
            <w:t>第四章</w:t>
          </w:r>
          <w:r>
            <w:rPr>
              <w:rFonts w:hint="eastAsia" w:asciiTheme="minorHAnsi" w:hAnsiTheme="minorHAnsi" w:eastAsiaTheme="minorEastAsia" w:cstheme="minorBidi"/>
              <w:sz w:val="22"/>
              <w14:ligatures w14:val="standardContextual"/>
            </w:rPr>
            <w:tab/>
          </w:r>
          <w:r>
            <w:rPr>
              <w:rStyle w:val="20"/>
            </w:rPr>
            <w:t>响应文件格式</w:t>
          </w:r>
          <w:r>
            <w:rPr>
              <w:rFonts w:hint="eastAsia"/>
            </w:rPr>
            <w:tab/>
          </w:r>
          <w:r>
            <w:rPr>
              <w:rFonts w:hint="eastAsia"/>
            </w:rPr>
            <w:fldChar w:fldCharType="begin"/>
          </w:r>
          <w:r>
            <w:rPr>
              <w:rFonts w:hint="eastAsia"/>
            </w:rPr>
            <w:instrText xml:space="preserve"> </w:instrText>
          </w:r>
          <w:r>
            <w:instrText xml:space="preserve">PAGEREF _Toc220618499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0"/>
            <w:tabs>
              <w:tab w:val="left" w:pos="880"/>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"_Toc220618500" </w:instrText>
          </w:r>
          <w:r>
            <w:fldChar w:fldCharType="separate"/>
          </w:r>
          <w:r>
            <w:rPr>
              <w:rStyle w:val="20"/>
            </w:rPr>
            <w:t>第五章</w:t>
          </w:r>
          <w:r>
            <w:rPr>
              <w:rFonts w:hint="eastAsia" w:asciiTheme="minorHAnsi" w:hAnsiTheme="minorHAnsi" w:eastAsiaTheme="minorEastAsia" w:cstheme="minorBidi"/>
              <w:sz w:val="22"/>
              <w14:ligatures w14:val="standardContextual"/>
            </w:rPr>
            <w:tab/>
          </w:r>
          <w:r>
            <w:rPr>
              <w:rStyle w:val="20"/>
            </w:rPr>
            <w:t>合同主要条款</w:t>
          </w:r>
          <w:r>
            <w:rPr>
              <w:rFonts w:hint="eastAsia"/>
            </w:rPr>
            <w:tab/>
          </w:r>
          <w:r>
            <w:rPr>
              <w:rFonts w:hint="eastAsia"/>
            </w:rPr>
            <w:fldChar w:fldCharType="begin"/>
          </w:r>
          <w:r>
            <w:rPr>
              <w:rFonts w:hint="eastAsia"/>
            </w:rPr>
            <w:instrText xml:space="preserve"> </w:instrText>
          </w:r>
          <w:r>
            <w:instrText xml:space="preserve">PAGEREF _Toc220618500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rPr>
              <w:rFonts w:hint="eastAsia"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pPr>
        <w:jc w:val="left"/>
        <w:rPr>
          <w:b/>
          <w:bCs/>
          <w:sz w:val="32"/>
        </w:rPr>
      </w:pPr>
    </w:p>
    <w:p>
      <w:pPr>
        <w:jc w:val="center"/>
        <w:rPr>
          <w:b/>
          <w:bCs/>
          <w:sz w:val="32"/>
        </w:rPr>
      </w:pPr>
    </w:p>
    <w:p>
      <w:pPr>
        <w:widowControl/>
        <w:jc w:val="left"/>
        <w:rPr>
          <w:b/>
          <w:bCs/>
          <w:sz w:val="32"/>
        </w:rPr>
      </w:pPr>
      <w:r>
        <w:rPr>
          <w:b/>
          <w:bCs/>
          <w:sz w:val="32"/>
        </w:rPr>
        <w:br w:type="page"/>
      </w:r>
    </w:p>
    <w:p>
      <w:pPr>
        <w:pStyle w:val="13"/>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3"/>
      </w:pPr>
      <w:bookmarkStart w:id="1" w:name="_Toc220618496"/>
      <w:r>
        <w:rPr>
          <w:rFonts w:hint="eastAsia"/>
        </w:rPr>
        <w:t xml:space="preserve">第一章 </w:t>
      </w:r>
      <w:r>
        <w:t>采购公告</w:t>
      </w:r>
      <w:bookmarkEnd w:id="1"/>
    </w:p>
    <w:p>
      <w:pPr>
        <w:spacing w:line="360" w:lineRule="auto"/>
        <w:ind w:firstLine="482" w:firstLineChars="200"/>
        <w:rPr>
          <w:b/>
          <w:sz w:val="24"/>
        </w:rPr>
      </w:pPr>
    </w:p>
    <w:p>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WSFW</w:t>
      </w:r>
      <w:r>
        <w:rPr>
          <w:rFonts w:hint="eastAsia"/>
          <w:b/>
          <w:sz w:val="24"/>
        </w:rPr>
        <w:t>-20260</w:t>
      </w:r>
      <w:r>
        <w:rPr>
          <w:rFonts w:hint="eastAsia"/>
          <w:b/>
          <w:sz w:val="24"/>
          <w:lang w:val="en-US" w:eastAsia="zh-CN"/>
        </w:rPr>
        <w:t>313</w:t>
      </w:r>
      <w:r>
        <w:rPr>
          <w:b/>
          <w:sz w:val="24"/>
        </w:rPr>
        <w:t>）</w:t>
      </w:r>
    </w:p>
    <w:p>
      <w:pPr>
        <w:spacing w:line="360" w:lineRule="auto"/>
        <w:ind w:firstLine="482" w:firstLineChars="200"/>
        <w:rPr>
          <w:b/>
          <w:sz w:val="24"/>
        </w:rPr>
      </w:pPr>
    </w:p>
    <w:p>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pPr>
        <w:spacing w:line="360" w:lineRule="auto"/>
        <w:ind w:firstLine="480" w:firstLineChars="200"/>
        <w:rPr>
          <w:sz w:val="24"/>
        </w:rPr>
      </w:pPr>
    </w:p>
    <w:p>
      <w:pPr>
        <w:spacing w:line="360" w:lineRule="auto"/>
        <w:rPr>
          <w:b/>
          <w:bCs/>
          <w:sz w:val="24"/>
        </w:rPr>
      </w:pPr>
      <w:r>
        <w:rPr>
          <w:b/>
          <w:bCs/>
          <w:sz w:val="24"/>
        </w:rPr>
        <w:t>响应要求：</w:t>
      </w:r>
    </w:p>
    <w:p>
      <w:pPr>
        <w:spacing w:line="360" w:lineRule="auto"/>
        <w:rPr>
          <w:sz w:val="24"/>
        </w:rPr>
      </w:pPr>
      <w:r>
        <w:rPr>
          <w:sz w:val="24"/>
        </w:rPr>
        <w:t>1、提供有效的营业执照复印件并加盖公司公章。</w:t>
      </w:r>
    </w:p>
    <w:p>
      <w:pPr>
        <w:spacing w:line="360" w:lineRule="auto"/>
        <w:rPr>
          <w:sz w:val="24"/>
        </w:rPr>
      </w:pPr>
      <w:r>
        <w:rPr>
          <w:sz w:val="24"/>
        </w:rPr>
        <w:t>2、提供自采购公告发布之日起至公告截止日内任意时间的“信用中国”网站（www.creditchina.gov.cn）的响应供应商信用查询网页截图。</w:t>
      </w:r>
    </w:p>
    <w:p>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pPr>
        <w:spacing w:line="360" w:lineRule="auto"/>
        <w:rPr>
          <w:sz w:val="24"/>
        </w:rPr>
      </w:pPr>
      <w:r>
        <w:rPr>
          <w:rFonts w:hint="eastAsia"/>
          <w:sz w:val="24"/>
        </w:rPr>
        <w:t>4</w:t>
      </w:r>
      <w:r>
        <w:rPr>
          <w:sz w:val="24"/>
        </w:rPr>
        <w:t>、不接受联合体响应，不允许分包和转包。</w:t>
      </w:r>
    </w:p>
    <w:p>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pPr>
        <w:spacing w:line="360" w:lineRule="auto"/>
        <w:rPr>
          <w:sz w:val="24"/>
        </w:rPr>
      </w:pPr>
      <w:r>
        <w:rPr>
          <w:rFonts w:hint="eastAsia"/>
          <w:sz w:val="24"/>
        </w:rPr>
        <w:t>6</w:t>
      </w:r>
      <w:r>
        <w:rPr>
          <w:sz w:val="24"/>
        </w:rPr>
        <w:t>、</w:t>
      </w:r>
      <w:r>
        <w:rPr>
          <w:rFonts w:hint="eastAsia"/>
          <w:sz w:val="24"/>
        </w:rPr>
        <w:t>采购时间初步定于</w:t>
      </w:r>
      <w:r>
        <w:rPr>
          <w:rFonts w:hint="eastAsia"/>
          <w:b/>
          <w:color w:val="FF0000"/>
          <w:sz w:val="24"/>
        </w:rPr>
        <w:t>202</w:t>
      </w:r>
      <w:r>
        <w:rPr>
          <w:rFonts w:hint="eastAsia"/>
          <w:b/>
          <w:color w:val="FF0000"/>
          <w:sz w:val="24"/>
          <w:lang w:val="en-US" w:eastAsia="zh-CN"/>
        </w:rPr>
        <w:t>6</w:t>
      </w:r>
      <w:r>
        <w:rPr>
          <w:rFonts w:hint="eastAsia"/>
          <w:b/>
          <w:color w:val="FF0000"/>
          <w:sz w:val="24"/>
        </w:rPr>
        <w:t>年</w:t>
      </w:r>
      <w:r>
        <w:rPr>
          <w:rFonts w:hint="eastAsia"/>
          <w:b/>
          <w:color w:val="FF0000"/>
          <w:sz w:val="24"/>
          <w:lang w:val="en-US" w:eastAsia="zh-CN"/>
        </w:rPr>
        <w:t>3</w:t>
      </w:r>
      <w:r>
        <w:rPr>
          <w:rFonts w:hint="eastAsia"/>
          <w:b/>
          <w:color w:val="FF0000"/>
          <w:sz w:val="24"/>
        </w:rPr>
        <w:t>月</w:t>
      </w:r>
      <w:r>
        <w:rPr>
          <w:rFonts w:hint="eastAsia"/>
          <w:b/>
          <w:color w:val="FF0000"/>
          <w:sz w:val="24"/>
          <w:lang w:val="en-US" w:eastAsia="zh-CN"/>
        </w:rPr>
        <w:t>23</w:t>
      </w:r>
      <w:r>
        <w:rPr>
          <w:rFonts w:hint="eastAsia"/>
          <w:b/>
          <w:color w:val="FF0000"/>
          <w:sz w:val="24"/>
        </w:rPr>
        <w:t>日</w:t>
      </w:r>
      <w:r>
        <w:rPr>
          <w:rFonts w:hint="eastAsia"/>
          <w:b/>
          <w:color w:val="FF0000"/>
          <w:sz w:val="24"/>
          <w:lang w:val="en-US" w:eastAsia="zh-CN"/>
        </w:rPr>
        <w:t>14</w:t>
      </w:r>
      <w:bookmarkStart w:id="8" w:name="_GoBack"/>
      <w:bookmarkEnd w:id="8"/>
      <w:r>
        <w:rPr>
          <w:rFonts w:hint="eastAsia"/>
          <w:b/>
          <w:color w:val="FF0000"/>
          <w:sz w:val="24"/>
        </w:rPr>
        <w:t>:00</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b/>
          <w:bCs/>
          <w:color w:val="FF0000"/>
          <w:sz w:val="24"/>
        </w:rPr>
        <w:t>报名</w:t>
      </w:r>
      <w:r>
        <w:rPr>
          <w:b/>
          <w:color w:val="FF0000"/>
          <w:sz w:val="24"/>
        </w:rPr>
        <w:t>截止日期为</w:t>
      </w:r>
      <w:r>
        <w:rPr>
          <w:rFonts w:hint="eastAsia"/>
          <w:b/>
          <w:color w:val="FF0000"/>
          <w:sz w:val="24"/>
          <w:lang w:val="en-US" w:eastAsia="zh-CN"/>
        </w:rPr>
        <w:t>3</w:t>
      </w:r>
      <w:r>
        <w:rPr>
          <w:rFonts w:hint="eastAsia"/>
          <w:b/>
          <w:color w:val="FF0000"/>
          <w:sz w:val="24"/>
        </w:rPr>
        <w:t>月</w:t>
      </w:r>
      <w:r>
        <w:rPr>
          <w:rFonts w:hint="eastAsia"/>
          <w:b/>
          <w:color w:val="FF0000"/>
          <w:sz w:val="24"/>
          <w:lang w:val="en-US" w:eastAsia="zh-CN"/>
        </w:rPr>
        <w:t>20</w:t>
      </w:r>
      <w:r>
        <w:rPr>
          <w:rFonts w:hint="eastAsia"/>
          <w:b/>
          <w:color w:val="FF0000"/>
          <w:sz w:val="24"/>
        </w:rPr>
        <w:t>日16:00</w:t>
      </w:r>
      <w:r>
        <w:rPr>
          <w:sz w:val="24"/>
        </w:rPr>
        <w:t>（报名以邮件为准，邮件标题请注明采购编号及所投</w:t>
      </w:r>
      <w:r>
        <w:rPr>
          <w:rFonts w:hint="eastAsia"/>
          <w:sz w:val="24"/>
        </w:rPr>
        <w:t>项目</w:t>
      </w:r>
      <w:r>
        <w:rPr>
          <w:sz w:val="24"/>
        </w:rPr>
        <w:t>号，</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w:t>
      </w:r>
      <w:r>
        <w:rPr>
          <w:rFonts w:hint="eastAsia"/>
          <w:b/>
          <w:sz w:val="24"/>
        </w:rPr>
        <w:t>式等</w:t>
      </w:r>
      <w:r>
        <w:rPr>
          <w:rFonts w:hint="eastAsia"/>
          <w:sz w:val="24"/>
        </w:rPr>
        <w:t>。</w:t>
      </w:r>
    </w:p>
    <w:p>
      <w:pPr>
        <w:spacing w:line="360" w:lineRule="auto"/>
        <w:rPr>
          <w:sz w:val="24"/>
        </w:rPr>
      </w:pPr>
      <w:r>
        <w:rPr>
          <w:rFonts w:hint="eastAsia"/>
          <w:sz w:val="24"/>
        </w:rPr>
        <w:t>7</w:t>
      </w:r>
      <w:r>
        <w:rPr>
          <w:sz w:val="24"/>
        </w:rPr>
        <w:t>、以上事项均为必须项，任何一项不满足均取消响应资格。</w:t>
      </w:r>
    </w:p>
    <w:p>
      <w:pPr>
        <w:spacing w:line="360" w:lineRule="auto"/>
        <w:rPr>
          <w:b/>
          <w:bCs/>
          <w:sz w:val="24"/>
        </w:rPr>
      </w:pPr>
    </w:p>
    <w:p>
      <w:pPr>
        <w:spacing w:line="360" w:lineRule="auto"/>
        <w:rPr>
          <w:b/>
          <w:bCs/>
          <w:sz w:val="24"/>
        </w:rPr>
      </w:pPr>
    </w:p>
    <w:p>
      <w:pPr>
        <w:spacing w:line="360" w:lineRule="auto"/>
        <w:rPr>
          <w:b/>
          <w:bCs/>
          <w:sz w:val="24"/>
        </w:rPr>
      </w:pPr>
      <w:r>
        <w:rPr>
          <w:b/>
          <w:bCs/>
          <w:sz w:val="24"/>
        </w:rPr>
        <w:t>其他事项：</w:t>
      </w:r>
    </w:p>
    <w:p>
      <w:pPr>
        <w:rPr>
          <w:sz w:val="24"/>
        </w:rPr>
      </w:pPr>
      <w:r>
        <w:rPr>
          <w:sz w:val="24"/>
        </w:rPr>
        <w:t>咨询、报名电话：</w:t>
      </w:r>
      <w:r>
        <w:rPr>
          <w:rFonts w:hint="eastAsia"/>
          <w:sz w:val="24"/>
        </w:rPr>
        <w:t>采购中心 施老师89991092</w:t>
      </w:r>
      <w:r>
        <w:rPr>
          <w:sz w:val="24"/>
        </w:rPr>
        <w:t>。EMAIL：</w:t>
      </w:r>
      <w:r>
        <w:rPr>
          <w:rFonts w:hint="eastAsia"/>
          <w:sz w:val="24"/>
        </w:rPr>
        <w:t>CGZX_SCF@163.com</w:t>
      </w:r>
    </w:p>
    <w:p>
      <w:r>
        <w:rPr>
          <w:rFonts w:hint="eastAsia"/>
        </w:rPr>
        <w:br w:type="page"/>
      </w:r>
    </w:p>
    <w:p>
      <w:pPr>
        <w:pStyle w:val="13"/>
      </w:pPr>
      <w:bookmarkStart w:id="2" w:name="_Toc220618497"/>
      <w:r>
        <w:rPr>
          <w:rFonts w:hint="eastAsia"/>
        </w:rPr>
        <w:t xml:space="preserve">第二章 </w:t>
      </w:r>
      <w:r>
        <w:t>采购内容</w:t>
      </w:r>
      <w:r>
        <w:rPr>
          <w:rFonts w:hint="eastAsia"/>
        </w:rPr>
        <w:t>及</w:t>
      </w:r>
      <w:r>
        <w:t>需求</w:t>
      </w:r>
      <w:bookmarkEnd w:id="2"/>
    </w:p>
    <w:p>
      <w:pPr>
        <w:rPr>
          <w:b/>
          <w:sz w:val="32"/>
          <w:szCs w:val="32"/>
        </w:rPr>
      </w:pPr>
      <w:r>
        <w:rPr>
          <w:rFonts w:hint="eastAsia"/>
          <w:b/>
          <w:sz w:val="32"/>
          <w:szCs w:val="32"/>
        </w:rPr>
        <w:t>一</w:t>
      </w:r>
      <w:r>
        <w:rPr>
          <w:b/>
          <w:sz w:val="32"/>
          <w:szCs w:val="32"/>
        </w:rPr>
        <w:t>、总体要求：</w:t>
      </w:r>
    </w:p>
    <w:p>
      <w:pPr>
        <w:spacing w:line="360" w:lineRule="auto"/>
        <w:rPr>
          <w:rFonts w:ascii="Calibri" w:hAnsi="Calibri"/>
          <w:sz w:val="24"/>
        </w:rPr>
      </w:pPr>
      <w:r>
        <w:rPr>
          <w:rFonts w:hint="eastAsia" w:ascii="Calibri" w:hAnsi="Calibri"/>
          <w:sz w:val="24"/>
        </w:rPr>
        <w:t>1、成交供应商在保证成交产品质量、执行国家物价的前提下按约定的品种、规格、数量、价格、供货方式等供货，保证临床使用不断档。</w:t>
      </w:r>
    </w:p>
    <w:p>
      <w:pPr>
        <w:spacing w:line="360" w:lineRule="auto"/>
        <w:rPr>
          <w:rFonts w:ascii="Calibri" w:hAnsi="Calibri"/>
          <w:sz w:val="24"/>
        </w:rPr>
      </w:pPr>
      <w:r>
        <w:rPr>
          <w:rFonts w:hint="eastAsia" w:ascii="Calibri" w:hAnsi="Calibri"/>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ascii="Calibri" w:hAnsi="Calibri"/>
          <w:sz w:val="24"/>
        </w:rPr>
      </w:pPr>
      <w:r>
        <w:rPr>
          <w:rFonts w:hint="eastAsia" w:ascii="Calibri" w:hAnsi="Calibri"/>
          <w:sz w:val="24"/>
        </w:rPr>
        <w:t>3、签约或履约期间，有入围供应商不能签约或履约的，允许按评审结果排名先后替补。</w:t>
      </w:r>
    </w:p>
    <w:p>
      <w:pPr>
        <w:spacing w:line="360" w:lineRule="auto"/>
        <w:rPr>
          <w:rFonts w:ascii="Calibri" w:hAnsi="Calibri"/>
          <w:sz w:val="24"/>
        </w:rPr>
      </w:pPr>
      <w:r>
        <w:rPr>
          <w:rFonts w:hint="eastAsia" w:ascii="Calibri" w:hAnsi="Calibri"/>
          <w:sz w:val="24"/>
        </w:rPr>
        <w:t>4、若遇国家重大政策调整影响合同执行的情况，双方可共同友好协商解决。</w:t>
      </w:r>
    </w:p>
    <w:p>
      <w:pPr>
        <w:spacing w:line="360" w:lineRule="auto"/>
        <w:rPr>
          <w:sz w:val="24"/>
        </w:rPr>
      </w:pPr>
      <w:r>
        <w:rPr>
          <w:rFonts w:hint="eastAsia" w:ascii="Calibri" w:hAnsi="Calibri"/>
          <w:sz w:val="24"/>
        </w:rPr>
        <w:t>5、</w:t>
      </w:r>
      <w:r>
        <w:rPr>
          <w:rFonts w:hint="eastAsia"/>
          <w:sz w:val="24"/>
        </w:rPr>
        <w:t>“</w:t>
      </w:r>
      <w:bookmarkStart w:id="3" w:name="OLE_LINK1"/>
      <w:r>
        <w:rPr>
          <w:rFonts w:hint="eastAsia"/>
          <w:sz w:val="24"/>
        </w:rPr>
        <w:t>▲</w:t>
      </w:r>
      <w:bookmarkEnd w:id="3"/>
      <w:r>
        <w:rPr>
          <w:rFonts w:hint="eastAsia"/>
          <w:sz w:val="24"/>
        </w:rPr>
        <w:t>”为实质性条款，若不满足响应无效。“</w:t>
      </w:r>
      <w:r>
        <w:rPr>
          <w:sz w:val="24"/>
        </w:rPr>
        <w:t>Δ</w:t>
      </w:r>
      <w:r>
        <w:rPr>
          <w:rFonts w:hint="eastAsia"/>
          <w:sz w:val="24"/>
        </w:rPr>
        <w:t>”为重点条款。</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hint="eastAsia"/>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pPr>
        <w:widowControl/>
        <w:jc w:val="left"/>
        <w:rPr>
          <w:rFonts w:hint="eastAsia" w:eastAsia="宋体"/>
          <w:b/>
          <w:szCs w:val="21"/>
          <w:lang w:eastAsia="zh-CN"/>
        </w:rPr>
      </w:pPr>
      <w:bookmarkStart w:id="4" w:name="OLE_LINK3"/>
      <w:r>
        <w:rPr>
          <w:rFonts w:hint="eastAsia"/>
          <w:b/>
          <w:szCs w:val="21"/>
        </w:rPr>
        <w:t xml:space="preserve">项目一: </w:t>
      </w:r>
      <w:bookmarkEnd w:id="4"/>
      <w:r>
        <w:rPr>
          <w:rFonts w:hint="eastAsia"/>
          <w:b/>
          <w:szCs w:val="21"/>
        </w:rPr>
        <w:t>乳腺癌精准诊疗基因检测</w:t>
      </w:r>
      <w:r>
        <w:rPr>
          <w:rFonts w:hint="eastAsia"/>
          <w:b/>
          <w:szCs w:val="21"/>
          <w:lang w:eastAsia="zh-CN"/>
        </w:rPr>
        <w:t>服务（预算</w:t>
      </w:r>
      <w:r>
        <w:rPr>
          <w:rFonts w:hint="eastAsia"/>
          <w:b/>
          <w:szCs w:val="21"/>
          <w:lang w:val="en-US" w:eastAsia="zh-CN"/>
        </w:rPr>
        <w:t>8.49万元</w:t>
      </w:r>
      <w:r>
        <w:rPr>
          <w:rFonts w:hint="eastAsia"/>
          <w:b/>
          <w:szCs w:val="21"/>
          <w:lang w:eastAsia="zh-CN"/>
        </w:rPr>
        <w:t>）</w:t>
      </w:r>
    </w:p>
    <w:tbl>
      <w:tblPr>
        <w:tblStyle w:val="15"/>
        <w:tblW w:w="8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8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用于乳腺癌的靶向治疗、化疗、免疫治疗用药指导影响的相关基因检测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检测方法学：NGS，需提供检测平台相关医疗器械注册证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检测内容需包含以下基因：BRCA1,BRCA2,BRAF,PIK3CA,PALB2,PTEN,AKT1,ESR1,ERBB2（HER2）,FGFR1/2/3，NTRK1,NTRK2,NTRK3,RET,TP53,CCND1,EGFR,FBXW7,FGFR1,FGFR2,MTOR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样本测序数据量≥4G，提供相关证明材料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样本测序reads数≥13,000,000，提供相关证明材料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样本DNA平均测序深度大于1000x，提供相关证明材料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样本DNA200x覆盖度大于等于90%，提供相关证明材料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样本测序Q30≥80%，提供相关证明材料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检测周期≤7天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检测结果可上传病理科报告审核系统，提供对接方案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检测机构具有质量管理体系认证：如：ISO 15189、ISO 9001、ISO 27001、ISO14001、ISO45001、CAP认证等。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供应商或其全资子公司具备道路运输经营许可证，具备供采购人专用的样本运输路线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0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服务能力：浙江省内至少3家单位妇科肿瘤基因检测相关业务合作，提供合作单位的清单、（同项目）合同、联系人及电话等证明材料。</w:t>
            </w:r>
          </w:p>
        </w:tc>
      </w:tr>
    </w:tbl>
    <w:p>
      <w:pPr>
        <w:widowControl/>
        <w:jc w:val="left"/>
      </w:pPr>
      <w:r>
        <w:br w:type="page"/>
      </w:r>
    </w:p>
    <w:p>
      <w:pPr>
        <w:rPr>
          <w:rFonts w:hint="eastAsia"/>
        </w:rPr>
      </w:pPr>
    </w:p>
    <w:p>
      <w:pPr>
        <w:pStyle w:val="13"/>
        <w:numPr>
          <w:ilvl w:val="0"/>
          <w:numId w:val="1"/>
        </w:numPr>
      </w:pPr>
      <w:bookmarkStart w:id="5" w:name="_Toc220618498"/>
      <w:r>
        <w:rPr>
          <w:rFonts w:hint="eastAsia"/>
        </w:rPr>
        <w:t>评分标准</w:t>
      </w:r>
      <w:bookmarkEnd w:id="5"/>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51"/>
        <w:gridCol w:w="1360"/>
        <w:gridCol w:w="4393"/>
        <w:gridCol w:w="85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0" w:hRule="atLeast"/>
          <w:jc w:val="center"/>
        </w:trPr>
        <w:tc>
          <w:tcPr>
            <w:tcW w:w="851" w:type="dxa"/>
            <w:shd w:val="clear" w:color="auto" w:fill="FFFFFF"/>
            <w:noWrap w:val="0"/>
            <w:vAlign w:val="center"/>
          </w:tcPr>
          <w:p>
            <w:pPr>
              <w:jc w:val="center"/>
              <w:rPr>
                <w:sz w:val="24"/>
              </w:rPr>
            </w:pPr>
            <w:r>
              <w:rPr>
                <w:sz w:val="24"/>
              </w:rPr>
              <w:t>序号</w:t>
            </w:r>
          </w:p>
        </w:tc>
        <w:tc>
          <w:tcPr>
            <w:tcW w:w="1360" w:type="dxa"/>
            <w:shd w:val="clear" w:color="auto" w:fill="FFFFFF"/>
            <w:noWrap w:val="0"/>
            <w:vAlign w:val="center"/>
          </w:tcPr>
          <w:p>
            <w:pPr>
              <w:jc w:val="center"/>
              <w:rPr>
                <w:sz w:val="24"/>
              </w:rPr>
            </w:pPr>
            <w:r>
              <w:rPr>
                <w:sz w:val="24"/>
              </w:rPr>
              <w:t>评审内容</w:t>
            </w:r>
          </w:p>
        </w:tc>
        <w:tc>
          <w:tcPr>
            <w:tcW w:w="4393" w:type="dxa"/>
            <w:shd w:val="clear" w:color="auto" w:fill="FFFFFF"/>
            <w:noWrap w:val="0"/>
            <w:vAlign w:val="center"/>
          </w:tcPr>
          <w:p>
            <w:pPr>
              <w:jc w:val="center"/>
              <w:rPr>
                <w:sz w:val="24"/>
              </w:rPr>
            </w:pPr>
            <w:r>
              <w:rPr>
                <w:sz w:val="24"/>
              </w:rPr>
              <w:t>评审细则</w:t>
            </w:r>
          </w:p>
        </w:tc>
        <w:tc>
          <w:tcPr>
            <w:tcW w:w="852" w:type="dxa"/>
            <w:shd w:val="clear" w:color="auto" w:fill="FFFFFF"/>
            <w:noWrap w:val="0"/>
            <w:vAlign w:val="center"/>
          </w:tcPr>
          <w:p>
            <w:pPr>
              <w:jc w:val="center"/>
              <w:rPr>
                <w:sz w:val="24"/>
              </w:rPr>
            </w:pPr>
            <w:r>
              <w:rPr>
                <w:sz w:val="24"/>
              </w:rPr>
              <w:t>分值</w:t>
            </w:r>
          </w:p>
        </w:tc>
        <w:tc>
          <w:tcPr>
            <w:tcW w:w="1024" w:type="dxa"/>
            <w:shd w:val="clear" w:color="auto" w:fill="FFFFFF"/>
            <w:noWrap w:val="0"/>
            <w:vAlign w:val="center"/>
          </w:tcPr>
          <w:p>
            <w:pPr>
              <w:widowControl/>
              <w:jc w:val="center"/>
              <w:rPr>
                <w:kern w:val="0"/>
                <w:sz w:val="24"/>
              </w:rPr>
            </w:pPr>
            <w:r>
              <w:rPr>
                <w:rFonts w:hint="eastAsia"/>
                <w:kern w:val="0"/>
                <w:sz w:val="24"/>
              </w:rPr>
              <w:t>客观分/主观分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vMerge w:val="restart"/>
            <w:shd w:val="clear" w:color="auto" w:fill="FFFFFF"/>
            <w:noWrap w:val="0"/>
            <w:vAlign w:val="center"/>
          </w:tcPr>
          <w:p>
            <w:pPr>
              <w:jc w:val="center"/>
              <w:rPr>
                <w:sz w:val="24"/>
              </w:rPr>
            </w:pPr>
            <w:r>
              <w:rPr>
                <w:rFonts w:hint="eastAsia"/>
                <w:sz w:val="24"/>
              </w:rPr>
              <w:t>1</w:t>
            </w:r>
          </w:p>
        </w:tc>
        <w:tc>
          <w:tcPr>
            <w:tcW w:w="1360" w:type="dxa"/>
            <w:vMerge w:val="restart"/>
            <w:shd w:val="clear" w:color="auto" w:fill="FFFFFF"/>
            <w:noWrap w:val="0"/>
            <w:vAlign w:val="center"/>
          </w:tcPr>
          <w:p>
            <w:pPr>
              <w:rPr>
                <w:rFonts w:hint="eastAsia"/>
                <w:sz w:val="24"/>
              </w:rPr>
            </w:pPr>
            <w:r>
              <w:rPr>
                <w:rFonts w:hint="eastAsia"/>
                <w:sz w:val="24"/>
              </w:rPr>
              <w:t>供应商或授权的检测机构的能力</w:t>
            </w:r>
          </w:p>
        </w:tc>
        <w:tc>
          <w:tcPr>
            <w:tcW w:w="4393" w:type="dxa"/>
            <w:shd w:val="clear" w:color="auto" w:fill="FFFFFF"/>
            <w:noWrap w:val="0"/>
            <w:vAlign w:val="center"/>
          </w:tcPr>
          <w:p>
            <w:pPr>
              <w:rPr>
                <w:rFonts w:hint="eastAsia"/>
                <w:sz w:val="24"/>
              </w:rPr>
            </w:pPr>
            <w:r>
              <w:rPr>
                <w:rFonts w:hint="eastAsia"/>
                <w:sz w:val="24"/>
              </w:rPr>
              <w:t>具有</w:t>
            </w:r>
            <w:r>
              <w:rPr>
                <w:rFonts w:ascii="宋体" w:hAnsi="宋体"/>
                <w:sz w:val="24"/>
              </w:rPr>
              <w:t>质量管理体系认证</w:t>
            </w:r>
            <w:r>
              <w:rPr>
                <w:rFonts w:hint="eastAsia" w:ascii="宋体" w:hAnsi="宋体"/>
                <w:sz w:val="24"/>
              </w:rPr>
              <w:t>：如：</w:t>
            </w:r>
            <w:r>
              <w:rPr>
                <w:rFonts w:ascii="宋体" w:hAnsi="宋体"/>
                <w:sz w:val="24"/>
              </w:rPr>
              <w:t>ISO 15189、ISO 9001、ISO 27001</w:t>
            </w:r>
            <w:r>
              <w:rPr>
                <w:rFonts w:hint="eastAsia" w:ascii="宋体" w:hAnsi="宋体"/>
                <w:sz w:val="24"/>
              </w:rPr>
              <w:t>、ISO14001、ISO45001</w:t>
            </w:r>
            <w:r>
              <w:rPr>
                <w:rFonts w:hint="eastAsia" w:ascii="宋体" w:hAnsi="宋体"/>
                <w:sz w:val="24"/>
                <w:lang w:val="en-US" w:eastAsia="zh-CN"/>
              </w:rPr>
              <w:t>等</w:t>
            </w:r>
            <w:r>
              <w:rPr>
                <w:rFonts w:ascii="宋体" w:hAnsi="宋体"/>
                <w:sz w:val="24"/>
              </w:rPr>
              <w:t>。</w:t>
            </w:r>
            <w:r>
              <w:rPr>
                <w:rFonts w:hint="eastAsia"/>
                <w:sz w:val="24"/>
              </w:rPr>
              <w:t>每提供一份得0.6分，最高得3分。</w:t>
            </w:r>
          </w:p>
          <w:p>
            <w:pPr>
              <w:rPr>
                <w:sz w:val="24"/>
              </w:rPr>
            </w:pPr>
            <w:r>
              <w:rPr>
                <w:rFonts w:hint="eastAsia"/>
                <w:sz w:val="24"/>
              </w:rPr>
              <w:t>提供证书复印件，授权书等证明材料。</w:t>
            </w:r>
          </w:p>
        </w:tc>
        <w:tc>
          <w:tcPr>
            <w:tcW w:w="852" w:type="dxa"/>
            <w:shd w:val="clear" w:color="auto" w:fill="FFFFFF"/>
            <w:noWrap w:val="0"/>
            <w:vAlign w:val="center"/>
          </w:tcPr>
          <w:p>
            <w:pPr>
              <w:jc w:val="center"/>
              <w:rPr>
                <w:rFonts w:hint="eastAsia"/>
                <w:sz w:val="24"/>
              </w:rPr>
            </w:pPr>
            <w:r>
              <w:rPr>
                <w:rFonts w:hint="eastAsia"/>
                <w:sz w:val="24"/>
              </w:rPr>
              <w:t>3</w:t>
            </w:r>
          </w:p>
        </w:tc>
        <w:tc>
          <w:tcPr>
            <w:tcW w:w="1024" w:type="dxa"/>
            <w:shd w:val="clear" w:color="auto" w:fill="FFFFFF"/>
            <w:noWrap w:val="0"/>
            <w:vAlign w:val="center"/>
          </w:tcPr>
          <w:p>
            <w:pPr>
              <w:jc w:val="center"/>
              <w:rPr>
                <w:rFonts w:hint="eastAsia"/>
                <w:sz w:val="24"/>
              </w:rPr>
            </w:pPr>
            <w:r>
              <w:rPr>
                <w:rFonts w:hint="eastAsia"/>
                <w:kern w:val="0"/>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vMerge w:val="continue"/>
            <w:shd w:val="clear" w:color="auto" w:fill="FFFFFF"/>
            <w:noWrap w:val="0"/>
            <w:vAlign w:val="center"/>
          </w:tcPr>
          <w:p>
            <w:pPr>
              <w:jc w:val="center"/>
              <w:rPr>
                <w:sz w:val="24"/>
              </w:rPr>
            </w:pPr>
          </w:p>
        </w:tc>
        <w:tc>
          <w:tcPr>
            <w:tcW w:w="1360" w:type="dxa"/>
            <w:vMerge w:val="continue"/>
            <w:shd w:val="clear" w:color="auto" w:fill="FFFFFF"/>
            <w:noWrap w:val="0"/>
            <w:vAlign w:val="center"/>
          </w:tcPr>
          <w:p>
            <w:pPr>
              <w:rPr>
                <w:sz w:val="24"/>
              </w:rPr>
            </w:pPr>
          </w:p>
        </w:tc>
        <w:tc>
          <w:tcPr>
            <w:tcW w:w="4393" w:type="dxa"/>
            <w:shd w:val="clear" w:color="auto" w:fill="FFFFFF"/>
            <w:noWrap w:val="0"/>
            <w:vAlign w:val="center"/>
          </w:tcPr>
          <w:p>
            <w:pPr>
              <w:rPr>
                <w:rFonts w:hint="eastAsia"/>
                <w:sz w:val="24"/>
              </w:rPr>
            </w:pPr>
            <w:r>
              <w:rPr>
                <w:rFonts w:ascii="Calibri" w:hAnsi="Calibri"/>
                <w:sz w:val="24"/>
                <w:szCs w:val="22"/>
              </w:rPr>
              <w:t>自20</w:t>
            </w:r>
            <w:r>
              <w:rPr>
                <w:rFonts w:hint="eastAsia" w:ascii="Calibri" w:hAnsi="Calibri"/>
                <w:sz w:val="24"/>
                <w:szCs w:val="22"/>
              </w:rPr>
              <w:t>2</w:t>
            </w:r>
            <w:r>
              <w:rPr>
                <w:rFonts w:hint="eastAsia" w:ascii="Calibri" w:hAnsi="Calibri"/>
                <w:sz w:val="24"/>
                <w:szCs w:val="22"/>
                <w:lang w:val="en-US" w:eastAsia="zh-CN"/>
              </w:rPr>
              <w:t>3</w:t>
            </w:r>
            <w:r>
              <w:rPr>
                <w:rFonts w:ascii="Calibri" w:hAnsi="Calibri"/>
                <w:sz w:val="24"/>
                <w:szCs w:val="22"/>
              </w:rPr>
              <w:t>年</w:t>
            </w:r>
            <w:r>
              <w:rPr>
                <w:rFonts w:hint="eastAsia" w:ascii="Calibri" w:hAnsi="Calibri"/>
                <w:sz w:val="24"/>
                <w:szCs w:val="22"/>
              </w:rPr>
              <w:t>1</w:t>
            </w:r>
            <w:r>
              <w:rPr>
                <w:rFonts w:ascii="Calibri" w:hAnsi="Calibri"/>
                <w:sz w:val="24"/>
                <w:szCs w:val="22"/>
              </w:rPr>
              <w:t>月1日以来</w:t>
            </w:r>
            <w:r>
              <w:rPr>
                <w:rFonts w:hint="eastAsia" w:ascii="Calibri" w:hAnsi="Calibri"/>
                <w:sz w:val="24"/>
                <w:szCs w:val="22"/>
              </w:rPr>
              <w:t>具有与本项目同类</w:t>
            </w:r>
            <w:r>
              <w:rPr>
                <w:rFonts w:hint="eastAsia" w:ascii="宋体" w:hAnsi="宋体" w:cs="宋体"/>
                <w:sz w:val="24"/>
              </w:rPr>
              <w:t>（与本项目检测内容一致）</w:t>
            </w:r>
            <w:r>
              <w:rPr>
                <w:rFonts w:hint="eastAsia" w:ascii="Calibri" w:hAnsi="Calibri"/>
                <w:sz w:val="24"/>
                <w:szCs w:val="22"/>
              </w:rPr>
              <w:t>成功业绩的，每个有效业绩得0.5分，最多得2分。</w:t>
            </w:r>
          </w:p>
          <w:p>
            <w:pPr>
              <w:rPr>
                <w:rFonts w:hint="eastAsia"/>
                <w:sz w:val="24"/>
              </w:rPr>
            </w:pPr>
            <w:r>
              <w:rPr>
                <w:sz w:val="24"/>
              </w:rPr>
              <w:t>提供</w:t>
            </w:r>
            <w:r>
              <w:rPr>
                <w:rFonts w:ascii="Calibri" w:hAnsi="Calibri"/>
                <w:sz w:val="24"/>
                <w:szCs w:val="22"/>
              </w:rPr>
              <w:t>合同</w:t>
            </w:r>
            <w:r>
              <w:rPr>
                <w:rFonts w:hint="eastAsia" w:ascii="Calibri" w:hAnsi="Calibri"/>
                <w:sz w:val="24"/>
                <w:szCs w:val="22"/>
              </w:rPr>
              <w:t>（复印件加盖投标供应商公章）</w:t>
            </w:r>
            <w:r>
              <w:rPr>
                <w:rFonts w:ascii="Calibri" w:hAnsi="Calibri"/>
                <w:sz w:val="24"/>
                <w:szCs w:val="22"/>
              </w:rPr>
              <w:t>，时间以</w:t>
            </w:r>
            <w:r>
              <w:rPr>
                <w:rFonts w:hint="eastAsia" w:ascii="Calibri" w:hAnsi="Calibri"/>
                <w:sz w:val="24"/>
                <w:szCs w:val="22"/>
              </w:rPr>
              <w:t>合同签订时间</w:t>
            </w:r>
            <w:r>
              <w:rPr>
                <w:rFonts w:ascii="Calibri" w:hAnsi="Calibri"/>
                <w:sz w:val="24"/>
                <w:szCs w:val="22"/>
              </w:rPr>
              <w:t>为准</w:t>
            </w:r>
            <w:r>
              <w:rPr>
                <w:rFonts w:hint="eastAsia"/>
                <w:sz w:val="24"/>
              </w:rPr>
              <w:t>，授权书等证明材料。</w:t>
            </w:r>
          </w:p>
        </w:tc>
        <w:tc>
          <w:tcPr>
            <w:tcW w:w="852" w:type="dxa"/>
            <w:shd w:val="clear" w:color="auto" w:fill="FFFFFF"/>
            <w:noWrap w:val="0"/>
            <w:vAlign w:val="center"/>
          </w:tcPr>
          <w:p>
            <w:pPr>
              <w:jc w:val="center"/>
              <w:rPr>
                <w:rFonts w:hint="eastAsia"/>
                <w:sz w:val="24"/>
              </w:rPr>
            </w:pPr>
            <w:r>
              <w:rPr>
                <w:rFonts w:hint="eastAsia"/>
                <w:sz w:val="24"/>
              </w:rPr>
              <w:t>2</w:t>
            </w:r>
          </w:p>
        </w:tc>
        <w:tc>
          <w:tcPr>
            <w:tcW w:w="1024" w:type="dxa"/>
            <w:shd w:val="clear" w:color="auto" w:fill="FFFFFF"/>
            <w:noWrap w:val="0"/>
            <w:vAlign w:val="center"/>
          </w:tcPr>
          <w:p>
            <w:pPr>
              <w:jc w:val="center"/>
              <w:rPr>
                <w:rFonts w:hint="eastAsia"/>
                <w:sz w:val="24"/>
              </w:rPr>
            </w:pPr>
            <w:r>
              <w:rPr>
                <w:rFonts w:hint="eastAsia"/>
                <w:kern w:val="0"/>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vMerge w:val="restart"/>
            <w:shd w:val="clear" w:color="auto" w:fill="FFFFFF"/>
            <w:noWrap w:val="0"/>
            <w:vAlign w:val="center"/>
          </w:tcPr>
          <w:p>
            <w:pPr>
              <w:jc w:val="center"/>
              <w:rPr>
                <w:rFonts w:hint="eastAsia"/>
                <w:sz w:val="24"/>
              </w:rPr>
            </w:pPr>
            <w:r>
              <w:rPr>
                <w:rFonts w:hint="eastAsia"/>
                <w:sz w:val="24"/>
              </w:rPr>
              <w:t>2</w:t>
            </w:r>
          </w:p>
        </w:tc>
        <w:tc>
          <w:tcPr>
            <w:tcW w:w="1360" w:type="dxa"/>
            <w:vMerge w:val="restart"/>
            <w:shd w:val="clear" w:color="auto" w:fill="FFFFFF"/>
            <w:noWrap w:val="0"/>
            <w:vAlign w:val="center"/>
          </w:tcPr>
          <w:p>
            <w:pPr>
              <w:rPr>
                <w:rFonts w:hint="eastAsia"/>
                <w:sz w:val="24"/>
              </w:rPr>
            </w:pPr>
            <w:r>
              <w:rPr>
                <w:rFonts w:hint="eastAsia"/>
                <w:sz w:val="24"/>
              </w:rPr>
              <w:t>项目需求理解、分析评价</w:t>
            </w:r>
          </w:p>
        </w:tc>
        <w:tc>
          <w:tcPr>
            <w:tcW w:w="4393" w:type="dxa"/>
            <w:shd w:val="clear" w:color="auto" w:fill="FFFFFF"/>
            <w:noWrap w:val="0"/>
            <w:vAlign w:val="center"/>
          </w:tcPr>
          <w:p>
            <w:pPr>
              <w:rPr>
                <w:rFonts w:hint="eastAsia"/>
                <w:sz w:val="24"/>
              </w:rPr>
            </w:pPr>
            <w:r>
              <w:rPr>
                <w:rFonts w:hint="eastAsia"/>
                <w:sz w:val="24"/>
              </w:rPr>
              <w:t>对本项目需求的理解与分析的合理性、准确性评价。评价因素包括需求理解与分析阐述是否清晰、准确、全面。</w:t>
            </w:r>
          </w:p>
          <w:p>
            <w:pPr>
              <w:rPr>
                <w:rFonts w:hint="eastAsia"/>
                <w:sz w:val="24"/>
              </w:rPr>
            </w:pPr>
            <w:r>
              <w:rPr>
                <w:rFonts w:hint="eastAsia" w:ascii="宋体" w:hAnsi="宋体"/>
                <w:sz w:val="24"/>
              </w:rPr>
              <w:t>（评分范围：5，</w:t>
            </w:r>
            <w:r>
              <w:rPr>
                <w:rFonts w:ascii="宋体" w:hAnsi="宋体"/>
                <w:sz w:val="24"/>
              </w:rPr>
              <w:t>4，3，2，1，0）</w:t>
            </w:r>
          </w:p>
        </w:tc>
        <w:tc>
          <w:tcPr>
            <w:tcW w:w="852" w:type="dxa"/>
            <w:shd w:val="clear" w:color="auto" w:fill="FFFFFF"/>
            <w:noWrap w:val="0"/>
            <w:vAlign w:val="center"/>
          </w:tcPr>
          <w:p>
            <w:pPr>
              <w:jc w:val="center"/>
              <w:rPr>
                <w:rFonts w:hint="eastAsia"/>
                <w:sz w:val="24"/>
              </w:rPr>
            </w:pPr>
            <w:r>
              <w:rPr>
                <w:rFonts w:hint="eastAsia"/>
                <w:sz w:val="24"/>
              </w:rPr>
              <w:t>5</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vMerge w:val="continue"/>
            <w:shd w:val="clear" w:color="auto" w:fill="FFFFFF"/>
            <w:noWrap w:val="0"/>
            <w:vAlign w:val="center"/>
          </w:tcPr>
          <w:p>
            <w:pPr>
              <w:jc w:val="center"/>
              <w:rPr>
                <w:rFonts w:hint="eastAsia"/>
                <w:sz w:val="24"/>
              </w:rPr>
            </w:pPr>
          </w:p>
        </w:tc>
        <w:tc>
          <w:tcPr>
            <w:tcW w:w="1360" w:type="dxa"/>
            <w:vMerge w:val="continue"/>
            <w:shd w:val="clear" w:color="auto" w:fill="FFFFFF"/>
            <w:noWrap w:val="0"/>
            <w:vAlign w:val="center"/>
          </w:tcPr>
          <w:p>
            <w:pPr>
              <w:rPr>
                <w:rFonts w:hint="eastAsia"/>
                <w:sz w:val="24"/>
              </w:rPr>
            </w:pPr>
          </w:p>
        </w:tc>
        <w:tc>
          <w:tcPr>
            <w:tcW w:w="4393" w:type="dxa"/>
            <w:shd w:val="clear" w:color="auto" w:fill="FFFFFF"/>
            <w:noWrap w:val="0"/>
            <w:vAlign w:val="center"/>
          </w:tcPr>
          <w:p>
            <w:pPr>
              <w:rPr>
                <w:rFonts w:hint="eastAsia"/>
                <w:sz w:val="24"/>
              </w:rPr>
            </w:pPr>
            <w:r>
              <w:rPr>
                <w:rFonts w:hint="eastAsia"/>
                <w:sz w:val="24"/>
              </w:rPr>
              <w:t>供应商根据需求理解与分析的结论，提出的项目实施技术重点、难点的解决方案与合理化建议的评价。评价因素包括解决方案的针对性和有效性，建议等。</w:t>
            </w:r>
          </w:p>
          <w:p>
            <w:pPr>
              <w:rPr>
                <w:sz w:val="24"/>
              </w:rPr>
            </w:pPr>
            <w:r>
              <w:rPr>
                <w:rFonts w:hint="eastAsia" w:ascii="宋体" w:hAnsi="宋体"/>
                <w:sz w:val="24"/>
              </w:rPr>
              <w:t>（评分范围：</w:t>
            </w:r>
            <w:r>
              <w:rPr>
                <w:rFonts w:ascii="宋体" w:hAnsi="宋体"/>
                <w:sz w:val="24"/>
              </w:rPr>
              <w:t xml:space="preserve"> 4，3，2，1，0）</w:t>
            </w:r>
          </w:p>
        </w:tc>
        <w:tc>
          <w:tcPr>
            <w:tcW w:w="852" w:type="dxa"/>
            <w:shd w:val="clear" w:color="auto" w:fill="FFFFFF"/>
            <w:noWrap w:val="0"/>
            <w:vAlign w:val="center"/>
          </w:tcPr>
          <w:p>
            <w:pPr>
              <w:jc w:val="center"/>
              <w:rPr>
                <w:rFonts w:hint="eastAsia"/>
                <w:sz w:val="24"/>
              </w:rPr>
            </w:pPr>
            <w:r>
              <w:rPr>
                <w:rFonts w:hint="eastAsia"/>
                <w:sz w:val="24"/>
              </w:rPr>
              <w:t>4</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shd w:val="clear" w:color="auto" w:fill="FFFFFF"/>
            <w:noWrap w:val="0"/>
            <w:vAlign w:val="center"/>
          </w:tcPr>
          <w:p>
            <w:pPr>
              <w:jc w:val="center"/>
              <w:rPr>
                <w:rFonts w:hint="eastAsia"/>
                <w:sz w:val="24"/>
              </w:rPr>
            </w:pPr>
            <w:r>
              <w:rPr>
                <w:rFonts w:hint="eastAsia"/>
                <w:sz w:val="24"/>
              </w:rPr>
              <w:t>3</w:t>
            </w:r>
          </w:p>
        </w:tc>
        <w:tc>
          <w:tcPr>
            <w:tcW w:w="1360" w:type="dxa"/>
            <w:shd w:val="clear" w:color="auto" w:fill="FFFFFF"/>
            <w:noWrap w:val="0"/>
            <w:vAlign w:val="center"/>
          </w:tcPr>
          <w:p>
            <w:pPr>
              <w:rPr>
                <w:rFonts w:hint="eastAsia"/>
                <w:sz w:val="24"/>
              </w:rPr>
            </w:pPr>
            <w:r>
              <w:rPr>
                <w:rFonts w:hint="eastAsia"/>
                <w:sz w:val="24"/>
              </w:rPr>
              <w:t>技术需求符合度</w:t>
            </w:r>
          </w:p>
        </w:tc>
        <w:tc>
          <w:tcPr>
            <w:tcW w:w="4393" w:type="dxa"/>
            <w:shd w:val="clear" w:color="auto" w:fill="FFFFFF"/>
            <w:noWrap w:val="0"/>
            <w:vAlign w:val="center"/>
          </w:tcPr>
          <w:p>
            <w:pPr>
              <w:rPr>
                <w:rFonts w:hint="eastAsia" w:eastAsia="宋体"/>
                <w:sz w:val="24"/>
                <w:lang w:eastAsia="zh-CN"/>
              </w:rPr>
            </w:pPr>
            <w:r>
              <w:rPr>
                <w:rFonts w:hint="eastAsia"/>
                <w:sz w:val="24"/>
              </w:rPr>
              <w:t>对应于</w:t>
            </w:r>
            <w:r>
              <w:rPr>
                <w:rFonts w:hint="eastAsia"/>
                <w:sz w:val="24"/>
                <w:lang w:eastAsia="zh-CN"/>
              </w:rPr>
              <w:t>采购文件第二章</w:t>
            </w:r>
            <w:r>
              <w:rPr>
                <w:rFonts w:hint="eastAsia"/>
                <w:sz w:val="24"/>
              </w:rPr>
              <w:t>采购内容及需求的响应符合度，全部符合得23分</w:t>
            </w:r>
            <w:r>
              <w:rPr>
                <w:rFonts w:hint="eastAsia"/>
                <w:sz w:val="24"/>
                <w:lang w:eastAsia="zh-CN"/>
              </w:rPr>
              <w:t>，</w:t>
            </w:r>
            <w:r>
              <w:rPr>
                <w:rFonts w:hint="eastAsia" w:hAnsi="宋体"/>
                <w:sz w:val="24"/>
              </w:rPr>
              <w:t>一般参数每偏离一项扣减</w:t>
            </w:r>
            <w:r>
              <w:rPr>
                <w:rFonts w:hint="eastAsia" w:hAnsi="宋体"/>
                <w:color w:val="auto"/>
                <w:sz w:val="24"/>
                <w:lang w:val="en-US" w:eastAsia="zh-CN"/>
              </w:rPr>
              <w:t>2</w:t>
            </w:r>
            <w:r>
              <w:rPr>
                <w:rFonts w:hint="eastAsia" w:hAnsi="宋体"/>
                <w:color w:val="auto"/>
                <w:sz w:val="24"/>
              </w:rPr>
              <w:t>分</w:t>
            </w:r>
            <w:r>
              <w:rPr>
                <w:rFonts w:hint="eastAsia" w:hAnsi="宋体"/>
                <w:sz w:val="24"/>
              </w:rPr>
              <w:t>，</w:t>
            </w:r>
            <w:r>
              <w:rPr>
                <w:rFonts w:hint="eastAsia"/>
                <w:sz w:val="24"/>
              </w:rPr>
              <w:t>扣完为止</w:t>
            </w:r>
            <w:r>
              <w:rPr>
                <w:rFonts w:hint="eastAsia"/>
                <w:sz w:val="24"/>
                <w:lang w:eastAsia="zh-CN"/>
              </w:rPr>
              <w:t>。</w:t>
            </w:r>
          </w:p>
        </w:tc>
        <w:tc>
          <w:tcPr>
            <w:tcW w:w="852" w:type="dxa"/>
            <w:shd w:val="clear" w:color="auto" w:fill="FFFFFF"/>
            <w:noWrap w:val="0"/>
            <w:vAlign w:val="center"/>
          </w:tcPr>
          <w:p>
            <w:pPr>
              <w:jc w:val="center"/>
              <w:rPr>
                <w:rFonts w:hint="eastAsia"/>
                <w:sz w:val="24"/>
              </w:rPr>
            </w:pPr>
            <w:r>
              <w:rPr>
                <w:rFonts w:hint="eastAsia"/>
                <w:sz w:val="24"/>
              </w:rPr>
              <w:t>23</w:t>
            </w:r>
          </w:p>
        </w:tc>
        <w:tc>
          <w:tcPr>
            <w:tcW w:w="1024" w:type="dxa"/>
            <w:shd w:val="clear" w:color="auto" w:fill="FFFFFF"/>
            <w:noWrap w:val="0"/>
            <w:vAlign w:val="center"/>
          </w:tcPr>
          <w:p>
            <w:pPr>
              <w:jc w:val="center"/>
              <w:rPr>
                <w:rFonts w:hint="eastAsia"/>
                <w:sz w:val="24"/>
              </w:rPr>
            </w:pPr>
            <w:r>
              <w:rPr>
                <w:rFonts w:hint="eastAsia"/>
                <w:kern w:val="0"/>
                <w:sz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restart"/>
            <w:shd w:val="clear" w:color="auto" w:fill="FFFFFF"/>
            <w:noWrap w:val="0"/>
            <w:vAlign w:val="center"/>
          </w:tcPr>
          <w:p>
            <w:pPr>
              <w:jc w:val="center"/>
              <w:rPr>
                <w:rFonts w:hint="eastAsia"/>
                <w:sz w:val="24"/>
              </w:rPr>
            </w:pPr>
            <w:r>
              <w:rPr>
                <w:rFonts w:hint="eastAsia"/>
                <w:sz w:val="24"/>
              </w:rPr>
              <w:t>4</w:t>
            </w:r>
          </w:p>
        </w:tc>
        <w:tc>
          <w:tcPr>
            <w:tcW w:w="1360" w:type="dxa"/>
            <w:vMerge w:val="restart"/>
            <w:shd w:val="clear" w:color="auto" w:fill="FFFFFF"/>
            <w:noWrap w:val="0"/>
            <w:vAlign w:val="center"/>
          </w:tcPr>
          <w:p>
            <w:pPr>
              <w:rPr>
                <w:rFonts w:hint="eastAsia"/>
                <w:sz w:val="24"/>
              </w:rPr>
            </w:pPr>
            <w:r>
              <w:rPr>
                <w:rFonts w:hint="eastAsia"/>
                <w:sz w:val="24"/>
              </w:rPr>
              <w:t>技术服务方案</w:t>
            </w:r>
          </w:p>
        </w:tc>
        <w:tc>
          <w:tcPr>
            <w:tcW w:w="4393" w:type="dxa"/>
            <w:shd w:val="clear" w:color="auto" w:fill="FFFFFF"/>
            <w:noWrap w:val="0"/>
            <w:vAlign w:val="center"/>
          </w:tcPr>
          <w:p>
            <w:pPr>
              <w:rPr>
                <w:rFonts w:hint="eastAsia" w:ascii="宋体" w:hAnsi="宋体"/>
                <w:sz w:val="24"/>
              </w:rPr>
            </w:pPr>
            <w:r>
              <w:rPr>
                <w:rFonts w:hint="eastAsia" w:ascii="宋体" w:hAnsi="宋体"/>
                <w:sz w:val="24"/>
              </w:rPr>
              <w:t>提供科研支持基础与方案，根据方案描述的</w:t>
            </w:r>
            <w:r>
              <w:rPr>
                <w:rFonts w:hint="eastAsia"/>
                <w:bCs/>
                <w:kern w:val="0"/>
                <w:sz w:val="24"/>
              </w:rPr>
              <w:t>合理性，可行性、科学性综合评审</w:t>
            </w:r>
            <w:r>
              <w:rPr>
                <w:rFonts w:hint="eastAsia" w:ascii="宋体" w:hAnsi="宋体"/>
                <w:sz w:val="24"/>
              </w:rPr>
              <w:t>（评分范围：3，</w:t>
            </w:r>
            <w:r>
              <w:rPr>
                <w:rFonts w:ascii="宋体" w:hAnsi="宋体"/>
                <w:sz w:val="24"/>
              </w:rPr>
              <w:t>2，1，0）</w:t>
            </w:r>
          </w:p>
        </w:tc>
        <w:tc>
          <w:tcPr>
            <w:tcW w:w="852" w:type="dxa"/>
            <w:shd w:val="clear" w:color="auto" w:fill="FFFFFF"/>
            <w:noWrap w:val="0"/>
            <w:vAlign w:val="center"/>
          </w:tcPr>
          <w:p>
            <w:pPr>
              <w:jc w:val="center"/>
              <w:rPr>
                <w:rFonts w:hint="eastAsia"/>
                <w:sz w:val="24"/>
              </w:rPr>
            </w:pPr>
            <w:r>
              <w:rPr>
                <w:rFonts w:hint="eastAsia"/>
                <w:sz w:val="24"/>
              </w:rPr>
              <w:t>3</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shd w:val="clear" w:color="auto" w:fill="FFFFFF"/>
            <w:noWrap w:val="0"/>
            <w:vAlign w:val="center"/>
          </w:tcPr>
          <w:p>
            <w:pPr>
              <w:jc w:val="center"/>
              <w:rPr>
                <w:rFonts w:hint="eastAsia"/>
                <w:sz w:val="24"/>
              </w:rPr>
            </w:pPr>
          </w:p>
        </w:tc>
        <w:tc>
          <w:tcPr>
            <w:tcW w:w="1360" w:type="dxa"/>
            <w:vMerge w:val="continue"/>
            <w:shd w:val="clear" w:color="auto" w:fill="FFFFFF"/>
            <w:noWrap w:val="0"/>
            <w:vAlign w:val="center"/>
          </w:tcPr>
          <w:p>
            <w:pPr>
              <w:rPr>
                <w:rFonts w:hint="eastAsia"/>
                <w:sz w:val="24"/>
              </w:rPr>
            </w:pPr>
          </w:p>
        </w:tc>
        <w:tc>
          <w:tcPr>
            <w:tcW w:w="4393" w:type="dxa"/>
            <w:shd w:val="clear" w:color="auto" w:fill="FFFFFF"/>
            <w:noWrap w:val="0"/>
            <w:vAlign w:val="center"/>
          </w:tcPr>
          <w:p>
            <w:pPr>
              <w:rPr>
                <w:rFonts w:hint="eastAsia" w:ascii="宋体" w:hAnsi="宋体"/>
                <w:sz w:val="24"/>
              </w:rPr>
            </w:pPr>
            <w:r>
              <w:rPr>
                <w:rFonts w:hint="eastAsia" w:ascii="宋体" w:hAnsi="宋体"/>
                <w:sz w:val="24"/>
              </w:rPr>
              <w:t>提供服务能力、质量管理及保障体系方案，根据方案描述的合理性，可行性、科学性综合评审（评分范围： 4，3，2，1，0）</w:t>
            </w:r>
          </w:p>
        </w:tc>
        <w:tc>
          <w:tcPr>
            <w:tcW w:w="852" w:type="dxa"/>
            <w:shd w:val="clear" w:color="auto" w:fill="FFFFFF"/>
            <w:noWrap w:val="0"/>
            <w:vAlign w:val="center"/>
          </w:tcPr>
          <w:p>
            <w:pPr>
              <w:jc w:val="center"/>
              <w:rPr>
                <w:rFonts w:hint="eastAsia"/>
                <w:sz w:val="24"/>
              </w:rPr>
            </w:pPr>
            <w:r>
              <w:rPr>
                <w:rFonts w:hint="eastAsia"/>
                <w:sz w:val="24"/>
              </w:rPr>
              <w:t>4</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vMerge w:val="continue"/>
            <w:shd w:val="clear" w:color="auto" w:fill="FFFFFF"/>
            <w:noWrap w:val="0"/>
            <w:vAlign w:val="center"/>
          </w:tcPr>
          <w:p>
            <w:pPr>
              <w:jc w:val="center"/>
              <w:rPr>
                <w:rFonts w:hint="eastAsia"/>
                <w:sz w:val="24"/>
              </w:rPr>
            </w:pPr>
          </w:p>
        </w:tc>
        <w:tc>
          <w:tcPr>
            <w:tcW w:w="1360" w:type="dxa"/>
            <w:vMerge w:val="continue"/>
            <w:shd w:val="clear" w:color="auto" w:fill="FFFFFF"/>
            <w:noWrap w:val="0"/>
            <w:vAlign w:val="center"/>
          </w:tcPr>
          <w:p>
            <w:pPr>
              <w:rPr>
                <w:rFonts w:hint="eastAsia"/>
                <w:sz w:val="24"/>
              </w:rPr>
            </w:pPr>
          </w:p>
        </w:tc>
        <w:tc>
          <w:tcPr>
            <w:tcW w:w="4393" w:type="dxa"/>
            <w:shd w:val="clear" w:color="auto" w:fill="FFFFFF"/>
            <w:noWrap w:val="0"/>
            <w:vAlign w:val="center"/>
          </w:tcPr>
          <w:p>
            <w:pPr>
              <w:rPr>
                <w:rFonts w:hint="eastAsia"/>
                <w:b/>
              </w:rPr>
            </w:pPr>
            <w:r>
              <w:rPr>
                <w:rFonts w:hint="eastAsia" w:ascii="宋体" w:hAnsi="宋体"/>
                <w:sz w:val="24"/>
              </w:rPr>
              <w:t>负责处理因结果错误导致的医疗纠纷，包括保险赔付以外的经济赔付方案</w:t>
            </w:r>
            <w:r>
              <w:rPr>
                <w:rFonts w:hint="eastAsia"/>
                <w:bCs/>
                <w:kern w:val="0"/>
                <w:sz w:val="24"/>
              </w:rPr>
              <w:t>，</w:t>
            </w:r>
            <w:r>
              <w:rPr>
                <w:rFonts w:hint="eastAsia" w:ascii="宋体" w:hAnsi="宋体"/>
                <w:sz w:val="24"/>
              </w:rPr>
              <w:t>根据方案描述的合理性，可行性、科学性综合评审（评分范围：4，3，2，1，0）</w:t>
            </w:r>
          </w:p>
        </w:tc>
        <w:tc>
          <w:tcPr>
            <w:tcW w:w="852" w:type="dxa"/>
            <w:shd w:val="clear" w:color="auto" w:fill="FFFFFF"/>
            <w:noWrap w:val="0"/>
            <w:vAlign w:val="center"/>
          </w:tcPr>
          <w:p>
            <w:pPr>
              <w:jc w:val="center"/>
              <w:rPr>
                <w:rFonts w:hint="eastAsia"/>
                <w:sz w:val="24"/>
              </w:rPr>
            </w:pPr>
            <w:r>
              <w:rPr>
                <w:rFonts w:hint="eastAsia"/>
                <w:sz w:val="24"/>
              </w:rPr>
              <w:t>4</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578" w:hRule="atLeast"/>
          <w:jc w:val="center"/>
        </w:trPr>
        <w:tc>
          <w:tcPr>
            <w:tcW w:w="851" w:type="dxa"/>
            <w:shd w:val="clear" w:color="auto" w:fill="FFFFFF"/>
            <w:noWrap w:val="0"/>
            <w:vAlign w:val="center"/>
          </w:tcPr>
          <w:p>
            <w:pPr>
              <w:jc w:val="center"/>
              <w:rPr>
                <w:rFonts w:hint="eastAsia"/>
                <w:sz w:val="24"/>
              </w:rPr>
            </w:pPr>
            <w:r>
              <w:rPr>
                <w:rFonts w:hint="eastAsia"/>
                <w:sz w:val="24"/>
              </w:rPr>
              <w:t>5</w:t>
            </w:r>
          </w:p>
        </w:tc>
        <w:tc>
          <w:tcPr>
            <w:tcW w:w="1360" w:type="dxa"/>
            <w:shd w:val="clear" w:color="auto" w:fill="FFFFFF"/>
            <w:noWrap w:val="0"/>
            <w:vAlign w:val="center"/>
          </w:tcPr>
          <w:p>
            <w:pPr>
              <w:rPr>
                <w:rFonts w:hint="eastAsia"/>
                <w:sz w:val="24"/>
              </w:rPr>
            </w:pPr>
            <w:r>
              <w:rPr>
                <w:rFonts w:hint="eastAsia"/>
                <w:sz w:val="24"/>
              </w:rPr>
              <w:t>实施团队方案</w:t>
            </w:r>
          </w:p>
        </w:tc>
        <w:tc>
          <w:tcPr>
            <w:tcW w:w="4393" w:type="dxa"/>
            <w:shd w:val="clear" w:color="auto" w:fill="FFFFFF"/>
            <w:noWrap w:val="0"/>
            <w:vAlign w:val="center"/>
          </w:tcPr>
          <w:p>
            <w:pPr>
              <w:rPr>
                <w:rFonts w:hint="eastAsia"/>
                <w:sz w:val="24"/>
              </w:rPr>
            </w:pPr>
            <w:r>
              <w:rPr>
                <w:rFonts w:hint="eastAsia"/>
                <w:sz w:val="24"/>
              </w:rPr>
              <w:t>评价因素包括拟派项目实施团队配置的人员数量、人员专业水平、类似工作经验、分工情况等。提供人员名单、证书等资料。</w:t>
            </w:r>
            <w:r>
              <w:rPr>
                <w:rFonts w:hint="eastAsia" w:ascii="宋体" w:hAnsi="宋体"/>
                <w:sz w:val="24"/>
              </w:rPr>
              <w:t>（评分范围：5，4，3，2，1，0）</w:t>
            </w:r>
          </w:p>
        </w:tc>
        <w:tc>
          <w:tcPr>
            <w:tcW w:w="852" w:type="dxa"/>
            <w:shd w:val="clear" w:color="auto" w:fill="FFFFFF"/>
            <w:noWrap w:val="0"/>
            <w:vAlign w:val="center"/>
          </w:tcPr>
          <w:p>
            <w:pPr>
              <w:jc w:val="center"/>
              <w:rPr>
                <w:rFonts w:hint="eastAsia"/>
                <w:sz w:val="24"/>
              </w:rPr>
            </w:pPr>
            <w:r>
              <w:rPr>
                <w:rFonts w:hint="eastAsia"/>
                <w:sz w:val="24"/>
              </w:rPr>
              <w:t>5</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88" w:hRule="atLeast"/>
          <w:jc w:val="center"/>
        </w:trPr>
        <w:tc>
          <w:tcPr>
            <w:tcW w:w="851" w:type="dxa"/>
            <w:shd w:val="clear" w:color="auto" w:fill="FFFFFF"/>
            <w:noWrap w:val="0"/>
            <w:vAlign w:val="center"/>
          </w:tcPr>
          <w:p>
            <w:pPr>
              <w:jc w:val="center"/>
              <w:rPr>
                <w:rFonts w:hint="eastAsia"/>
                <w:sz w:val="24"/>
              </w:rPr>
            </w:pPr>
            <w:r>
              <w:rPr>
                <w:rFonts w:hint="eastAsia"/>
                <w:sz w:val="24"/>
              </w:rPr>
              <w:t>6</w:t>
            </w:r>
          </w:p>
        </w:tc>
        <w:tc>
          <w:tcPr>
            <w:tcW w:w="1360" w:type="dxa"/>
            <w:shd w:val="clear" w:color="auto" w:fill="FFFFFF"/>
            <w:noWrap w:val="0"/>
            <w:vAlign w:val="center"/>
          </w:tcPr>
          <w:p>
            <w:pPr>
              <w:rPr>
                <w:rFonts w:hint="eastAsia"/>
                <w:sz w:val="24"/>
              </w:rPr>
            </w:pPr>
            <w:r>
              <w:rPr>
                <w:rFonts w:ascii="宋体" w:hAnsi="宋体" w:cs="仿宋"/>
                <w:sz w:val="24"/>
              </w:rPr>
              <w:t>实验室技术服务与管理支持</w:t>
            </w:r>
          </w:p>
        </w:tc>
        <w:tc>
          <w:tcPr>
            <w:tcW w:w="4393" w:type="dxa"/>
            <w:shd w:val="clear" w:color="auto" w:fill="FFFFFF"/>
            <w:noWrap w:val="0"/>
            <w:vAlign w:val="center"/>
          </w:tcPr>
          <w:p>
            <w:pPr>
              <w:jc w:val="left"/>
              <w:outlineLvl w:val="0"/>
              <w:rPr>
                <w:rFonts w:hint="eastAsia" w:ascii="宋体" w:hAnsi="宋体" w:cs="仿宋"/>
                <w:sz w:val="24"/>
              </w:rPr>
            </w:pPr>
            <w:r>
              <w:rPr>
                <w:rFonts w:ascii="宋体" w:hAnsi="宋体" w:cs="仿宋"/>
                <w:sz w:val="24"/>
              </w:rPr>
              <w:t>实验室技术服务与管理支持</w:t>
            </w:r>
            <w:r>
              <w:rPr>
                <w:rFonts w:hint="eastAsia" w:ascii="宋体" w:hAnsi="宋体" w:cs="仿宋"/>
                <w:sz w:val="24"/>
              </w:rPr>
              <w:t>：</w:t>
            </w:r>
          </w:p>
          <w:p>
            <w:pPr>
              <w:rPr>
                <w:rFonts w:hint="eastAsia"/>
                <w:sz w:val="24"/>
              </w:rPr>
            </w:pPr>
            <w:r>
              <w:rPr>
                <w:rFonts w:hint="eastAsia" w:ascii="宋体" w:hAnsi="宋体" w:cs="仿宋"/>
                <w:sz w:val="24"/>
              </w:rPr>
              <w:t>供应商提供</w:t>
            </w:r>
            <w:r>
              <w:rPr>
                <w:rFonts w:ascii="宋体" w:hAnsi="宋体" w:cs="仿宋"/>
                <w:sz w:val="24"/>
              </w:rPr>
              <w:t>实验室技术服务与管理支持</w:t>
            </w:r>
            <w:r>
              <w:rPr>
                <w:rFonts w:hint="eastAsia" w:ascii="宋体" w:hAnsi="宋体" w:cs="仿宋"/>
                <w:sz w:val="24"/>
              </w:rPr>
              <w:t>方案，协助科室的日常运营管理工作</w:t>
            </w:r>
            <w:r>
              <w:rPr>
                <w:rFonts w:ascii="宋体" w:hAnsi="宋体" w:cs="仿宋"/>
                <w:sz w:val="24"/>
              </w:rPr>
              <w:t>。</w:t>
            </w:r>
            <w:r>
              <w:rPr>
                <w:rFonts w:hint="eastAsia"/>
                <w:sz w:val="24"/>
              </w:rPr>
              <w:t>（评分范围：5，4，3，2，1，0）</w:t>
            </w:r>
          </w:p>
        </w:tc>
        <w:tc>
          <w:tcPr>
            <w:tcW w:w="852" w:type="dxa"/>
            <w:shd w:val="clear" w:color="auto" w:fill="FFFFFF"/>
            <w:noWrap w:val="0"/>
            <w:vAlign w:val="center"/>
          </w:tcPr>
          <w:p>
            <w:pPr>
              <w:jc w:val="center"/>
              <w:rPr>
                <w:rFonts w:hint="eastAsia"/>
                <w:sz w:val="24"/>
              </w:rPr>
            </w:pPr>
            <w:r>
              <w:rPr>
                <w:rFonts w:hint="eastAsia"/>
                <w:sz w:val="24"/>
              </w:rPr>
              <w:t>5</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80" w:hRule="atLeast"/>
          <w:jc w:val="center"/>
        </w:trPr>
        <w:tc>
          <w:tcPr>
            <w:tcW w:w="851" w:type="dxa"/>
            <w:vMerge w:val="restart"/>
            <w:shd w:val="clear" w:color="auto" w:fill="FFFFFF"/>
            <w:noWrap w:val="0"/>
            <w:vAlign w:val="center"/>
          </w:tcPr>
          <w:p>
            <w:pPr>
              <w:jc w:val="center"/>
              <w:rPr>
                <w:rFonts w:hint="eastAsia"/>
                <w:sz w:val="24"/>
              </w:rPr>
            </w:pPr>
            <w:r>
              <w:rPr>
                <w:rFonts w:hint="eastAsia"/>
                <w:sz w:val="24"/>
              </w:rPr>
              <w:t>7</w:t>
            </w:r>
          </w:p>
        </w:tc>
        <w:tc>
          <w:tcPr>
            <w:tcW w:w="1360" w:type="dxa"/>
            <w:vMerge w:val="restart"/>
            <w:shd w:val="clear" w:color="auto" w:fill="FFFFFF"/>
            <w:noWrap w:val="0"/>
            <w:vAlign w:val="center"/>
          </w:tcPr>
          <w:p>
            <w:pPr>
              <w:rPr>
                <w:rFonts w:ascii="宋体" w:hAnsi="宋体" w:cs="仿宋"/>
                <w:sz w:val="24"/>
              </w:rPr>
            </w:pPr>
            <w:r>
              <w:rPr>
                <w:rFonts w:hint="eastAsia"/>
                <w:sz w:val="24"/>
              </w:rPr>
              <w:t>样本运输方案</w:t>
            </w:r>
          </w:p>
        </w:tc>
        <w:tc>
          <w:tcPr>
            <w:tcW w:w="4393" w:type="dxa"/>
            <w:shd w:val="clear" w:color="auto" w:fill="FFFFFF"/>
            <w:noWrap w:val="0"/>
            <w:vAlign w:val="center"/>
          </w:tcPr>
          <w:p>
            <w:pPr>
              <w:jc w:val="left"/>
              <w:outlineLvl w:val="0"/>
              <w:rPr>
                <w:rFonts w:ascii="宋体" w:hAnsi="宋体" w:cs="仿宋"/>
                <w:sz w:val="24"/>
              </w:rPr>
            </w:pPr>
            <w:r>
              <w:rPr>
                <w:rFonts w:hint="eastAsia"/>
                <w:sz w:val="24"/>
              </w:rPr>
              <w:t>物流运输方案，提供物流总体规划方案，</w:t>
            </w:r>
            <w:r>
              <w:rPr>
                <w:sz w:val="24"/>
              </w:rPr>
              <w:t>标本转运物流流程规章制度（包括标本运输紧急预案）及工作各环节操作说明书</w:t>
            </w:r>
            <w:r>
              <w:rPr>
                <w:rFonts w:hint="eastAsia"/>
                <w:sz w:val="24"/>
              </w:rPr>
              <w:t>，根据内容的全面性，可行性综合评审</w:t>
            </w:r>
            <w:r>
              <w:rPr>
                <w:rFonts w:hint="eastAsia" w:ascii="宋体" w:hAnsi="宋体"/>
                <w:sz w:val="24"/>
              </w:rPr>
              <w:t>（评分范围：3，2，1，0）</w:t>
            </w:r>
          </w:p>
        </w:tc>
        <w:tc>
          <w:tcPr>
            <w:tcW w:w="852" w:type="dxa"/>
            <w:shd w:val="clear" w:color="auto" w:fill="FFFFFF"/>
            <w:noWrap w:val="0"/>
            <w:vAlign w:val="center"/>
          </w:tcPr>
          <w:p>
            <w:pPr>
              <w:jc w:val="center"/>
              <w:rPr>
                <w:rFonts w:hint="eastAsia"/>
                <w:sz w:val="24"/>
              </w:rPr>
            </w:pPr>
            <w:r>
              <w:rPr>
                <w:rFonts w:hint="eastAsia"/>
                <w:sz w:val="24"/>
              </w:rPr>
              <w:t>3</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87" w:hRule="atLeast"/>
          <w:jc w:val="center"/>
        </w:trPr>
        <w:tc>
          <w:tcPr>
            <w:tcW w:w="851" w:type="dxa"/>
            <w:vMerge w:val="continue"/>
            <w:shd w:val="clear" w:color="auto" w:fill="FFFFFF"/>
            <w:noWrap w:val="0"/>
            <w:vAlign w:val="center"/>
          </w:tcPr>
          <w:p>
            <w:pPr>
              <w:jc w:val="center"/>
              <w:rPr>
                <w:rFonts w:hint="eastAsia"/>
                <w:sz w:val="24"/>
              </w:rPr>
            </w:pPr>
          </w:p>
        </w:tc>
        <w:tc>
          <w:tcPr>
            <w:tcW w:w="1360" w:type="dxa"/>
            <w:vMerge w:val="continue"/>
            <w:shd w:val="clear" w:color="auto" w:fill="FFFFFF"/>
            <w:noWrap w:val="0"/>
            <w:vAlign w:val="center"/>
          </w:tcPr>
          <w:p>
            <w:pPr>
              <w:rPr>
                <w:rFonts w:hint="eastAsia"/>
                <w:sz w:val="24"/>
              </w:rPr>
            </w:pPr>
          </w:p>
        </w:tc>
        <w:tc>
          <w:tcPr>
            <w:tcW w:w="4393" w:type="dxa"/>
            <w:shd w:val="clear" w:color="auto" w:fill="FFFFFF"/>
            <w:noWrap w:val="0"/>
            <w:vAlign w:val="center"/>
          </w:tcPr>
          <w:p>
            <w:pPr>
              <w:rPr>
                <w:rFonts w:ascii="宋体" w:hAnsi="宋体" w:cs="仿宋"/>
                <w:sz w:val="24"/>
              </w:rPr>
            </w:pPr>
            <w:r>
              <w:rPr>
                <w:rFonts w:hint="eastAsia"/>
                <w:sz w:val="24"/>
              </w:rPr>
              <w:t>物流的配置：</w:t>
            </w:r>
            <w:r>
              <w:rPr>
                <w:sz w:val="24"/>
              </w:rPr>
              <w:t>配置车辆</w:t>
            </w:r>
            <w:r>
              <w:rPr>
                <w:rFonts w:hint="eastAsia"/>
                <w:sz w:val="24"/>
              </w:rPr>
              <w:t>的数量、性能</w:t>
            </w:r>
            <w:r>
              <w:rPr>
                <w:sz w:val="24"/>
              </w:rPr>
              <w:t>，</w:t>
            </w:r>
            <w:r>
              <w:rPr>
                <w:rFonts w:hint="eastAsia"/>
                <w:sz w:val="24"/>
              </w:rPr>
              <w:t>车辆上配有专业设备情况</w:t>
            </w:r>
            <w:r>
              <w:rPr>
                <w:sz w:val="24"/>
              </w:rPr>
              <w:t>，每天物流运送的路线安排</w:t>
            </w:r>
            <w:r>
              <w:rPr>
                <w:rFonts w:hint="eastAsia"/>
                <w:sz w:val="24"/>
              </w:rPr>
              <w:t>；</w:t>
            </w:r>
            <w:r>
              <w:rPr>
                <w:sz w:val="24"/>
              </w:rPr>
              <w:t>如何保障样本每天的及时送达，安全措施</w:t>
            </w:r>
            <w:r>
              <w:rPr>
                <w:rFonts w:hint="eastAsia"/>
                <w:sz w:val="24"/>
              </w:rPr>
              <w:t>等，根据内容的全面性，可行性综合评审</w:t>
            </w:r>
            <w:r>
              <w:rPr>
                <w:rFonts w:hint="eastAsia" w:ascii="宋体" w:hAnsi="宋体"/>
                <w:sz w:val="24"/>
              </w:rPr>
              <w:t>（评分范围：3，2，1，0）</w:t>
            </w:r>
          </w:p>
        </w:tc>
        <w:tc>
          <w:tcPr>
            <w:tcW w:w="852" w:type="dxa"/>
            <w:shd w:val="clear" w:color="auto" w:fill="FFFFFF"/>
            <w:noWrap w:val="0"/>
            <w:vAlign w:val="center"/>
          </w:tcPr>
          <w:p>
            <w:pPr>
              <w:jc w:val="center"/>
              <w:rPr>
                <w:rFonts w:hint="eastAsia"/>
                <w:sz w:val="24"/>
              </w:rPr>
            </w:pPr>
            <w:r>
              <w:rPr>
                <w:rFonts w:hint="eastAsia"/>
                <w:sz w:val="24"/>
              </w:rPr>
              <w:t>3</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88" w:hRule="atLeast"/>
          <w:jc w:val="center"/>
        </w:trPr>
        <w:tc>
          <w:tcPr>
            <w:tcW w:w="851" w:type="dxa"/>
            <w:shd w:val="clear" w:color="auto" w:fill="FFFFFF"/>
            <w:noWrap w:val="0"/>
            <w:vAlign w:val="center"/>
          </w:tcPr>
          <w:p>
            <w:pPr>
              <w:jc w:val="center"/>
              <w:rPr>
                <w:rFonts w:hint="eastAsia"/>
                <w:sz w:val="24"/>
              </w:rPr>
            </w:pPr>
            <w:r>
              <w:rPr>
                <w:rFonts w:hint="eastAsia"/>
                <w:sz w:val="24"/>
              </w:rPr>
              <w:t>8</w:t>
            </w:r>
          </w:p>
        </w:tc>
        <w:tc>
          <w:tcPr>
            <w:tcW w:w="1360" w:type="dxa"/>
            <w:shd w:val="clear" w:color="auto" w:fill="FFFFFF"/>
            <w:noWrap w:val="0"/>
            <w:vAlign w:val="center"/>
          </w:tcPr>
          <w:p>
            <w:pPr>
              <w:rPr>
                <w:rFonts w:ascii="宋体" w:hAnsi="宋体" w:cs="仿宋"/>
                <w:sz w:val="24"/>
              </w:rPr>
            </w:pPr>
            <w:r>
              <w:rPr>
                <w:rFonts w:hint="eastAsia" w:ascii="宋体" w:hAnsi="宋体" w:cs="仿宋"/>
                <w:sz w:val="24"/>
              </w:rPr>
              <w:t>检测</w:t>
            </w:r>
            <w:r>
              <w:rPr>
                <w:rFonts w:ascii="宋体" w:hAnsi="宋体" w:cs="仿宋"/>
                <w:sz w:val="24"/>
              </w:rPr>
              <w:t>设备与试剂</w:t>
            </w:r>
          </w:p>
        </w:tc>
        <w:tc>
          <w:tcPr>
            <w:tcW w:w="4393" w:type="dxa"/>
            <w:shd w:val="clear" w:color="auto" w:fill="FFFFFF"/>
            <w:noWrap w:val="0"/>
            <w:vAlign w:val="center"/>
          </w:tcPr>
          <w:p>
            <w:pPr>
              <w:rPr>
                <w:rFonts w:hint="eastAsia"/>
                <w:sz w:val="24"/>
              </w:rPr>
            </w:pPr>
            <w:r>
              <w:rPr>
                <w:rFonts w:hint="eastAsia" w:ascii="宋体" w:hAnsi="宋体" w:cs="仿宋"/>
                <w:sz w:val="24"/>
              </w:rPr>
              <w:t>1）</w:t>
            </w:r>
            <w:r>
              <w:rPr>
                <w:rFonts w:hint="eastAsia"/>
                <w:sz w:val="24"/>
              </w:rPr>
              <w:t>供应商拟投入本项目服务的实验平台与检测相关的仪器设备情况，提供设备的品牌，型号，具体性能参数，</w:t>
            </w:r>
            <w:r>
              <w:rPr>
                <w:rFonts w:ascii="宋体" w:hAnsi="宋体"/>
                <w:bCs/>
                <w:sz w:val="24"/>
              </w:rPr>
              <w:t>保证日常工作正常开展</w:t>
            </w:r>
            <w:r>
              <w:rPr>
                <w:rFonts w:hint="eastAsia"/>
                <w:sz w:val="24"/>
              </w:rPr>
              <w:t>。（评分范围： 4，3，2，1，0）</w:t>
            </w:r>
          </w:p>
          <w:p>
            <w:pPr>
              <w:jc w:val="left"/>
              <w:outlineLvl w:val="0"/>
              <w:rPr>
                <w:rFonts w:ascii="宋体" w:hAnsi="宋体" w:cs="仿宋"/>
                <w:sz w:val="24"/>
              </w:rPr>
            </w:pPr>
            <w:r>
              <w:rPr>
                <w:rFonts w:hint="eastAsia"/>
              </w:rPr>
              <w:t>2）</w:t>
            </w:r>
            <w:r>
              <w:rPr>
                <w:rFonts w:hint="eastAsia"/>
                <w:sz w:val="24"/>
              </w:rPr>
              <w:t>供应商拟投入本项目服务的试剂耗材情况，提供试剂耗材品牌、型号，具体性能参数，</w:t>
            </w:r>
            <w:r>
              <w:rPr>
                <w:rFonts w:hint="eastAsia" w:ascii="宋体" w:hAnsi="宋体"/>
                <w:bCs/>
                <w:sz w:val="24"/>
              </w:rPr>
              <w:t>确保技术平台相关试剂</w:t>
            </w:r>
            <w:r>
              <w:rPr>
                <w:rFonts w:ascii="宋体" w:hAnsi="宋体"/>
                <w:bCs/>
                <w:sz w:val="24"/>
              </w:rPr>
              <w:t>符合质量管理要求，</w:t>
            </w:r>
            <w:r>
              <w:rPr>
                <w:rFonts w:hint="eastAsia" w:ascii="宋体" w:hAnsi="宋体"/>
                <w:bCs/>
                <w:sz w:val="24"/>
              </w:rPr>
              <w:t>是否</w:t>
            </w:r>
            <w:r>
              <w:rPr>
                <w:rFonts w:ascii="宋体" w:hAnsi="宋体"/>
                <w:bCs/>
                <w:sz w:val="24"/>
              </w:rPr>
              <w:t>满足仪器设备开展检测项目的要求</w:t>
            </w:r>
            <w:r>
              <w:rPr>
                <w:rFonts w:hint="eastAsia" w:ascii="宋体" w:hAnsi="宋体"/>
                <w:bCs/>
                <w:sz w:val="24"/>
              </w:rPr>
              <w:t>。</w:t>
            </w:r>
            <w:r>
              <w:rPr>
                <w:rFonts w:hint="eastAsia"/>
                <w:sz w:val="24"/>
              </w:rPr>
              <w:t>（评分范围： 3，2，1，0）</w:t>
            </w:r>
          </w:p>
        </w:tc>
        <w:tc>
          <w:tcPr>
            <w:tcW w:w="852" w:type="dxa"/>
            <w:shd w:val="clear" w:color="auto" w:fill="FFFFFF"/>
            <w:noWrap w:val="0"/>
            <w:vAlign w:val="center"/>
          </w:tcPr>
          <w:p>
            <w:pPr>
              <w:jc w:val="center"/>
              <w:rPr>
                <w:rFonts w:hint="eastAsia"/>
                <w:sz w:val="24"/>
              </w:rPr>
            </w:pPr>
            <w:r>
              <w:rPr>
                <w:rFonts w:hint="eastAsia"/>
                <w:sz w:val="24"/>
              </w:rPr>
              <w:t>7</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51" w:type="dxa"/>
            <w:shd w:val="clear" w:color="auto" w:fill="FFFFFF"/>
            <w:noWrap w:val="0"/>
            <w:vAlign w:val="center"/>
          </w:tcPr>
          <w:p>
            <w:pPr>
              <w:jc w:val="center"/>
              <w:rPr>
                <w:rFonts w:hint="eastAsia"/>
                <w:sz w:val="24"/>
              </w:rPr>
            </w:pPr>
            <w:r>
              <w:rPr>
                <w:rFonts w:hint="eastAsia"/>
                <w:sz w:val="24"/>
              </w:rPr>
              <w:t>9</w:t>
            </w:r>
          </w:p>
        </w:tc>
        <w:tc>
          <w:tcPr>
            <w:tcW w:w="1360" w:type="dxa"/>
            <w:shd w:val="clear" w:color="auto" w:fill="FFFFFF"/>
            <w:noWrap w:val="0"/>
            <w:vAlign w:val="center"/>
          </w:tcPr>
          <w:p>
            <w:pPr>
              <w:rPr>
                <w:rFonts w:hint="eastAsia"/>
                <w:sz w:val="24"/>
              </w:rPr>
            </w:pPr>
            <w:r>
              <w:rPr>
                <w:rFonts w:hint="eastAsia"/>
                <w:sz w:val="24"/>
              </w:rPr>
              <w:t>服务保障措施</w:t>
            </w:r>
          </w:p>
        </w:tc>
        <w:tc>
          <w:tcPr>
            <w:tcW w:w="4393" w:type="dxa"/>
            <w:shd w:val="clear" w:color="auto" w:fill="FFFFFF"/>
            <w:noWrap w:val="0"/>
            <w:vAlign w:val="center"/>
          </w:tcPr>
          <w:p>
            <w:pPr>
              <w:rPr>
                <w:rFonts w:hint="eastAsia"/>
                <w:sz w:val="24"/>
              </w:rPr>
            </w:pPr>
            <w:r>
              <w:rPr>
                <w:rFonts w:hint="eastAsia"/>
                <w:sz w:val="24"/>
              </w:rPr>
              <w:t>供应商拟定的各项服务保障措施、应急措施的合理性、科学性评价。</w:t>
            </w:r>
          </w:p>
          <w:p>
            <w:pPr>
              <w:rPr>
                <w:rFonts w:hint="eastAsia"/>
                <w:sz w:val="24"/>
              </w:rPr>
            </w:pPr>
            <w:r>
              <w:rPr>
                <w:rFonts w:hint="eastAsia" w:ascii="宋体" w:hAnsi="宋体"/>
                <w:sz w:val="24"/>
              </w:rPr>
              <w:t>（评分范围：5，4，3，2，1，0）</w:t>
            </w:r>
          </w:p>
        </w:tc>
        <w:tc>
          <w:tcPr>
            <w:tcW w:w="852" w:type="dxa"/>
            <w:shd w:val="clear" w:color="auto" w:fill="FFFFFF"/>
            <w:noWrap w:val="0"/>
            <w:vAlign w:val="center"/>
          </w:tcPr>
          <w:p>
            <w:pPr>
              <w:jc w:val="center"/>
              <w:rPr>
                <w:rFonts w:hint="eastAsia"/>
                <w:sz w:val="24"/>
              </w:rPr>
            </w:pPr>
            <w:r>
              <w:rPr>
                <w:rFonts w:hint="eastAsia"/>
                <w:sz w:val="24"/>
              </w:rPr>
              <w:t>5</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851" w:type="dxa"/>
            <w:shd w:val="clear" w:color="auto" w:fill="FFFFFF"/>
            <w:noWrap w:val="0"/>
            <w:vAlign w:val="center"/>
          </w:tcPr>
          <w:p>
            <w:pPr>
              <w:jc w:val="center"/>
              <w:rPr>
                <w:rFonts w:hint="eastAsia"/>
                <w:sz w:val="24"/>
              </w:rPr>
            </w:pPr>
            <w:r>
              <w:rPr>
                <w:rFonts w:hint="eastAsia"/>
                <w:sz w:val="24"/>
              </w:rPr>
              <w:t>10</w:t>
            </w:r>
          </w:p>
        </w:tc>
        <w:tc>
          <w:tcPr>
            <w:tcW w:w="1360" w:type="dxa"/>
            <w:shd w:val="clear" w:color="auto" w:fill="FFFFFF"/>
            <w:noWrap w:val="0"/>
            <w:vAlign w:val="center"/>
          </w:tcPr>
          <w:p>
            <w:pPr>
              <w:rPr>
                <w:rFonts w:hint="eastAsia" w:ascii="宋体" w:hAnsi="宋体" w:cs="宋体"/>
                <w:sz w:val="24"/>
                <w:szCs w:val="22"/>
              </w:rPr>
            </w:pPr>
            <w:r>
              <w:rPr>
                <w:rFonts w:hint="eastAsia" w:ascii="宋体" w:hAnsi="宋体" w:cs="宋体"/>
                <w:sz w:val="24"/>
                <w:szCs w:val="22"/>
              </w:rPr>
              <w:t>售后服务能力</w:t>
            </w:r>
          </w:p>
        </w:tc>
        <w:tc>
          <w:tcPr>
            <w:tcW w:w="4393" w:type="dxa"/>
            <w:shd w:val="clear" w:color="auto" w:fill="FFFFFF"/>
            <w:noWrap w:val="0"/>
            <w:vAlign w:val="center"/>
          </w:tcPr>
          <w:p>
            <w:pPr>
              <w:rPr>
                <w:rFonts w:ascii="宋体" w:hAnsi="宋体"/>
                <w:sz w:val="24"/>
              </w:rPr>
            </w:pPr>
            <w:r>
              <w:rPr>
                <w:rFonts w:hint="eastAsia" w:ascii="宋体" w:hAnsi="宋体"/>
                <w:sz w:val="24"/>
              </w:rPr>
              <w:t>供应商提供售后服务方案，是否具有完善的售后服务体系，良好的沟通能力，能及时有效处理受检者投诉（评分范围： 4，3，2，1，0）</w:t>
            </w:r>
          </w:p>
        </w:tc>
        <w:tc>
          <w:tcPr>
            <w:tcW w:w="852" w:type="dxa"/>
            <w:shd w:val="clear" w:color="auto" w:fill="FFFFFF"/>
            <w:noWrap w:val="0"/>
            <w:vAlign w:val="center"/>
          </w:tcPr>
          <w:p>
            <w:pPr>
              <w:jc w:val="center"/>
              <w:rPr>
                <w:rFonts w:hint="eastAsia"/>
                <w:sz w:val="24"/>
              </w:rPr>
            </w:pPr>
            <w:r>
              <w:rPr>
                <w:rFonts w:hint="eastAsia"/>
                <w:sz w:val="24"/>
              </w:rPr>
              <w:t>4</w:t>
            </w:r>
          </w:p>
        </w:tc>
        <w:tc>
          <w:tcPr>
            <w:tcW w:w="1024" w:type="dxa"/>
            <w:shd w:val="clear" w:color="auto" w:fill="FFFFFF"/>
            <w:noWrap w:val="0"/>
            <w:vAlign w:val="center"/>
          </w:tcPr>
          <w:p>
            <w:pPr>
              <w:jc w:val="center"/>
              <w:rPr>
                <w:rFonts w:hint="eastAsia"/>
                <w:sz w:val="24"/>
              </w:rPr>
            </w:pPr>
            <w:r>
              <w:rPr>
                <w:rFonts w:hint="eastAsia"/>
                <w:kern w:val="0"/>
                <w:sz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851" w:type="dxa"/>
            <w:shd w:val="clear" w:color="auto" w:fill="FFFFFF"/>
            <w:noWrap w:val="0"/>
            <w:vAlign w:val="center"/>
          </w:tcPr>
          <w:p>
            <w:pPr>
              <w:jc w:val="center"/>
              <w:rPr>
                <w:rFonts w:hint="eastAsia"/>
                <w:sz w:val="24"/>
              </w:rPr>
            </w:pPr>
            <w:r>
              <w:rPr>
                <w:rFonts w:hint="eastAsia"/>
                <w:sz w:val="24"/>
              </w:rPr>
              <w:t>11</w:t>
            </w:r>
          </w:p>
        </w:tc>
        <w:tc>
          <w:tcPr>
            <w:tcW w:w="1360" w:type="dxa"/>
            <w:shd w:val="clear" w:color="auto" w:fill="FFFFFF"/>
            <w:noWrap w:val="0"/>
            <w:vAlign w:val="center"/>
          </w:tcPr>
          <w:p>
            <w:pPr>
              <w:widowControl/>
              <w:jc w:val="left"/>
              <w:rPr>
                <w:rFonts w:hint="eastAsia" w:ascii="宋体" w:hAnsi="宋体" w:cs="宋体"/>
                <w:kern w:val="0"/>
                <w:sz w:val="24"/>
              </w:rPr>
            </w:pPr>
            <w:r>
              <w:rPr>
                <w:rFonts w:hint="eastAsia" w:ascii="宋体" w:hAnsi="宋体" w:cs="Calibri"/>
                <w:kern w:val="0"/>
                <w:sz w:val="24"/>
              </w:rPr>
              <w:t>价格部</w:t>
            </w:r>
            <w:r>
              <w:rPr>
                <w:rFonts w:hint="eastAsia" w:ascii="宋体" w:hAnsi="宋体" w:cs="Calibri"/>
                <w:kern w:val="0"/>
                <w:sz w:val="24"/>
                <w:lang w:eastAsia="zh-Hans"/>
              </w:rPr>
              <w:t>分</w:t>
            </w:r>
          </w:p>
        </w:tc>
        <w:tc>
          <w:tcPr>
            <w:tcW w:w="4393" w:type="dxa"/>
            <w:shd w:val="clear" w:color="auto" w:fill="FFFFFF"/>
            <w:noWrap w:val="0"/>
            <w:vAlign w:val="center"/>
          </w:tcPr>
          <w:p>
            <w:pPr>
              <w:spacing w:before="120" w:beforeLines="50" w:after="120" w:afterLines="50"/>
              <w:ind w:firstLine="464" w:firstLineChars="200"/>
              <w:rPr>
                <w:rFonts w:hint="eastAsia" w:ascii="宋体" w:hAnsi="宋体"/>
                <w:bCs/>
                <w:spacing w:val="-4"/>
                <w:sz w:val="24"/>
              </w:rPr>
            </w:pPr>
            <w:r>
              <w:rPr>
                <w:rFonts w:hint="eastAsia" w:ascii="宋体" w:hAnsi="宋体"/>
                <w:bCs/>
                <w:spacing w:val="-4"/>
                <w:sz w:val="24"/>
              </w:rPr>
              <w:t>价格分采用低价优先法计算，即满足招标文件要求且投标价格最低的投标报价为评标基准价，其价格分为满分。其他投标人的价格分按照下列公式计算：</w:t>
            </w:r>
          </w:p>
          <w:p>
            <w:pPr>
              <w:jc w:val="left"/>
              <w:rPr>
                <w:rFonts w:hint="eastAsia" w:ascii="宋体" w:hAnsi="宋体" w:cs="Arial"/>
                <w:sz w:val="24"/>
                <w:lang w:eastAsia="zh-Hans"/>
              </w:rPr>
            </w:pPr>
            <w:r>
              <w:rPr>
                <w:rFonts w:hint="eastAsia" w:ascii="宋体" w:hAnsi="宋体"/>
                <w:sz w:val="24"/>
              </w:rPr>
              <w:t>价格分=（评标基准价/投标报价）×</w:t>
            </w:r>
            <w:r>
              <w:rPr>
                <w:rFonts w:hint="eastAsia" w:ascii="宋体" w:hAnsi="宋体"/>
                <w:sz w:val="24"/>
                <w:u w:val="single"/>
              </w:rPr>
              <w:t>20</w:t>
            </w:r>
            <w:r>
              <w:rPr>
                <w:rFonts w:hint="eastAsia" w:ascii="宋体" w:hAnsi="宋体"/>
                <w:sz w:val="24"/>
              </w:rPr>
              <w:t>%×100</w:t>
            </w:r>
          </w:p>
        </w:tc>
        <w:tc>
          <w:tcPr>
            <w:tcW w:w="852" w:type="dxa"/>
            <w:shd w:val="clear" w:color="auto" w:fill="FFFFFF"/>
            <w:noWrap w:val="0"/>
            <w:vAlign w:val="center"/>
          </w:tcPr>
          <w:p>
            <w:pPr>
              <w:widowControl/>
              <w:jc w:val="center"/>
              <w:rPr>
                <w:rFonts w:hAnsi="宋体"/>
                <w:kern w:val="0"/>
                <w:sz w:val="24"/>
                <w:lang w:eastAsia="zh-TW"/>
              </w:rPr>
            </w:pPr>
            <w:r>
              <w:rPr>
                <w:rFonts w:hint="eastAsia" w:hAnsi="宋体"/>
                <w:kern w:val="0"/>
                <w:sz w:val="24"/>
              </w:rPr>
              <w:t>2</w:t>
            </w:r>
            <w:r>
              <w:rPr>
                <w:rFonts w:hint="eastAsia" w:hAnsi="宋体"/>
                <w:kern w:val="0"/>
                <w:sz w:val="24"/>
                <w:lang w:eastAsia="zh-TW"/>
              </w:rPr>
              <w:t>0</w:t>
            </w:r>
          </w:p>
        </w:tc>
        <w:tc>
          <w:tcPr>
            <w:tcW w:w="1024" w:type="dxa"/>
            <w:shd w:val="clear" w:color="auto" w:fill="FFFFFF"/>
            <w:noWrap w:val="0"/>
            <w:vAlign w:val="center"/>
          </w:tcPr>
          <w:p>
            <w:pPr>
              <w:widowControl/>
              <w:jc w:val="center"/>
              <w:rPr>
                <w:rFonts w:hint="eastAsia"/>
                <w:kern w:val="0"/>
                <w:sz w:val="24"/>
              </w:rPr>
            </w:pPr>
            <w:r>
              <w:rPr>
                <w:rFonts w:hint="eastAsia"/>
                <w:kern w:val="0"/>
                <w:sz w:val="24"/>
              </w:rPr>
              <w:t>客观分</w:t>
            </w:r>
          </w:p>
        </w:tc>
      </w:tr>
    </w:tbl>
    <w:p>
      <w:pPr>
        <w:widowControl/>
        <w:jc w:val="center"/>
      </w:pPr>
      <w:r>
        <w:br w:type="page"/>
      </w:r>
      <w:bookmarkStart w:id="6" w:name="_Toc220618499"/>
      <w:r>
        <w:rPr>
          <w:rFonts w:hint="eastAsia"/>
        </w:rPr>
        <w:t>第四章</w:t>
      </w:r>
      <w:r>
        <w:rPr>
          <w:rFonts w:hint="eastAsia"/>
        </w:rPr>
        <w:tab/>
      </w:r>
      <w:r>
        <w:rPr>
          <w:rFonts w:hint="eastAsia"/>
        </w:rPr>
        <w:t>响应文件格式</w:t>
      </w:r>
      <w:bookmarkEnd w:id="6"/>
    </w:p>
    <w:p>
      <w:pPr>
        <w:rPr>
          <w:b/>
          <w:bCs/>
          <w:sz w:val="30"/>
          <w:szCs w:val="30"/>
        </w:rPr>
      </w:pPr>
      <w:r>
        <w:rPr>
          <w:rFonts w:hint="eastAsia"/>
          <w:b/>
          <w:bCs/>
          <w:sz w:val="30"/>
          <w:szCs w:val="30"/>
        </w:rPr>
        <w:t>一、响应</w:t>
      </w:r>
      <w:r>
        <w:rPr>
          <w:b/>
          <w:bCs/>
          <w:sz w:val="30"/>
          <w:szCs w:val="30"/>
        </w:rPr>
        <w:t>文件的组成</w:t>
      </w:r>
    </w:p>
    <w:p>
      <w:pPr>
        <w:rPr>
          <w:rFonts w:eastAsiaTheme="minorEastAsia"/>
          <w:sz w:val="24"/>
          <w:szCs w:val="22"/>
        </w:rPr>
      </w:pPr>
      <w:r>
        <w:rPr>
          <w:rFonts w:hint="eastAsia" w:eastAsiaTheme="minorEastAsia"/>
          <w:sz w:val="24"/>
          <w:szCs w:val="22"/>
        </w:rPr>
        <w:t>响应文件由资格证明文件、商务技术文件、报价文件三部份组成。</w:t>
      </w:r>
    </w:p>
    <w:p>
      <w:pPr>
        <w:rPr>
          <w:rFonts w:eastAsiaTheme="minorEastAsia"/>
          <w:sz w:val="24"/>
          <w:szCs w:val="22"/>
        </w:rPr>
      </w:pPr>
    </w:p>
    <w:p>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314"/>
        <w:gridCol w:w="4389"/>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r>
              <w:t>序号</w:t>
            </w:r>
          </w:p>
        </w:tc>
        <w:tc>
          <w:tcPr>
            <w:tcW w:w="771" w:type="pct"/>
            <w:vAlign w:val="center"/>
          </w:tcPr>
          <w:p>
            <w:r>
              <w:rPr>
                <w:rFonts w:hint="eastAsia"/>
              </w:rPr>
              <w:t>组成</w:t>
            </w:r>
          </w:p>
        </w:tc>
        <w:tc>
          <w:tcPr>
            <w:tcW w:w="2575" w:type="pct"/>
            <w:vAlign w:val="center"/>
          </w:tcPr>
          <w:p>
            <w:r>
              <w:t>材料名称</w:t>
            </w:r>
          </w:p>
        </w:tc>
        <w:tc>
          <w:tcPr>
            <w:tcW w:w="1245" w:type="pct"/>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p>
        </w:tc>
        <w:tc>
          <w:tcPr>
            <w:tcW w:w="771" w:type="pct"/>
            <w:vAlign w:val="center"/>
          </w:tcPr>
          <w:p>
            <w:r>
              <w:rPr>
                <w:rFonts w:hint="eastAsia"/>
              </w:rPr>
              <w:t>封面</w:t>
            </w:r>
          </w:p>
        </w:tc>
        <w:tc>
          <w:tcPr>
            <w:tcW w:w="2575" w:type="pct"/>
            <w:vAlign w:val="center"/>
          </w:tcPr>
          <w:p>
            <w:r>
              <w:t>封面（附件1）</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2</w:t>
            </w:r>
          </w:p>
        </w:tc>
        <w:tc>
          <w:tcPr>
            <w:tcW w:w="771" w:type="pct"/>
            <w:vMerge w:val="restart"/>
            <w:vAlign w:val="center"/>
          </w:tcPr>
          <w:p>
            <w:r>
              <w:rPr>
                <w:rFonts w:hint="eastAsia"/>
              </w:rPr>
              <w:t>资格</w:t>
            </w:r>
            <w:r>
              <w:t>证明文件</w:t>
            </w:r>
          </w:p>
        </w:tc>
        <w:tc>
          <w:tcPr>
            <w:tcW w:w="2575" w:type="pct"/>
            <w:vAlign w:val="center"/>
          </w:tcPr>
          <w:p>
            <w:r>
              <w:t>采购公告发布之日起至公告截止日内任意时间的“信用中国”网站（www.creditchina.gov.cn）的响应供应商信用查询网页截图</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3</w:t>
            </w:r>
          </w:p>
        </w:tc>
        <w:tc>
          <w:tcPr>
            <w:tcW w:w="771" w:type="pct"/>
            <w:vMerge w:val="continue"/>
            <w:vAlign w:val="center"/>
          </w:tcPr>
          <w:p/>
        </w:tc>
        <w:tc>
          <w:tcPr>
            <w:tcW w:w="2575" w:type="pct"/>
            <w:vAlign w:val="center"/>
          </w:tcPr>
          <w:p>
            <w:r>
              <w:t>企业营业执照</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4</w:t>
            </w:r>
          </w:p>
        </w:tc>
        <w:tc>
          <w:tcPr>
            <w:tcW w:w="771" w:type="pct"/>
            <w:vMerge w:val="continue"/>
            <w:vAlign w:val="center"/>
          </w:tcPr>
          <w:p/>
        </w:tc>
        <w:tc>
          <w:tcPr>
            <w:tcW w:w="2575" w:type="pct"/>
            <w:vAlign w:val="center"/>
          </w:tcPr>
          <w:p>
            <w:r>
              <w:t>法人代表身份证复印件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5</w:t>
            </w:r>
          </w:p>
        </w:tc>
        <w:tc>
          <w:tcPr>
            <w:tcW w:w="771" w:type="pct"/>
            <w:vMerge w:val="continue"/>
            <w:vAlign w:val="center"/>
          </w:tcPr>
          <w:p/>
        </w:tc>
        <w:tc>
          <w:tcPr>
            <w:tcW w:w="2575" w:type="pct"/>
            <w:vAlign w:val="center"/>
          </w:tcPr>
          <w:p>
            <w:r>
              <w:t>销售人员身份证复印件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6</w:t>
            </w:r>
          </w:p>
        </w:tc>
        <w:tc>
          <w:tcPr>
            <w:tcW w:w="771" w:type="pct"/>
            <w:vMerge w:val="restart"/>
            <w:vAlign w:val="center"/>
          </w:tcPr>
          <w:p>
            <w:r>
              <w:rPr>
                <w:rFonts w:hint="eastAsia" w:eastAsiaTheme="minorEastAsia"/>
                <w:sz w:val="24"/>
                <w:szCs w:val="22"/>
              </w:rPr>
              <w:t>商务技术文件</w:t>
            </w:r>
          </w:p>
        </w:tc>
        <w:tc>
          <w:tcPr>
            <w:tcW w:w="2575" w:type="pct"/>
            <w:vAlign w:val="center"/>
          </w:tcPr>
          <w:p>
            <w:r>
              <w:t>声明书（附件2）</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7</w:t>
            </w:r>
          </w:p>
        </w:tc>
        <w:tc>
          <w:tcPr>
            <w:tcW w:w="771" w:type="pct"/>
            <w:vMerge w:val="continue"/>
          </w:tcPr>
          <w:p/>
        </w:tc>
        <w:tc>
          <w:tcPr>
            <w:tcW w:w="2575" w:type="pct"/>
            <w:vAlign w:val="center"/>
          </w:tcPr>
          <w:p>
            <w:r>
              <w:t>法定代表人授权委托书（附件3）</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rPr>
                <w:rFonts w:hint="eastAsia"/>
              </w:rPr>
              <w:t>8</w:t>
            </w:r>
          </w:p>
        </w:tc>
        <w:tc>
          <w:tcPr>
            <w:tcW w:w="771" w:type="pct"/>
            <w:vMerge w:val="continue"/>
          </w:tcPr>
          <w:p/>
        </w:tc>
        <w:tc>
          <w:tcPr>
            <w:tcW w:w="2575" w:type="pct"/>
            <w:vAlign w:val="center"/>
          </w:tcPr>
          <w:p>
            <w:r>
              <w:t>经营许可证或生产许可证</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t>9</w:t>
            </w:r>
          </w:p>
        </w:tc>
        <w:tc>
          <w:tcPr>
            <w:tcW w:w="771" w:type="pct"/>
            <w:vMerge w:val="continue"/>
          </w:tcPr>
          <w:p/>
        </w:tc>
        <w:tc>
          <w:tcPr>
            <w:tcW w:w="2575" w:type="pct"/>
            <w:vAlign w:val="center"/>
          </w:tcPr>
          <w:p>
            <w:r>
              <w:rPr>
                <w:rFonts w:hint="eastAsia"/>
              </w:rPr>
              <w:t>生产企业质量体系认证资质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10</w:t>
            </w:r>
          </w:p>
        </w:tc>
        <w:tc>
          <w:tcPr>
            <w:tcW w:w="771" w:type="pct"/>
            <w:vMerge w:val="continue"/>
          </w:tcPr>
          <w:p/>
        </w:tc>
        <w:tc>
          <w:tcPr>
            <w:tcW w:w="2575" w:type="pct"/>
            <w:vAlign w:val="center"/>
          </w:tcPr>
          <w:p>
            <w:r>
              <w:t>医疗器械注册证及注册表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11</w:t>
            </w:r>
          </w:p>
        </w:tc>
        <w:tc>
          <w:tcPr>
            <w:tcW w:w="771" w:type="pct"/>
            <w:vMerge w:val="continue"/>
          </w:tcPr>
          <w:p/>
        </w:tc>
        <w:tc>
          <w:tcPr>
            <w:tcW w:w="2575" w:type="pct"/>
            <w:vAlign w:val="center"/>
          </w:tcPr>
          <w:p>
            <w:r>
              <w:rPr>
                <w:rFonts w:hint="eastAsia"/>
              </w:rPr>
              <w:t>所投</w:t>
            </w:r>
            <w:r>
              <w:t>产品彩页</w:t>
            </w:r>
            <w:r>
              <w:rPr>
                <w:rFonts w:hint="eastAsia"/>
              </w:rPr>
              <w:t>、产品说明书等</w:t>
            </w:r>
            <w:r>
              <w:t>文件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2</w:t>
            </w:r>
          </w:p>
        </w:tc>
        <w:tc>
          <w:tcPr>
            <w:tcW w:w="771" w:type="pct"/>
            <w:vMerge w:val="continue"/>
          </w:tcPr>
          <w:p/>
        </w:tc>
        <w:tc>
          <w:tcPr>
            <w:tcW w:w="2575" w:type="pct"/>
            <w:vAlign w:val="center"/>
          </w:tcPr>
          <w:p>
            <w:r>
              <w:t>厂家给经销商</w:t>
            </w:r>
            <w:r>
              <w:rPr>
                <w:rFonts w:hint="eastAsia"/>
              </w:rPr>
              <w:t>的逐级</w:t>
            </w:r>
            <w:r>
              <w:t>授权</w:t>
            </w:r>
            <w:r>
              <w:rPr>
                <w:rFonts w:hint="eastAsia"/>
              </w:rPr>
              <w:t>书</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13</w:t>
            </w:r>
          </w:p>
        </w:tc>
        <w:tc>
          <w:tcPr>
            <w:tcW w:w="771" w:type="pct"/>
            <w:vMerge w:val="continue"/>
          </w:tcPr>
          <w:p/>
        </w:tc>
        <w:tc>
          <w:tcPr>
            <w:tcW w:w="2575" w:type="pct"/>
            <w:vAlign w:val="center"/>
          </w:tcPr>
          <w:p>
            <w:r>
              <w:rPr>
                <w:rFonts w:hint="eastAsia"/>
              </w:rPr>
              <w:t>配套设备、耗材试剂（质控品等）清单及相关资质（如有）</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4</w:t>
            </w:r>
          </w:p>
        </w:tc>
        <w:tc>
          <w:tcPr>
            <w:tcW w:w="771" w:type="pct"/>
            <w:vMerge w:val="continue"/>
          </w:tcPr>
          <w:p/>
        </w:tc>
        <w:tc>
          <w:tcPr>
            <w:tcW w:w="2575" w:type="pct"/>
            <w:vAlign w:val="center"/>
          </w:tcPr>
          <w:p>
            <w:r>
              <w:t>技术响应表（附件4）</w:t>
            </w:r>
          </w:p>
        </w:tc>
        <w:tc>
          <w:tcPr>
            <w:tcW w:w="1245" w:type="pct"/>
          </w:tcPr>
          <w:p>
            <w:r>
              <w:rPr>
                <w:rFonts w:hint="eastAsia"/>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15</w:t>
            </w:r>
          </w:p>
        </w:tc>
        <w:tc>
          <w:tcPr>
            <w:tcW w:w="771" w:type="pct"/>
            <w:vMerge w:val="continue"/>
          </w:tcPr>
          <w:p/>
        </w:tc>
        <w:tc>
          <w:tcPr>
            <w:tcW w:w="2575" w:type="pct"/>
            <w:vAlign w:val="center"/>
          </w:tcPr>
          <w:p>
            <w:r>
              <w:rPr>
                <w:rFonts w:hint="eastAsia"/>
              </w:rPr>
              <w:t>售后</w:t>
            </w:r>
            <w:r>
              <w:t>服务方案</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16</w:t>
            </w:r>
          </w:p>
        </w:tc>
        <w:tc>
          <w:tcPr>
            <w:tcW w:w="771" w:type="pct"/>
            <w:vMerge w:val="continue"/>
          </w:tcPr>
          <w:p/>
        </w:tc>
        <w:tc>
          <w:tcPr>
            <w:tcW w:w="2575" w:type="pct"/>
            <w:vAlign w:val="center"/>
          </w:tcPr>
          <w:p>
            <w:r>
              <w:rPr>
                <w:rFonts w:hAnsi="宋体"/>
                <w:kern w:val="0"/>
                <w:szCs w:val="21"/>
              </w:rPr>
              <w:t>提供</w:t>
            </w:r>
            <w:r>
              <w:rPr>
                <w:rFonts w:hint="eastAsia" w:hAnsi="宋体"/>
                <w:kern w:val="0"/>
                <w:szCs w:val="21"/>
              </w:rPr>
              <w:t>三甲</w:t>
            </w:r>
            <w:r>
              <w:rPr>
                <w:rFonts w:hAnsi="宋体"/>
                <w:kern w:val="0"/>
                <w:szCs w:val="21"/>
              </w:rPr>
              <w:t>用户名单及合同复印件</w:t>
            </w:r>
            <w:r>
              <w:rPr>
                <w:rFonts w:hint="eastAsia" w:hAnsi="宋体"/>
                <w:kern w:val="0"/>
                <w:szCs w:val="21"/>
              </w:rPr>
              <w:t>（或发票）</w:t>
            </w:r>
          </w:p>
        </w:tc>
        <w:tc>
          <w:tcPr>
            <w:tcW w:w="1245" w:type="pct"/>
          </w:tcPr>
          <w:p>
            <w:r>
              <w:rPr>
                <w:rFonts w:hint="eastAsia"/>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17</w:t>
            </w:r>
          </w:p>
        </w:tc>
        <w:tc>
          <w:tcPr>
            <w:tcW w:w="771" w:type="pct"/>
            <w:vMerge w:val="continue"/>
          </w:tcPr>
          <w:p/>
        </w:tc>
        <w:tc>
          <w:tcPr>
            <w:tcW w:w="2575" w:type="pct"/>
            <w:vAlign w:val="center"/>
          </w:tcPr>
          <w:p>
            <w:r>
              <w:t>其他优惠条件</w:t>
            </w:r>
          </w:p>
        </w:tc>
        <w:tc>
          <w:tcPr>
            <w:tcW w:w="1245"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18</w:t>
            </w:r>
          </w:p>
        </w:tc>
        <w:tc>
          <w:tcPr>
            <w:tcW w:w="771" w:type="pct"/>
            <w:vAlign w:val="center"/>
          </w:tcPr>
          <w:p>
            <w:r>
              <w:rPr>
                <w:rFonts w:hint="eastAsia" w:eastAsiaTheme="minorEastAsia"/>
                <w:sz w:val="24"/>
                <w:szCs w:val="22"/>
              </w:rPr>
              <w:t>报价文件</w:t>
            </w:r>
          </w:p>
        </w:tc>
        <w:tc>
          <w:tcPr>
            <w:tcW w:w="2575" w:type="pct"/>
            <w:vAlign w:val="center"/>
          </w:tcPr>
          <w:p>
            <w:r>
              <w:t>项目报价单（附件</w:t>
            </w:r>
            <w:r>
              <w:rPr>
                <w:rFonts w:hint="eastAsia"/>
              </w:rPr>
              <w:t>5</w:t>
            </w:r>
            <w:r>
              <w:t>）</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tcPr>
          <w:p>
            <w:pPr>
              <w:rPr>
                <w:rFonts w:hint="default" w:eastAsia="宋体"/>
                <w:lang w:val="en-US" w:eastAsia="zh-CN"/>
              </w:rPr>
            </w:pPr>
            <w:r>
              <w:rPr>
                <w:rFonts w:hint="eastAsia"/>
                <w:lang w:val="en-US" w:eastAsia="zh-CN"/>
              </w:rPr>
              <w:t>19</w:t>
            </w:r>
          </w:p>
        </w:tc>
        <w:tc>
          <w:tcPr>
            <w:tcW w:w="771" w:type="pct"/>
            <w:vAlign w:val="center"/>
          </w:tcPr>
          <w:p>
            <w:pPr>
              <w:rPr>
                <w:rFonts w:hint="eastAsia" w:eastAsiaTheme="minorEastAsia"/>
                <w:sz w:val="24"/>
                <w:szCs w:val="22"/>
                <w:lang w:eastAsia="zh-CN"/>
              </w:rPr>
            </w:pPr>
            <w:r>
              <w:rPr>
                <w:rFonts w:hint="eastAsia" w:eastAsiaTheme="minorEastAsia"/>
                <w:sz w:val="24"/>
                <w:szCs w:val="22"/>
                <w:lang w:eastAsia="zh-CN"/>
              </w:rPr>
              <w:t>其他材料</w:t>
            </w:r>
          </w:p>
        </w:tc>
        <w:tc>
          <w:tcPr>
            <w:tcW w:w="2575" w:type="pct"/>
            <w:vAlign w:val="center"/>
          </w:tcPr>
          <w:p>
            <w:pPr>
              <w:rPr>
                <w:rFonts w:hint="eastAsia" w:eastAsia="宋体"/>
                <w:lang w:eastAsia="zh-CN"/>
              </w:rPr>
            </w:pPr>
            <w:r>
              <w:rPr>
                <w:rFonts w:hint="eastAsia"/>
                <w:lang w:eastAsia="zh-CN"/>
              </w:rPr>
              <w:t>按需提供</w:t>
            </w:r>
          </w:p>
        </w:tc>
        <w:tc>
          <w:tcPr>
            <w:tcW w:w="1245" w:type="pct"/>
          </w:tcPr>
          <w:p/>
        </w:tc>
      </w:tr>
    </w:tbl>
    <w:p>
      <w:pPr>
        <w:rPr>
          <w:b/>
          <w:bCs/>
          <w:sz w:val="24"/>
        </w:rPr>
      </w:pPr>
      <w:r>
        <w:rPr>
          <w:b/>
        </w:rPr>
        <w:t>注：正本所有文件需加盖公司红章，副本为正本的复印件。</w:t>
      </w:r>
    </w:p>
    <w:p>
      <w:pPr>
        <w:rPr>
          <w:b/>
          <w:bCs/>
          <w:sz w:val="32"/>
        </w:rPr>
      </w:pPr>
    </w:p>
    <w:p>
      <w:pPr>
        <w:rPr>
          <w:b/>
          <w:bCs/>
          <w:sz w:val="32"/>
        </w:rPr>
      </w:pPr>
    </w:p>
    <w:p>
      <w:pPr>
        <w:rPr>
          <w:b/>
          <w:bCs/>
          <w:sz w:val="3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pPr>
        <w:ind w:firstLine="1320" w:firstLineChars="300"/>
        <w:rPr>
          <w:sz w:val="44"/>
          <w:szCs w:val="44"/>
        </w:rPr>
      </w:pPr>
      <w:r>
        <w:rPr>
          <w:rFonts w:hAnsi="Calibri"/>
          <w:sz w:val="44"/>
          <w:szCs w:val="44"/>
        </w:rPr>
        <w:t>浙江大学医学院附属妇产科医院</w:t>
      </w:r>
    </w:p>
    <w:p>
      <w:pPr>
        <w:ind w:firstLine="3080" w:firstLineChars="700"/>
        <w:rPr>
          <w:sz w:val="44"/>
          <w:szCs w:val="44"/>
        </w:rPr>
      </w:pPr>
      <w:r>
        <w:rPr>
          <w:rFonts w:hAnsi="Calibri"/>
          <w:sz w:val="44"/>
          <w:szCs w:val="44"/>
        </w:rPr>
        <w:t>（</w:t>
      </w:r>
      <w:r>
        <w:rPr>
          <w:rFonts w:hint="eastAsia" w:hAnsi="Calibri"/>
          <w:sz w:val="44"/>
          <w:szCs w:val="44"/>
          <w:lang w:eastAsia="zh-CN"/>
        </w:rPr>
        <w:t>外送服务</w:t>
      </w:r>
      <w:r>
        <w:rPr>
          <w:rFonts w:hAnsi="Calibri"/>
          <w:sz w:val="44"/>
          <w:szCs w:val="44"/>
        </w:rPr>
        <w:t>）</w:t>
      </w:r>
    </w:p>
    <w:tbl>
      <w:tblPr>
        <w:tblStyle w:val="39"/>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ascii="Calibri" w:hAnsi="Calibri"/>
                <w:sz w:val="28"/>
                <w:szCs w:val="28"/>
              </w:rPr>
            </w:pPr>
          </w:p>
        </w:tc>
        <w:tc>
          <w:tcPr>
            <w:tcW w:w="1704" w:type="dxa"/>
          </w:tcPr>
          <w:p>
            <w:pPr>
              <w:rPr>
                <w:rFonts w:ascii="Calibri" w:hAnsi="Calibri"/>
                <w:sz w:val="28"/>
                <w:szCs w:val="28"/>
              </w:rPr>
            </w:pPr>
          </w:p>
        </w:tc>
        <w:tc>
          <w:tcPr>
            <w:tcW w:w="1704" w:type="dxa"/>
            <w:vMerge w:val="restart"/>
          </w:tcPr>
          <w:p>
            <w:pPr>
              <w:spacing w:line="720" w:lineRule="auto"/>
              <w:rPr>
                <w:rFonts w:ascii="Calibri" w:hAnsi="Calibri"/>
                <w:sz w:val="84"/>
                <w:szCs w:val="84"/>
              </w:rPr>
            </w:pPr>
          </w:p>
          <w:p>
            <w:pPr>
              <w:spacing w:line="720" w:lineRule="auto"/>
              <w:rPr>
                <w:rFonts w:ascii="Calibri" w:hAnsi="Calibri"/>
                <w:sz w:val="36"/>
                <w:szCs w:val="36"/>
              </w:rPr>
            </w:pPr>
          </w:p>
          <w:p>
            <w:pPr>
              <w:spacing w:line="720" w:lineRule="auto"/>
              <w:rPr>
                <w:rFonts w:ascii="Calibri" w:hAnsi="Calibri"/>
                <w:sz w:val="84"/>
                <w:szCs w:val="84"/>
              </w:rPr>
            </w:pPr>
            <w:r>
              <w:rPr>
                <w:rFonts w:ascii="Calibri" w:hAnsi="Calibri"/>
                <w:sz w:val="84"/>
                <w:szCs w:val="84"/>
              </w:rPr>
              <w:t>响应文件</w:t>
            </w:r>
          </w:p>
        </w:tc>
        <w:tc>
          <w:tcPr>
            <w:tcW w:w="3501" w:type="dxa"/>
            <w:vMerge w:val="restart"/>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时      间：</w:t>
            </w:r>
          </w:p>
        </w:tc>
      </w:tr>
    </w:tbl>
    <w:p>
      <w:pPr>
        <w:rPr>
          <w:szCs w:val="22"/>
        </w:rPr>
      </w:pPr>
    </w:p>
    <w:p>
      <w:pPr>
        <w:rPr>
          <w:szCs w:val="2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eastAsiaTheme="minorEastAsia"/>
          <w:sz w:val="28"/>
          <w:szCs w:val="28"/>
        </w:rPr>
      </w:pPr>
    </w:p>
    <w:p>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pPr>
        <w:snapToGrid w:val="0"/>
        <w:spacing w:before="156" w:beforeLines="50" w:line="460" w:lineRule="exact"/>
        <w:ind w:firstLine="200"/>
        <w:rPr>
          <w:rFonts w:eastAsiaTheme="minorEastAsia"/>
          <w:sz w:val="28"/>
          <w:szCs w:val="28"/>
          <w:u w:val="single"/>
        </w:rPr>
      </w:pPr>
    </w:p>
    <w:p>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法定代表人授权委托书</w:t>
      </w:r>
    </w:p>
    <w:p>
      <w:pPr>
        <w:snapToGrid w:val="0"/>
        <w:spacing w:before="156" w:beforeLines="50" w:after="50"/>
        <w:rPr>
          <w:rFonts w:eastAsia="仿宋"/>
          <w:b/>
          <w:sz w:val="30"/>
          <w:szCs w:val="30"/>
        </w:rPr>
      </w:pPr>
    </w:p>
    <w:p>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pPr>
        <w:snapToGrid w:val="0"/>
        <w:spacing w:before="156" w:beforeLines="50" w:after="50" w:line="460" w:lineRule="exact"/>
        <w:ind w:firstLine="480"/>
        <w:rPr>
          <w:rFonts w:eastAsia="仿宋"/>
          <w:sz w:val="30"/>
          <w:szCs w:val="30"/>
        </w:rPr>
      </w:pPr>
    </w:p>
    <w:p>
      <w:pPr>
        <w:snapToGrid w:val="0"/>
        <w:spacing w:before="156" w:beforeLines="50" w:after="50" w:line="460" w:lineRule="exact"/>
        <w:ind w:firstLine="480"/>
        <w:rPr>
          <w:rFonts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pPr>
        <w:snapToGrid w:val="0"/>
        <w:spacing w:before="156" w:beforeLines="50" w:after="50" w:line="460" w:lineRule="exact"/>
        <w:rPr>
          <w:rFonts w:eastAsia="仿宋"/>
          <w:sz w:val="30"/>
          <w:szCs w:val="30"/>
        </w:rPr>
      </w:pPr>
    </w:p>
    <w:p>
      <w:pPr>
        <w:snapToGrid w:val="0"/>
        <w:spacing w:before="156" w:beforeLines="50" w:after="50" w:line="460" w:lineRule="exact"/>
        <w:rPr>
          <w:rFonts w:eastAsia="仿宋"/>
          <w:sz w:val="30"/>
          <w:szCs w:val="30"/>
        </w:rPr>
      </w:pPr>
      <w:r>
        <w:rPr>
          <w:rFonts w:eastAsia="仿宋"/>
          <w:sz w:val="30"/>
          <w:szCs w:val="30"/>
        </w:rPr>
        <w:t xml:space="preserve">                                     </w:t>
      </w:r>
    </w:p>
    <w:p>
      <w:pPr>
        <w:snapToGrid w:val="0"/>
        <w:spacing w:before="156" w:beforeLines="50" w:after="50" w:line="460" w:lineRule="exact"/>
        <w:ind w:firstLine="6150" w:firstLineChars="2050"/>
        <w:rPr>
          <w:rFonts w:eastAsia="仿宋"/>
          <w:sz w:val="30"/>
          <w:szCs w:val="30"/>
        </w:rPr>
      </w:pPr>
    </w:p>
    <w:p>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pPr>
        <w:pStyle w:val="32"/>
        <w:spacing w:line="360" w:lineRule="auto"/>
        <w:jc w:val="both"/>
        <w:rPr>
          <w:sz w:val="21"/>
          <w:szCs w:val="21"/>
        </w:rPr>
      </w:pPr>
    </w:p>
    <w:p>
      <w:pPr>
        <w:pStyle w:val="32"/>
        <w:spacing w:line="360" w:lineRule="auto"/>
        <w:jc w:val="both"/>
        <w:rPr>
          <w:sz w:val="21"/>
          <w:szCs w:val="21"/>
        </w:rPr>
      </w:pPr>
    </w:p>
    <w:p>
      <w:pPr>
        <w:pStyle w:val="32"/>
        <w:spacing w:line="360" w:lineRule="auto"/>
        <w:jc w:val="both"/>
        <w:rPr>
          <w:sz w:val="21"/>
          <w:szCs w:val="21"/>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pPr>
        <w:jc w:val="center"/>
        <w:rPr>
          <w:b/>
          <w:sz w:val="36"/>
          <w:szCs w:val="36"/>
        </w:rPr>
      </w:pPr>
      <w:r>
        <w:rPr>
          <w:b/>
          <w:sz w:val="36"/>
          <w:szCs w:val="36"/>
        </w:rPr>
        <w:t>技术响应表</w:t>
      </w:r>
    </w:p>
    <w:p>
      <w:pPr>
        <w:rPr>
          <w:sz w:val="32"/>
          <w:szCs w:val="32"/>
          <w:u w:val="single"/>
        </w:rPr>
      </w:pPr>
      <w:r>
        <w:rPr>
          <w:sz w:val="32"/>
          <w:szCs w:val="32"/>
        </w:rPr>
        <w:t>供应商全称（公章）：</w:t>
      </w:r>
      <w:r>
        <w:rPr>
          <w:sz w:val="32"/>
          <w:szCs w:val="32"/>
          <w:u w:val="single"/>
        </w:rPr>
        <w:t xml:space="preserve">                        </w:t>
      </w:r>
    </w:p>
    <w:p>
      <w:pPr>
        <w:rPr>
          <w:sz w:val="32"/>
          <w:szCs w:val="32"/>
          <w:u w:val="single"/>
        </w:rPr>
      </w:pP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bl>
    <w:p>
      <w:pPr>
        <w:rPr>
          <w:sz w:val="32"/>
          <w:szCs w:val="32"/>
        </w:rPr>
      </w:pPr>
    </w:p>
    <w:p>
      <w:pPr>
        <w:rPr>
          <w:sz w:val="32"/>
          <w:szCs w:val="32"/>
          <w:u w:val="single"/>
        </w:rPr>
      </w:pPr>
      <w:r>
        <w:rPr>
          <w:sz w:val="32"/>
          <w:szCs w:val="32"/>
        </w:rPr>
        <w:t>授权代表签名及手机：</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pStyle w:val="32"/>
        <w:spacing w:line="360" w:lineRule="auto"/>
        <w:jc w:val="both"/>
        <w:rPr>
          <w:sz w:val="21"/>
          <w:szCs w:val="21"/>
        </w:rPr>
      </w:pPr>
    </w:p>
    <w:p>
      <w:pPr>
        <w:pStyle w:val="32"/>
        <w:spacing w:line="360" w:lineRule="auto"/>
        <w:jc w:val="both"/>
        <w:rPr>
          <w:rFonts w:hint="eastAsia"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pPr>
        <w:jc w:val="center"/>
        <w:rPr>
          <w:rFonts w:hint="eastAsia" w:eastAsia="宋体"/>
          <w:b/>
          <w:sz w:val="36"/>
          <w:szCs w:val="36"/>
          <w:lang w:eastAsia="zh-CN"/>
        </w:rPr>
      </w:pPr>
      <w:r>
        <w:rPr>
          <w:b/>
          <w:sz w:val="36"/>
          <w:szCs w:val="36"/>
        </w:rPr>
        <w:t>报价明细表</w:t>
      </w:r>
      <w:r>
        <w:rPr>
          <w:rFonts w:hint="eastAsia"/>
          <w:b/>
          <w:sz w:val="36"/>
          <w:szCs w:val="36"/>
          <w:lang w:eastAsia="zh-CN"/>
        </w:rPr>
        <w:t>（参考）</w:t>
      </w:r>
    </w:p>
    <w:p>
      <w:pPr>
        <w:rPr>
          <w:sz w:val="32"/>
          <w:szCs w:val="32"/>
          <w:u w:val="single"/>
        </w:rPr>
      </w:pPr>
      <w:r>
        <w:rPr>
          <w:sz w:val="32"/>
          <w:szCs w:val="32"/>
        </w:rPr>
        <w:t>供应商全称：</w:t>
      </w:r>
      <w:r>
        <w:rPr>
          <w:sz w:val="32"/>
          <w:szCs w:val="32"/>
          <w:u w:val="single"/>
        </w:rPr>
        <w:t xml:space="preserve">                        </w:t>
      </w:r>
    </w:p>
    <w:p>
      <w:pPr>
        <w:rPr>
          <w:sz w:val="32"/>
          <w:szCs w:val="32"/>
          <w:u w:val="single"/>
        </w:rPr>
      </w:pPr>
      <w:r>
        <w:rPr>
          <w:sz w:val="32"/>
          <w:szCs w:val="32"/>
        </w:rPr>
        <w:t>项目编号：</w:t>
      </w:r>
      <w:r>
        <w:rPr>
          <w:sz w:val="32"/>
          <w:szCs w:val="32"/>
          <w:u w:val="single"/>
        </w:rPr>
        <w:t xml:space="preserve">                          </w:t>
      </w: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3466"/>
        <w:gridCol w:w="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r>
              <w:rPr>
                <w:rFonts w:hint="eastAsia" w:hAnsi="宋体"/>
                <w:sz w:val="32"/>
                <w:szCs w:val="32"/>
                <w:lang w:eastAsia="zh-CN"/>
              </w:rPr>
              <w:t>服务</w:t>
            </w:r>
            <w:r>
              <w:rPr>
                <w:rFonts w:hAnsi="宋体"/>
                <w:sz w:val="32"/>
                <w:szCs w:val="32"/>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hAnsi="宋体"/>
                <w:b/>
                <w:sz w:val="28"/>
                <w:szCs w:val="28"/>
                <w:lang w:eastAsia="zh-CN"/>
              </w:rPr>
              <w:t>项目</w:t>
            </w:r>
            <w:r>
              <w:rPr>
                <w:rFonts w:hAnsi="宋体"/>
                <w:b/>
                <w:sz w:val="28"/>
                <w:szCs w:val="28"/>
              </w:rPr>
              <w:t>名称</w:t>
            </w:r>
          </w:p>
        </w:tc>
        <w:tc>
          <w:tcPr>
            <w:tcW w:w="44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44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8"/>
                <w:szCs w:val="28"/>
              </w:rPr>
            </w:pPr>
          </w:p>
          <w:p>
            <w:pPr>
              <w:rPr>
                <w:sz w:val="28"/>
                <w:szCs w:val="28"/>
              </w:rPr>
            </w:pPr>
          </w:p>
          <w:p>
            <w:pPr>
              <w:rPr>
                <w:sz w:val="28"/>
                <w:szCs w:val="28"/>
              </w:rPr>
            </w:pPr>
          </w:p>
          <w:p>
            <w:pPr>
              <w:rPr>
                <w:sz w:val="28"/>
                <w:szCs w:val="28"/>
              </w:rPr>
            </w:pPr>
            <w:r>
              <w:rPr>
                <w:rFonts w:hAnsi="宋体"/>
                <w:sz w:val="28"/>
                <w:szCs w:val="28"/>
              </w:rPr>
              <w:t>备</w:t>
            </w:r>
          </w:p>
          <w:p>
            <w:pPr>
              <w:rPr>
                <w:sz w:val="28"/>
                <w:szCs w:val="28"/>
              </w:rPr>
            </w:pPr>
          </w:p>
          <w:p>
            <w:pPr>
              <w:rPr>
                <w:sz w:val="28"/>
                <w:szCs w:val="28"/>
              </w:rPr>
            </w:pPr>
            <w:r>
              <w:rPr>
                <w:rFonts w:hAnsi="宋体"/>
                <w:sz w:val="28"/>
                <w:szCs w:val="28"/>
              </w:rPr>
              <w:t>注</w:t>
            </w:r>
          </w:p>
          <w:p>
            <w:pPr>
              <w:rPr>
                <w:sz w:val="28"/>
                <w:szCs w:val="28"/>
              </w:rPr>
            </w:pPr>
          </w:p>
          <w:p>
            <w:pPr>
              <w:rPr>
                <w:sz w:val="28"/>
                <w:szCs w:val="28"/>
              </w:rPr>
            </w:pPr>
          </w:p>
          <w:p>
            <w:pPr>
              <w:rPr>
                <w:rFonts w:eastAsiaTheme="minorEastAsia"/>
                <w:sz w:val="28"/>
                <w:szCs w:val="28"/>
              </w:rPr>
            </w:pPr>
          </w:p>
        </w:tc>
        <w:tc>
          <w:tcPr>
            <w:tcW w:w="79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pPr>
              <w:rPr>
                <w:sz w:val="28"/>
                <w:szCs w:val="28"/>
              </w:rPr>
            </w:pPr>
            <w:r>
              <w:rPr>
                <w:sz w:val="28"/>
                <w:szCs w:val="28"/>
              </w:rPr>
              <w:t>3</w:t>
            </w:r>
            <w:r>
              <w:rPr>
                <w:rFonts w:hAnsi="宋体"/>
                <w:sz w:val="28"/>
                <w:szCs w:val="28"/>
              </w:rPr>
              <w:t>、报价中不允许出现报价优惠等字样，合计总价应与明细报价汇总相等。</w:t>
            </w:r>
          </w:p>
          <w:p>
            <w:pPr>
              <w:rPr>
                <w:rFonts w:eastAsiaTheme="minorEastAsia"/>
                <w:sz w:val="28"/>
                <w:szCs w:val="28"/>
              </w:rPr>
            </w:pPr>
          </w:p>
        </w:tc>
      </w:tr>
    </w:tbl>
    <w:p>
      <w:pPr>
        <w:rPr>
          <w:sz w:val="32"/>
          <w:szCs w:val="32"/>
        </w:rPr>
      </w:pPr>
    </w:p>
    <w:p>
      <w:pPr>
        <w:rPr>
          <w:sz w:val="32"/>
          <w:szCs w:val="32"/>
          <w:u w:val="single"/>
        </w:rPr>
      </w:pPr>
      <w:r>
        <w:rPr>
          <w:sz w:val="32"/>
          <w:szCs w:val="32"/>
        </w:rPr>
        <w:t>授权代表签名：</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rPr>
          <w:szCs w:val="22"/>
        </w:rPr>
      </w:pPr>
    </w:p>
    <w:p>
      <w:r>
        <w:rPr>
          <w:rFonts w:hint="eastAsia"/>
        </w:rPr>
        <w:br w:type="page"/>
      </w:r>
    </w:p>
    <w:p>
      <w:pPr>
        <w:pStyle w:val="13"/>
      </w:pPr>
      <w:bookmarkStart w:id="7" w:name="_Toc220618500"/>
      <w:r>
        <w:rPr>
          <w:rFonts w:hint="eastAsia"/>
        </w:rPr>
        <w:t>第五章</w:t>
      </w:r>
      <w:r>
        <w:rPr>
          <w:rFonts w:hint="eastAsia"/>
        </w:rPr>
        <w:tab/>
      </w:r>
      <w:r>
        <w:rPr>
          <w:rFonts w:hint="eastAsia"/>
        </w:rPr>
        <w:t>合同主要条款</w:t>
      </w:r>
      <w:bookmarkEnd w:id="7"/>
    </w:p>
    <w:p>
      <w:pPr>
        <w:spacing w:line="360" w:lineRule="auto"/>
        <w:jc w:val="center"/>
        <w:rPr>
          <w:rFonts w:hint="eastAsia" w:ascii="黑体" w:eastAsia="黑体"/>
          <w:b/>
          <w:sz w:val="28"/>
          <w:szCs w:val="28"/>
        </w:rPr>
      </w:pPr>
      <w:r>
        <w:rPr>
          <w:rFonts w:hint="eastAsia" w:ascii="黑体" w:eastAsia="黑体"/>
          <w:b/>
          <w:sz w:val="28"/>
          <w:szCs w:val="28"/>
        </w:rPr>
        <w:t>浙大妇院第三方检测服务合同</w:t>
      </w:r>
    </w:p>
    <w:p>
      <w:pPr>
        <w:pStyle w:val="2"/>
        <w:jc w:val="center"/>
      </w:pPr>
      <w:r>
        <w:rPr>
          <w:rFonts w:hint="eastAsia"/>
          <w:b/>
          <w:color w:val="C00000"/>
          <w:sz w:val="24"/>
        </w:rPr>
        <w:t>（仅作参考，以最终协商为准）</w:t>
      </w:r>
    </w:p>
    <w:p>
      <w:pPr>
        <w:snapToGrid w:val="0"/>
        <w:spacing w:line="360" w:lineRule="auto"/>
        <w:jc w:val="left"/>
        <w:rPr>
          <w:rFonts w:hint="eastAsia" w:ascii="宋体" w:hAnsi="宋体" w:cs="宋体"/>
          <w:szCs w:val="21"/>
        </w:rPr>
      </w:pPr>
    </w:p>
    <w:p>
      <w:pPr>
        <w:snapToGrid w:val="0"/>
        <w:spacing w:line="360" w:lineRule="auto"/>
        <w:jc w:val="left"/>
        <w:rPr>
          <w:rFonts w:hint="eastAsia" w:ascii="宋体" w:hAnsi="宋体" w:cs="宋体"/>
          <w:szCs w:val="21"/>
        </w:rPr>
      </w:pPr>
      <w:r>
        <w:rPr>
          <w:rFonts w:hint="eastAsia" w:ascii="宋体" w:hAnsi="宋体" w:cs="宋体"/>
          <w:szCs w:val="21"/>
        </w:rPr>
        <w:t xml:space="preserve">委托方（甲方）：浙江大学医学院附属妇产科医院 </w:t>
      </w:r>
    </w:p>
    <w:p>
      <w:pPr>
        <w:snapToGrid w:val="0"/>
        <w:spacing w:line="360" w:lineRule="auto"/>
        <w:jc w:val="left"/>
        <w:rPr>
          <w:rFonts w:hint="eastAsia" w:ascii="宋体" w:hAnsi="宋体" w:cs="宋体"/>
          <w:szCs w:val="21"/>
        </w:rPr>
      </w:pPr>
      <w:r>
        <w:rPr>
          <w:rFonts w:hint="eastAsia" w:ascii="宋体" w:hAnsi="宋体" w:cs="宋体"/>
          <w:szCs w:val="21"/>
        </w:rPr>
        <w:t>联系地址：杭州市上城区学士路1号</w:t>
      </w:r>
    </w:p>
    <w:p>
      <w:pPr>
        <w:snapToGrid w:val="0"/>
        <w:spacing w:line="360" w:lineRule="auto"/>
        <w:jc w:val="left"/>
        <w:rPr>
          <w:rFonts w:hint="eastAsia" w:ascii="宋体" w:hAnsi="宋体" w:cs="宋体"/>
          <w:szCs w:val="21"/>
        </w:rPr>
      </w:pPr>
    </w:p>
    <w:p>
      <w:pPr>
        <w:snapToGrid w:val="0"/>
        <w:spacing w:line="360" w:lineRule="auto"/>
        <w:jc w:val="left"/>
        <w:rPr>
          <w:rFonts w:hint="eastAsia" w:ascii="宋体" w:hAnsi="宋体" w:cs="宋体"/>
          <w:szCs w:val="21"/>
        </w:rPr>
      </w:pPr>
      <w:r>
        <w:rPr>
          <w:rFonts w:hint="eastAsia" w:ascii="宋体" w:hAnsi="宋体" w:cs="宋体"/>
          <w:szCs w:val="21"/>
        </w:rPr>
        <w:t xml:space="preserve">受托方（乙方）： </w:t>
      </w:r>
    </w:p>
    <w:p>
      <w:pPr>
        <w:snapToGrid w:val="0"/>
        <w:spacing w:line="360" w:lineRule="auto"/>
        <w:jc w:val="left"/>
        <w:rPr>
          <w:rFonts w:hint="eastAsia" w:ascii="宋体" w:hAnsi="宋体" w:cs="宋体"/>
          <w:szCs w:val="21"/>
        </w:rPr>
      </w:pPr>
      <w:r>
        <w:rPr>
          <w:rFonts w:hint="eastAsia" w:ascii="宋体" w:hAnsi="宋体" w:cs="宋体"/>
          <w:szCs w:val="21"/>
        </w:rPr>
        <w:t>联系地址：</w:t>
      </w:r>
    </w:p>
    <w:p>
      <w:pPr>
        <w:snapToGrid w:val="0"/>
        <w:spacing w:line="360" w:lineRule="auto"/>
        <w:jc w:val="left"/>
        <w:rPr>
          <w:rFonts w:hint="eastAsia" w:ascii="宋体" w:hAnsi="宋体" w:cs="宋体"/>
          <w:szCs w:val="21"/>
        </w:rPr>
      </w:pPr>
      <w:r>
        <w:rPr>
          <w:rFonts w:hint="eastAsia" w:ascii="宋体" w:hAnsi="宋体" w:cs="宋体"/>
          <w:szCs w:val="21"/>
        </w:rPr>
        <w:t xml:space="preserve">联系人：             联系电话：                   </w:t>
      </w:r>
    </w:p>
    <w:p>
      <w:pPr>
        <w:snapToGrid w:val="0"/>
        <w:spacing w:line="360" w:lineRule="auto"/>
        <w:ind w:firstLine="420" w:firstLineChars="200"/>
        <w:jc w:val="left"/>
        <w:rPr>
          <w:rFonts w:hint="eastAsia" w:ascii="宋体" w:hAnsi="宋体" w:cs="宋体"/>
          <w:szCs w:val="21"/>
        </w:rPr>
      </w:pP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甲乙双方经友好协商，就医学样品</w:t>
      </w:r>
      <w:r>
        <w:rPr>
          <w:rFonts w:ascii="宋体" w:hAnsi="宋体" w:cs="宋体"/>
          <w:szCs w:val="21"/>
        </w:rPr>
        <w:t>外送检测服务</w:t>
      </w:r>
      <w:r>
        <w:rPr>
          <w:rFonts w:hint="eastAsia" w:ascii="宋体" w:hAnsi="宋体" w:cs="宋体"/>
          <w:szCs w:val="21"/>
        </w:rPr>
        <w:t>事宜达成一致，特签订本协议，以兹共同遵守。</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一、委托方式：</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甲方将 </w:t>
      </w:r>
      <w:r>
        <w:rPr>
          <w:rFonts w:hint="eastAsia" w:ascii="宋体" w:hAnsi="宋体" w:cs="宋体"/>
          <w:szCs w:val="21"/>
          <w:u w:val="single"/>
        </w:rPr>
        <w:t xml:space="preserve">下表检测项目 </w:t>
      </w:r>
      <w:r>
        <w:rPr>
          <w:rFonts w:hint="eastAsia" w:ascii="宋体" w:hAnsi="宋体" w:cs="宋体"/>
          <w:szCs w:val="21"/>
        </w:rPr>
        <w:t>委托给乙方进行检测；乙方为甲方提供检测报告，并收取甲方相应检测服务费。</w:t>
      </w:r>
    </w:p>
    <w:tbl>
      <w:tblPr>
        <w:tblStyle w:val="16"/>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663"/>
        <w:gridCol w:w="1205"/>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4663"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检测项目</w:t>
            </w:r>
          </w:p>
        </w:tc>
        <w:tc>
          <w:tcPr>
            <w:tcW w:w="1205"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价格</w:t>
            </w:r>
          </w:p>
        </w:tc>
        <w:tc>
          <w:tcPr>
            <w:tcW w:w="1855"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663" w:type="dxa"/>
          </w:tcPr>
          <w:p>
            <w:pPr>
              <w:pStyle w:val="4"/>
              <w:spacing w:line="360" w:lineRule="auto"/>
              <w:rPr>
                <w:rFonts w:hint="eastAsia" w:ascii="宋体" w:hAnsi="宋体" w:eastAsia="宋体" w:cs="宋体"/>
                <w:szCs w:val="21"/>
              </w:rPr>
            </w:pPr>
          </w:p>
        </w:tc>
        <w:tc>
          <w:tcPr>
            <w:tcW w:w="1205" w:type="dxa"/>
          </w:tcPr>
          <w:p>
            <w:pPr>
              <w:pStyle w:val="4"/>
              <w:spacing w:line="360" w:lineRule="auto"/>
              <w:rPr>
                <w:rFonts w:hint="eastAsia" w:ascii="宋体" w:hAnsi="宋体" w:eastAsia="宋体" w:cs="宋体"/>
                <w:szCs w:val="21"/>
              </w:rPr>
            </w:pPr>
          </w:p>
        </w:tc>
        <w:tc>
          <w:tcPr>
            <w:tcW w:w="1855" w:type="dxa"/>
            <w:vMerge w:val="restart"/>
          </w:tcPr>
          <w:p>
            <w:pPr>
              <w:pStyle w:val="4"/>
              <w:spacing w:line="36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pPr>
              <w:pStyle w:val="4"/>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4663" w:type="dxa"/>
          </w:tcPr>
          <w:p>
            <w:pPr>
              <w:pStyle w:val="4"/>
              <w:spacing w:line="360" w:lineRule="auto"/>
              <w:rPr>
                <w:rFonts w:hint="eastAsia" w:ascii="宋体" w:hAnsi="宋体" w:eastAsia="宋体" w:cs="宋体"/>
                <w:szCs w:val="21"/>
              </w:rPr>
            </w:pPr>
          </w:p>
        </w:tc>
        <w:tc>
          <w:tcPr>
            <w:tcW w:w="1205" w:type="dxa"/>
          </w:tcPr>
          <w:p>
            <w:pPr>
              <w:pStyle w:val="4"/>
              <w:spacing w:line="360" w:lineRule="auto"/>
              <w:rPr>
                <w:rFonts w:hint="eastAsia" w:ascii="宋体" w:hAnsi="宋体" w:eastAsia="宋体" w:cs="宋体"/>
                <w:szCs w:val="21"/>
              </w:rPr>
            </w:pPr>
          </w:p>
        </w:tc>
        <w:tc>
          <w:tcPr>
            <w:tcW w:w="1855" w:type="dxa"/>
            <w:vMerge w:val="continue"/>
          </w:tcPr>
          <w:p>
            <w:pPr>
              <w:pStyle w:val="4"/>
              <w:spacing w:line="36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pPr>
              <w:pStyle w:val="4"/>
              <w:spacing w:line="360" w:lineRule="auto"/>
              <w:jc w:val="center"/>
              <w:rPr>
                <w:rFonts w:hint="eastAsia" w:ascii="宋体" w:hAnsi="宋体" w:eastAsia="宋体" w:cs="宋体"/>
                <w:szCs w:val="21"/>
              </w:rPr>
            </w:pPr>
          </w:p>
        </w:tc>
        <w:tc>
          <w:tcPr>
            <w:tcW w:w="4663" w:type="dxa"/>
          </w:tcPr>
          <w:p>
            <w:pPr>
              <w:pStyle w:val="4"/>
              <w:spacing w:line="360" w:lineRule="auto"/>
              <w:rPr>
                <w:rFonts w:hint="eastAsia" w:ascii="宋体" w:hAnsi="宋体" w:eastAsia="宋体" w:cs="宋体"/>
                <w:szCs w:val="21"/>
              </w:rPr>
            </w:pPr>
          </w:p>
        </w:tc>
        <w:tc>
          <w:tcPr>
            <w:tcW w:w="1205" w:type="dxa"/>
          </w:tcPr>
          <w:p>
            <w:pPr>
              <w:pStyle w:val="4"/>
              <w:spacing w:line="360" w:lineRule="auto"/>
              <w:rPr>
                <w:rFonts w:hint="eastAsia" w:ascii="宋体" w:hAnsi="宋体" w:eastAsia="宋体" w:cs="宋体"/>
                <w:szCs w:val="21"/>
              </w:rPr>
            </w:pPr>
          </w:p>
        </w:tc>
        <w:tc>
          <w:tcPr>
            <w:tcW w:w="1855" w:type="dxa"/>
            <w:vMerge w:val="continue"/>
          </w:tcPr>
          <w:p>
            <w:pPr>
              <w:pStyle w:val="4"/>
              <w:spacing w:line="36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Pr>
          <w:p>
            <w:pPr>
              <w:pStyle w:val="4"/>
              <w:spacing w:line="360" w:lineRule="auto"/>
              <w:jc w:val="center"/>
              <w:rPr>
                <w:rFonts w:hint="eastAsia" w:ascii="宋体" w:hAnsi="宋体" w:eastAsia="宋体" w:cs="宋体"/>
                <w:szCs w:val="21"/>
              </w:rPr>
            </w:pPr>
          </w:p>
        </w:tc>
        <w:tc>
          <w:tcPr>
            <w:tcW w:w="4663" w:type="dxa"/>
          </w:tcPr>
          <w:p>
            <w:pPr>
              <w:pStyle w:val="4"/>
              <w:spacing w:line="360" w:lineRule="auto"/>
              <w:rPr>
                <w:rFonts w:hint="eastAsia" w:ascii="宋体" w:hAnsi="宋体" w:eastAsia="宋体" w:cs="宋体"/>
                <w:szCs w:val="21"/>
              </w:rPr>
            </w:pPr>
          </w:p>
        </w:tc>
        <w:tc>
          <w:tcPr>
            <w:tcW w:w="1205" w:type="dxa"/>
          </w:tcPr>
          <w:p>
            <w:pPr>
              <w:pStyle w:val="4"/>
              <w:spacing w:line="360" w:lineRule="auto"/>
              <w:rPr>
                <w:rFonts w:hint="eastAsia" w:ascii="宋体" w:hAnsi="宋体" w:eastAsia="宋体" w:cs="宋体"/>
                <w:szCs w:val="21"/>
              </w:rPr>
            </w:pPr>
          </w:p>
        </w:tc>
        <w:tc>
          <w:tcPr>
            <w:tcW w:w="1855" w:type="dxa"/>
            <w:vMerge w:val="continue"/>
          </w:tcPr>
          <w:p>
            <w:pPr>
              <w:pStyle w:val="4"/>
              <w:spacing w:line="360" w:lineRule="auto"/>
              <w:rPr>
                <w:rFonts w:hint="eastAsia" w:ascii="宋体" w:hAnsi="宋体" w:eastAsia="宋体" w:cs="宋体"/>
                <w:szCs w:val="21"/>
              </w:rPr>
            </w:pPr>
          </w:p>
        </w:tc>
      </w:tr>
    </w:tbl>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乙方保证自己具有开展本合同检测工作所需的、国家许可的合法资质以及技术能力和人员资质等，保证合同的合法性。</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二、委托期限：</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委托期限为自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日，为期</w:t>
      </w:r>
      <w:r>
        <w:rPr>
          <w:rFonts w:hint="eastAsia" w:ascii="宋体" w:hAnsi="宋体" w:cs="宋体"/>
          <w:szCs w:val="21"/>
          <w:u w:val="single"/>
        </w:rPr>
        <w:t xml:space="preserve">    </w:t>
      </w:r>
      <w:r>
        <w:rPr>
          <w:rFonts w:hint="eastAsia" w:ascii="宋体" w:hAnsi="宋体" w:cs="宋体"/>
          <w:szCs w:val="21"/>
        </w:rPr>
        <w:t>个月。</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三、委托范围：</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委托范围为：甲方临床需要外送的项目。</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四、双方的权利与义务：</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（一）甲方的权利义务 </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甲方负责收集样本，对标本来源的合法性、准确性和完整性负责，确保样本信息与检测申请单的信息相符。甲方未履行上述职责导致乙方出具的检测报告错误或检测报告与患者不符的责任由甲方承担。</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甲方负责组织医务人员按照乙方提供的《项目总汇与采样手册》（以乙方提供的最新版本为准）中的要求和规定同乙方进行检测委托服务。</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同意将委托范围内的检测项目交给乙方检测，并按乙方所提供《项目总汇与采样手册》内容所列的方法和方式正确填写申请单信息，标本采集、处理和保存送检样本，并应尽到告知其委托方（如患者）相关检测项目的风险义务。</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甲乙双方工作人员有责任在以下环节进行签字确认：标本交接、耗材交接、特殊物品回执交接、其他物品交接、报告单交接、结算票据、发票签收回执的交接。</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甲方对在本协议有效期内从乙方知悉的关于乙方的经营信息、检测技术信息等一切非公开的保密信息负有保密义务，保密期限为三年。未经乙方书面同意，甲方不得将上述信息泄露给任何第三方。</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甲方委托乙方对大量体检项目标本和科研项目标本进行检测的，将提前通知乙方，以便乙方提前做好检测准备。</w:t>
      </w:r>
    </w:p>
    <w:p>
      <w:pPr>
        <w:pStyle w:val="25"/>
        <w:numPr>
          <w:ilvl w:val="0"/>
          <w:numId w:val="2"/>
        </w:numPr>
        <w:snapToGrid w:val="0"/>
        <w:spacing w:line="360" w:lineRule="auto"/>
        <w:ind w:left="0" w:firstLine="420"/>
        <w:jc w:val="left"/>
        <w:rPr>
          <w:rFonts w:hint="eastAsia" w:ascii="宋体" w:hAnsi="宋体" w:cs="宋体"/>
          <w:szCs w:val="21"/>
        </w:rPr>
      </w:pPr>
      <w:r>
        <w:rPr>
          <w:rFonts w:hint="eastAsia" w:ascii="宋体" w:hAnsi="宋体" w:cs="宋体"/>
          <w:szCs w:val="21"/>
        </w:rPr>
        <w:t>甲方配合支持乙方系统与甲方信息系统对接，涉及的具体内容如有必要双方再另行签署相关协议。</w:t>
      </w:r>
    </w:p>
    <w:p>
      <w:pPr>
        <w:pStyle w:val="25"/>
        <w:numPr>
          <w:ilvl w:val="0"/>
          <w:numId w:val="2"/>
        </w:numPr>
        <w:snapToGrid w:val="0"/>
        <w:spacing w:line="360" w:lineRule="auto"/>
        <w:ind w:left="0" w:firstLine="420"/>
        <w:jc w:val="left"/>
      </w:pPr>
      <w:r>
        <w:rPr>
          <w:rFonts w:hint="eastAsia"/>
        </w:rPr>
        <w:t>甲方有权利在合同期内对乙方从合同、实验室资质、实验室安全、员工档案、标本全程管理、仪器设备管理、试剂耗材管理、质量保证、结果报告和售后服务10个方面进行评估，并提出整改意见。</w:t>
      </w:r>
    </w:p>
    <w:p>
      <w:pPr>
        <w:pStyle w:val="25"/>
        <w:numPr>
          <w:ilvl w:val="0"/>
          <w:numId w:val="2"/>
        </w:numPr>
        <w:snapToGrid w:val="0"/>
        <w:spacing w:line="360" w:lineRule="auto"/>
        <w:ind w:left="0" w:firstLine="420"/>
        <w:jc w:val="left"/>
      </w:pPr>
      <w:r>
        <w:rPr>
          <w:rFonts w:hint="eastAsia"/>
        </w:rPr>
        <w:t>合同期内，甲方根据临床工作的发展，对有能力自行开展检测的项目，甲方有权自行检测，不再委托乙方进行检测。</w:t>
      </w:r>
    </w:p>
    <w:p>
      <w:pPr>
        <w:pStyle w:val="25"/>
        <w:numPr>
          <w:ilvl w:val="0"/>
          <w:numId w:val="2"/>
        </w:numPr>
        <w:spacing w:line="360" w:lineRule="auto"/>
        <w:ind w:left="0" w:firstLine="420"/>
      </w:pPr>
      <w:r>
        <w:rPr>
          <w:rFonts w:hint="eastAsia"/>
        </w:rPr>
        <w:t>甲方负责对患者的各个检测结果进行综合判读，将结果应用于临床。甲方负责向被检测者解释报告。如有必要，乙方应协助甲方进行报告解读。</w:t>
      </w:r>
    </w:p>
    <w:p>
      <w:pPr>
        <w:snapToGrid w:val="0"/>
        <w:spacing w:line="360" w:lineRule="auto"/>
        <w:ind w:firstLine="420" w:firstLineChars="200"/>
        <w:jc w:val="left"/>
      </w:pP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（二）乙方的权利义务</w:t>
      </w:r>
    </w:p>
    <w:p>
      <w:pPr>
        <w:pStyle w:val="25"/>
        <w:numPr>
          <w:ilvl w:val="0"/>
          <w:numId w:val="3"/>
        </w:numPr>
        <w:snapToGrid w:val="0"/>
        <w:spacing w:line="360" w:lineRule="auto"/>
        <w:ind w:left="0" w:firstLine="420"/>
        <w:jc w:val="left"/>
        <w:rPr>
          <w:rFonts w:hint="eastAsia" w:ascii="宋体" w:hAnsi="宋体" w:cs="宋体"/>
          <w:szCs w:val="21"/>
        </w:rPr>
      </w:pPr>
      <w:r>
        <w:rPr>
          <w:rFonts w:hint="eastAsia" w:ascii="宋体" w:hAnsi="宋体" w:cs="宋体"/>
          <w:szCs w:val="21"/>
        </w:rPr>
        <w:t>乙方每日（包含节假日）按甲方要求时间到甲方处收取标本。</w:t>
      </w:r>
    </w:p>
    <w:p>
      <w:pPr>
        <w:pStyle w:val="25"/>
        <w:numPr>
          <w:ilvl w:val="0"/>
          <w:numId w:val="3"/>
        </w:numPr>
        <w:snapToGrid w:val="0"/>
        <w:spacing w:line="360" w:lineRule="auto"/>
        <w:ind w:left="0" w:firstLine="420"/>
        <w:jc w:val="left"/>
        <w:rPr>
          <w:rFonts w:hint="eastAsia" w:ascii="宋体" w:hAnsi="宋体" w:cs="宋体"/>
          <w:szCs w:val="21"/>
        </w:rPr>
      </w:pPr>
      <w:r>
        <w:rPr>
          <w:rFonts w:hint="eastAsia" w:ascii="宋体" w:hAnsi="宋体" w:cs="宋体"/>
          <w:szCs w:val="21"/>
        </w:rPr>
        <w:t>甲方按乙方《项目总汇与采样手册》（包括其修改版，作为附件并视为本协议不可分割的一个部分）上所述各项目的要求，包括样品的状态、数量及检测方法的说明，进行采集样本，并应将病人的常规个人资料、临床诊断、医生和院方必要信息、特殊要求在申请单上填明。甲方如果不按乙方要求取样的，乙方可以拒收并要求甲方三天内重新采样。</w:t>
      </w:r>
    </w:p>
    <w:p>
      <w:pPr>
        <w:pStyle w:val="25"/>
        <w:widowControl/>
        <w:numPr>
          <w:ilvl w:val="0"/>
          <w:numId w:val="3"/>
        </w:numPr>
        <w:shd w:val="clear" w:color="auto" w:fill="FFFFFF"/>
        <w:spacing w:line="360" w:lineRule="auto"/>
        <w:ind w:left="0" w:firstLine="420"/>
        <w:rPr>
          <w:rFonts w:hint="eastAsia" w:ascii="宋体" w:hAnsi="宋体" w:cs="宋体"/>
          <w:szCs w:val="21"/>
        </w:rPr>
      </w:pPr>
      <w:r>
        <w:rPr>
          <w:rFonts w:hint="eastAsia" w:ascii="宋体" w:hAnsi="宋体" w:cs="宋体"/>
          <w:szCs w:val="21"/>
        </w:rPr>
        <w:t>乙方保证按国家检测规范进行操作，并对标本的检测报告承担相应的责任。因乙方原因导致检测报告错误引起的医疗纠纷责任由乙方承担，对患方的所有赔（补）偿费用完全由乙方支付。</w:t>
      </w:r>
    </w:p>
    <w:p>
      <w:pPr>
        <w:pStyle w:val="25"/>
        <w:numPr>
          <w:ilvl w:val="0"/>
          <w:numId w:val="3"/>
        </w:numPr>
        <w:snapToGrid w:val="0"/>
        <w:spacing w:line="360" w:lineRule="auto"/>
        <w:ind w:left="0" w:firstLine="420"/>
        <w:jc w:val="left"/>
        <w:rPr>
          <w:rFonts w:hint="eastAsia" w:ascii="宋体" w:hAnsi="宋体" w:cs="宋体"/>
          <w:szCs w:val="21"/>
        </w:rPr>
      </w:pPr>
      <w:r>
        <w:rPr>
          <w:rFonts w:hint="eastAsia" w:ascii="宋体" w:hAnsi="宋体" w:cs="宋体"/>
          <w:szCs w:val="21"/>
        </w:rPr>
        <w:t>乙方有为甲方保密的义务，在未经甲方同意或授权前提下，乙方不得向其他单位或个人泄露甲方委托检测的项目、检测的内容、检测的结果。</w:t>
      </w:r>
    </w:p>
    <w:p>
      <w:pPr>
        <w:pStyle w:val="25"/>
        <w:numPr>
          <w:ilvl w:val="0"/>
          <w:numId w:val="3"/>
        </w:numPr>
        <w:snapToGrid w:val="0"/>
        <w:spacing w:line="360" w:lineRule="auto"/>
        <w:ind w:left="0" w:firstLine="420"/>
        <w:jc w:val="left"/>
        <w:rPr>
          <w:rFonts w:hint="eastAsia" w:ascii="宋体" w:hAnsi="宋体" w:cs="宋体"/>
          <w:szCs w:val="21"/>
        </w:rPr>
      </w:pPr>
      <w:r>
        <w:rPr>
          <w:rFonts w:hint="eastAsia" w:ascii="宋体" w:hAnsi="宋体" w:cs="宋体"/>
          <w:szCs w:val="21"/>
        </w:rPr>
        <w:t>乙方如需召回检测报告单，应及时通过一切形式包括电话、邮寄、传真、电子邮件、当面告知等方式通知甲方召回检测报告并通过上述形式提供新的检测报告。</w:t>
      </w:r>
    </w:p>
    <w:p>
      <w:pPr>
        <w:pStyle w:val="25"/>
        <w:numPr>
          <w:ilvl w:val="0"/>
          <w:numId w:val="3"/>
        </w:numPr>
        <w:spacing w:line="360" w:lineRule="auto"/>
        <w:ind w:left="0" w:firstLine="420"/>
        <w:rPr>
          <w:rFonts w:hint="eastAsia" w:ascii="宋体" w:hAnsi="宋体" w:cs="宋体"/>
          <w:szCs w:val="21"/>
        </w:rPr>
      </w:pPr>
      <w:r>
        <w:rPr>
          <w:rFonts w:hint="eastAsia" w:ascii="宋体" w:hAnsi="宋体" w:cs="宋体"/>
          <w:szCs w:val="21"/>
        </w:rPr>
        <w:t>项目应在医院认可的品牌设备上检测，并将检测结果传入医院</w:t>
      </w:r>
      <w:r>
        <w:rPr>
          <w:rFonts w:ascii="宋体" w:hAnsi="宋体" w:cs="宋体"/>
          <w:szCs w:val="21"/>
        </w:rPr>
        <w:t>LIS</w:t>
      </w:r>
      <w:r>
        <w:rPr>
          <w:rFonts w:hint="eastAsia" w:ascii="宋体" w:hAnsi="宋体" w:cs="宋体"/>
          <w:szCs w:val="21"/>
        </w:rPr>
        <w:t>系统。</w:t>
      </w:r>
    </w:p>
    <w:p>
      <w:pPr>
        <w:pStyle w:val="25"/>
        <w:widowControl/>
        <w:numPr>
          <w:ilvl w:val="0"/>
          <w:numId w:val="3"/>
        </w:numPr>
        <w:shd w:val="clear" w:color="auto" w:fill="FFFFFF"/>
        <w:spacing w:line="360" w:lineRule="auto"/>
        <w:ind w:left="0" w:firstLine="420"/>
        <w:rPr>
          <w:rFonts w:hint="eastAsia" w:ascii="宋体" w:hAnsi="宋体" w:cs="Arial"/>
          <w:bCs/>
          <w:kern w:val="0"/>
          <w:szCs w:val="21"/>
        </w:rPr>
      </w:pPr>
      <w:r>
        <w:rPr>
          <w:rFonts w:hint="eastAsia" w:ascii="宋体" w:hAnsi="宋体" w:cs="宋体"/>
          <w:szCs w:val="21"/>
        </w:rPr>
        <w:t>乙方对甲方所有外送标本生物安全负责。</w:t>
      </w:r>
    </w:p>
    <w:p>
      <w:pPr>
        <w:pStyle w:val="25"/>
        <w:widowControl/>
        <w:numPr>
          <w:ilvl w:val="0"/>
          <w:numId w:val="3"/>
        </w:numPr>
        <w:shd w:val="clear" w:color="auto" w:fill="FFFFFF"/>
        <w:spacing w:line="360" w:lineRule="auto"/>
        <w:ind w:left="0" w:firstLine="420"/>
        <w:rPr>
          <w:rFonts w:hint="eastAsia" w:ascii="宋体" w:hAnsi="宋体" w:cs="宋体"/>
          <w:szCs w:val="21"/>
        </w:rPr>
      </w:pPr>
      <w:r>
        <w:rPr>
          <w:rFonts w:hint="eastAsia" w:ascii="宋体" w:hAnsi="宋体" w:cs="宋体"/>
          <w:szCs w:val="21"/>
        </w:rPr>
        <w:t>乙方要做好与甲方相关科室的信息双向对接，同时负责提供相应软硬件服务，按相关科室意见加以改进，并需在合同规定期限内完成安装、调试。</w:t>
      </w:r>
    </w:p>
    <w:p>
      <w:pPr>
        <w:pStyle w:val="25"/>
        <w:numPr>
          <w:ilvl w:val="0"/>
          <w:numId w:val="3"/>
        </w:numPr>
        <w:spacing w:line="360" w:lineRule="auto"/>
        <w:ind w:left="0" w:firstLine="420"/>
        <w:rPr>
          <w:rFonts w:hint="eastAsia" w:ascii="宋体" w:hAnsi="宋体" w:cs="宋体"/>
          <w:szCs w:val="21"/>
        </w:rPr>
      </w:pPr>
      <w:r>
        <w:rPr>
          <w:rFonts w:hint="eastAsia" w:ascii="宋体" w:hAnsi="宋体" w:cs="宋体"/>
          <w:szCs w:val="21"/>
        </w:rPr>
        <w:t>甲方将不定期组织专家至乙方现场检查、督导并查看试剂、设备等采购相关台账，如发现乙方存在提供虚假信息或未经院方同意私自更改使用试剂的品牌和检测项目的方法学等现象，甲方有权立即终止合同，乙方需按已做项目已收金额标准赔偿院方，并承担所有相关违约责任。</w:t>
      </w:r>
    </w:p>
    <w:p>
      <w:pPr>
        <w:pStyle w:val="25"/>
        <w:numPr>
          <w:ilvl w:val="0"/>
          <w:numId w:val="3"/>
        </w:numPr>
        <w:spacing w:line="360" w:lineRule="auto"/>
        <w:ind w:left="0" w:firstLine="420"/>
        <w:rPr>
          <w:rFonts w:hint="eastAsia" w:ascii="宋体" w:hAnsi="宋体" w:cs="宋体"/>
          <w:kern w:val="0"/>
          <w:szCs w:val="21"/>
        </w:rPr>
      </w:pPr>
      <w:r>
        <w:rPr>
          <w:rFonts w:ascii="宋体" w:hAnsi="宋体" w:cs="宋体"/>
          <w:kern w:val="0"/>
          <w:szCs w:val="21"/>
        </w:rPr>
        <w:t>乙方不得以任何形式对检测单进行统方及检测相关数据的统计。如需根据外送检测相关数据发表论文或进行其他学术活动，需事先征得甲方同意。</w:t>
      </w:r>
    </w:p>
    <w:p>
      <w:pPr>
        <w:pStyle w:val="25"/>
        <w:numPr>
          <w:ilvl w:val="0"/>
          <w:numId w:val="3"/>
        </w:numPr>
        <w:spacing w:line="360" w:lineRule="auto"/>
        <w:ind w:left="0" w:firstLine="420"/>
        <w:rPr>
          <w:rFonts w:hint="eastAsia" w:ascii="宋体" w:hAnsi="宋体" w:cs="宋体"/>
          <w:kern w:val="0"/>
          <w:szCs w:val="21"/>
        </w:rPr>
      </w:pPr>
      <w:r>
        <w:rPr>
          <w:rFonts w:hint="eastAsia" w:ascii="宋体" w:hAnsi="宋体" w:cs="宋体"/>
          <w:kern w:val="0"/>
          <w:szCs w:val="21"/>
        </w:rPr>
        <w:t>合同期内乙方如未按甲方要求准时出具检测结果，甲方有权要求乙方整改，如整改后仍出现未按时出具检测结果5次以上，甲方有权终止本合同。</w:t>
      </w:r>
    </w:p>
    <w:p>
      <w:pPr>
        <w:pStyle w:val="25"/>
        <w:numPr>
          <w:ilvl w:val="0"/>
          <w:numId w:val="3"/>
        </w:numPr>
        <w:spacing w:line="360" w:lineRule="auto"/>
        <w:ind w:left="0" w:firstLine="420"/>
        <w:rPr>
          <w:rFonts w:hint="eastAsia" w:ascii="宋体" w:hAnsi="宋体" w:cs="宋体"/>
          <w:kern w:val="0"/>
          <w:szCs w:val="21"/>
        </w:rPr>
      </w:pPr>
      <w:r>
        <w:rPr>
          <w:rFonts w:hint="eastAsia" w:ascii="宋体" w:hAnsi="宋体"/>
          <w:szCs w:val="21"/>
        </w:rPr>
        <w:t>乙方应按月向甲方提供检测相关的质控数据，包括标本物流及时率、报告发放及时率，以及甲方认为有必要提供的数据。</w:t>
      </w:r>
    </w:p>
    <w:p>
      <w:pPr>
        <w:pStyle w:val="25"/>
        <w:numPr>
          <w:ilvl w:val="0"/>
          <w:numId w:val="3"/>
        </w:numPr>
        <w:spacing w:line="360" w:lineRule="auto"/>
        <w:ind w:left="0" w:firstLine="420"/>
        <w:rPr>
          <w:rFonts w:hint="eastAsia" w:ascii="宋体" w:hAnsi="宋体" w:cs="宋体"/>
          <w:kern w:val="0"/>
          <w:szCs w:val="21"/>
        </w:rPr>
      </w:pPr>
      <w:r>
        <w:rPr>
          <w:rFonts w:hint="eastAsia"/>
        </w:rPr>
        <w:t>乙方有义务配合甲方进行实验室评估活动，并在规定期限内对问题进行整改，整改资料反馈给甲方。拒不整改，</w:t>
      </w:r>
      <w:r>
        <w:rPr>
          <w:rFonts w:hint="eastAsia" w:ascii="宋体" w:hAnsi="宋体" w:cs="宋体"/>
          <w:kern w:val="0"/>
          <w:szCs w:val="21"/>
        </w:rPr>
        <w:t>甲方有权终止本合同。</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五、付款方式：</w:t>
      </w:r>
    </w:p>
    <w:p>
      <w:pPr>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1、业务量的结算以双方共同确认无异议后的检测数量为准，在甲方收到乙方开具的正式发票后3个月内支付检测服务费用。</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六、协议的终止：</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存在以下情形的，甲乙双方有权终止本协议：</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1、甲方不按乙方的规定提供检测样本，经双方多次协商后仍不予改正；</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2、乙方因国家政策或其他原因不能提供相应的服务。</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3、甲方将不定期组织专家至乙方现场检查、督导并查看试剂、设备等采购相关台账，如发现乙方存在提供虚假信息或未经院方同意私自更改使用试剂的品牌和检测项目的方法学等现象，甲方有权立即终止合同，乙方需按已做项目的收费金额赔偿院方，并承担所有相关违约责任。</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七、违约责任：</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任一方未按照本协议规定履行或履行不符合本协议规定的，即为违约，违约方应承担相应的责任并赔偿守约方因此而遭受的所有损失。</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八、纠纷的解决：</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未尽事宜及在本协议履行过程中出现的争议，由双方友好协商解决。协商不能解决的，任何一方有权</w:t>
      </w:r>
      <w:r>
        <w:rPr>
          <w:rFonts w:ascii="宋体" w:hAnsi="宋体" w:cs="宋体"/>
          <w:szCs w:val="21"/>
        </w:rPr>
        <w:t>向</w:t>
      </w:r>
      <w:r>
        <w:rPr>
          <w:rFonts w:hint="eastAsia" w:ascii="宋体" w:hAnsi="宋体" w:cs="宋体"/>
          <w:szCs w:val="21"/>
        </w:rPr>
        <w:t>甲方所在地</w:t>
      </w:r>
      <w:r>
        <w:rPr>
          <w:rFonts w:ascii="宋体" w:hAnsi="宋体" w:cs="宋体"/>
          <w:szCs w:val="21"/>
        </w:rPr>
        <w:t>人民法院</w:t>
      </w:r>
      <w:r>
        <w:rPr>
          <w:rFonts w:hint="eastAsia" w:ascii="宋体" w:hAnsi="宋体" w:cs="宋体"/>
          <w:szCs w:val="21"/>
        </w:rPr>
        <w:t>提起</w:t>
      </w:r>
      <w:r>
        <w:rPr>
          <w:rFonts w:ascii="宋体" w:hAnsi="宋体" w:cs="宋体"/>
          <w:szCs w:val="21"/>
        </w:rPr>
        <w:t>诉讼。</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九、协议的效力：</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本协议一式贰份，甲、乙双方各执壹份，自双方签字并加盖公章或合同专用章后生效。</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十、其他：</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1、未经另一方书面同意，任何一方不得变更或修改本协议；双方协商达成一致的，应签订书面变更协议或补充协议。</w:t>
      </w:r>
    </w:p>
    <w:p>
      <w:pPr>
        <w:snapToGrid w:val="0"/>
        <w:spacing w:line="360" w:lineRule="auto"/>
        <w:ind w:firstLine="420" w:firstLineChars="200"/>
        <w:jc w:val="left"/>
        <w:rPr>
          <w:rFonts w:hint="eastAsia" w:ascii="宋体" w:hAnsi="宋体" w:cs="宋体"/>
          <w:szCs w:val="21"/>
          <w:lang w:val="zh-CN"/>
        </w:rPr>
      </w:pPr>
      <w:r>
        <w:rPr>
          <w:rFonts w:hint="eastAsia" w:ascii="宋体" w:hAnsi="宋体" w:cs="宋体"/>
          <w:szCs w:val="21"/>
        </w:rPr>
        <w:t>2、</w:t>
      </w:r>
      <w:r>
        <w:rPr>
          <w:rFonts w:hint="eastAsia" w:ascii="宋体" w:hAnsi="宋体" w:cs="宋体"/>
          <w:szCs w:val="21"/>
          <w:lang w:val="zh-CN"/>
        </w:rPr>
        <w:t>招标文件、投标文件与本合同具有同等法律效力。</w:t>
      </w:r>
    </w:p>
    <w:p>
      <w:pPr>
        <w:pStyle w:val="2"/>
      </w:pPr>
    </w:p>
    <w:p>
      <w:pPr>
        <w:snapToGrid w:val="0"/>
        <w:spacing w:line="480" w:lineRule="auto"/>
        <w:ind w:firstLine="420" w:firstLineChars="200"/>
        <w:jc w:val="left"/>
        <w:rPr>
          <w:rFonts w:hint="eastAsia" w:ascii="宋体" w:hAnsi="宋体" w:cs="宋体"/>
          <w:szCs w:val="21"/>
        </w:rPr>
      </w:pPr>
      <w:r>
        <w:rPr>
          <w:rFonts w:hint="eastAsia" w:ascii="宋体" w:hAnsi="宋体" w:cs="宋体"/>
          <w:szCs w:val="21"/>
        </w:rPr>
        <w:t>甲方：浙江大学医学院附属妇产科医院   乙方：</w:t>
      </w:r>
    </w:p>
    <w:p>
      <w:pPr>
        <w:snapToGrid w:val="0"/>
        <w:spacing w:line="480" w:lineRule="auto"/>
        <w:ind w:left="5145" w:leftChars="200" w:hanging="4725" w:hangingChars="2250"/>
        <w:jc w:val="left"/>
        <w:rPr>
          <w:rFonts w:hint="eastAsia" w:ascii="宋体" w:hAnsi="宋体" w:cs="宋体"/>
          <w:szCs w:val="21"/>
        </w:rPr>
      </w:pPr>
      <w:r>
        <w:rPr>
          <w:rFonts w:hint="eastAsia" w:ascii="宋体" w:hAnsi="宋体" w:cs="宋体"/>
          <w:szCs w:val="21"/>
        </w:rPr>
        <w:t>开户行：建设银行杭州庆春支行         开户行：</w:t>
      </w:r>
    </w:p>
    <w:p>
      <w:pPr>
        <w:snapToGrid w:val="0"/>
        <w:spacing w:line="480" w:lineRule="auto"/>
        <w:ind w:firstLine="420" w:firstLineChars="200"/>
        <w:jc w:val="left"/>
        <w:rPr>
          <w:rFonts w:hint="eastAsia" w:ascii="宋体" w:hAnsi="宋体" w:cs="宋体"/>
          <w:szCs w:val="21"/>
        </w:rPr>
      </w:pPr>
      <w:r>
        <w:rPr>
          <w:rFonts w:hint="eastAsia" w:ascii="宋体" w:hAnsi="宋体" w:cs="宋体"/>
          <w:szCs w:val="21"/>
        </w:rPr>
        <w:t>账号：33001617835056005958           账号：</w:t>
      </w:r>
    </w:p>
    <w:p>
      <w:pPr>
        <w:snapToGrid w:val="0"/>
        <w:spacing w:line="480" w:lineRule="auto"/>
        <w:ind w:firstLine="420" w:firstLineChars="200"/>
        <w:jc w:val="left"/>
        <w:rPr>
          <w:rFonts w:hint="eastAsia" w:ascii="宋体" w:hAnsi="宋体" w:cs="宋体"/>
          <w:szCs w:val="21"/>
        </w:rPr>
      </w:pPr>
      <w:r>
        <w:rPr>
          <w:rFonts w:hint="eastAsia" w:ascii="宋体" w:hAnsi="宋体" w:cs="宋体"/>
          <w:szCs w:val="21"/>
        </w:rPr>
        <w:t>（双方业务往来以对公账号为准）</w:t>
      </w:r>
    </w:p>
    <w:p>
      <w:pPr>
        <w:snapToGrid w:val="0"/>
        <w:spacing w:line="480" w:lineRule="auto"/>
        <w:ind w:firstLine="420" w:firstLineChars="200"/>
        <w:jc w:val="left"/>
        <w:rPr>
          <w:rFonts w:hint="eastAsia" w:ascii="宋体" w:hAnsi="宋体" w:cs="宋体"/>
          <w:szCs w:val="21"/>
        </w:rPr>
      </w:pPr>
      <w:r>
        <w:rPr>
          <w:rFonts w:hint="eastAsia" w:ascii="宋体" w:hAnsi="宋体" w:cs="宋体"/>
          <w:szCs w:val="21"/>
        </w:rPr>
        <w:t>法定（授权）代表人签字：             法定（授权）代表人签字：</w:t>
      </w:r>
    </w:p>
    <w:p>
      <w:pPr>
        <w:snapToGrid w:val="0"/>
        <w:spacing w:line="480" w:lineRule="auto"/>
        <w:ind w:firstLine="420" w:firstLineChars="200"/>
        <w:jc w:val="left"/>
        <w:rPr>
          <w:rFonts w:hint="eastAsia" w:ascii="宋体" w:hAnsi="宋体" w:cs="宋体"/>
          <w:szCs w:val="21"/>
        </w:rPr>
      </w:pPr>
    </w:p>
    <w:p>
      <w:pPr>
        <w:snapToGrid w:val="0"/>
        <w:spacing w:line="480" w:lineRule="auto"/>
        <w:ind w:firstLine="420" w:firstLineChars="200"/>
        <w:jc w:val="left"/>
      </w:pPr>
      <w:r>
        <w:rPr>
          <w:rFonts w:hint="eastAsia"/>
        </w:rPr>
        <w:t>日期：                               日期：</w:t>
      </w: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82600C7"/>
    <w:multiLevelType w:val="multilevel"/>
    <w:tmpl w:val="282600C7"/>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D63EF2"/>
    <w:multiLevelType w:val="multilevel"/>
    <w:tmpl w:val="42D63E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6DF36B3"/>
    <w:rsid w:val="098A2D84"/>
    <w:rsid w:val="0ADA132B"/>
    <w:rsid w:val="0B864DDD"/>
    <w:rsid w:val="0DF3355F"/>
    <w:rsid w:val="0FC56B5A"/>
    <w:rsid w:val="17324E66"/>
    <w:rsid w:val="1B0511AB"/>
    <w:rsid w:val="1CA46EC6"/>
    <w:rsid w:val="1DC32EB5"/>
    <w:rsid w:val="1E6A40E6"/>
    <w:rsid w:val="25B4635F"/>
    <w:rsid w:val="26CA426D"/>
    <w:rsid w:val="2AA05E26"/>
    <w:rsid w:val="2F4F65F6"/>
    <w:rsid w:val="35906A43"/>
    <w:rsid w:val="40B25471"/>
    <w:rsid w:val="43E10162"/>
    <w:rsid w:val="4A5611F5"/>
    <w:rsid w:val="4ACD0E7F"/>
    <w:rsid w:val="4B412CCC"/>
    <w:rsid w:val="5085694D"/>
    <w:rsid w:val="51CB11FC"/>
    <w:rsid w:val="596A6026"/>
    <w:rsid w:val="599364B0"/>
    <w:rsid w:val="5A6645C8"/>
    <w:rsid w:val="5C97357F"/>
    <w:rsid w:val="5DBF0DF0"/>
    <w:rsid w:val="60275541"/>
    <w:rsid w:val="655517DA"/>
    <w:rsid w:val="66096397"/>
    <w:rsid w:val="6D4A71F9"/>
    <w:rsid w:val="709938DD"/>
    <w:rsid w:val="73FD0AD3"/>
    <w:rsid w:val="75E13D4B"/>
    <w:rsid w:val="793D5CDE"/>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3"/>
    <w:semiHidden/>
    <w:unhideWhenUsed/>
    <w:qFormat/>
    <w:uiPriority w:val="0"/>
    <w:pPr>
      <w:jc w:val="left"/>
    </w:pPr>
  </w:style>
  <w:style w:type="paragraph" w:styleId="4">
    <w:name w:val="Body Text"/>
    <w:basedOn w:val="1"/>
    <w:link w:val="34"/>
    <w:qFormat/>
    <w:uiPriority w:val="0"/>
    <w:pPr>
      <w:widowControl/>
      <w:jc w:val="left"/>
    </w:pPr>
    <w:rPr>
      <w:rFonts w:eastAsia="PMingLiU"/>
      <w:kern w:val="0"/>
      <w:sz w:val="24"/>
      <w:szCs w:val="20"/>
      <w:lang w:eastAsia="en-US"/>
    </w:rPr>
  </w:style>
  <w:style w:type="paragraph" w:styleId="5">
    <w:name w:val="Body Text Indent"/>
    <w:basedOn w:val="1"/>
    <w:link w:val="33"/>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1"/>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3">
    <w:name w:val="Title"/>
    <w:basedOn w:val="1"/>
    <w:next w:val="1"/>
    <w:link w:val="49"/>
    <w:qFormat/>
    <w:uiPriority w:val="0"/>
    <w:pPr>
      <w:spacing w:before="240" w:after="60"/>
      <w:jc w:val="center"/>
      <w:outlineLvl w:val="0"/>
    </w:pPr>
    <w:rPr>
      <w:rFonts w:asciiTheme="majorHAnsi" w:hAnsiTheme="majorHAnsi" w:cstheme="majorBidi"/>
      <w:b/>
      <w:bCs/>
      <w:sz w:val="32"/>
      <w:szCs w:val="32"/>
    </w:rPr>
  </w:style>
  <w:style w:type="paragraph" w:styleId="14">
    <w:name w:val="annotation subject"/>
    <w:basedOn w:val="3"/>
    <w:next w:val="3"/>
    <w:link w:val="44"/>
    <w:semiHidden/>
    <w:unhideWhenUsed/>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Emphasis"/>
    <w:qFormat/>
    <w:uiPriority w:val="20"/>
    <w:rPr>
      <w:color w:val="DD4B39"/>
    </w:rPr>
  </w:style>
  <w:style w:type="character" w:styleId="20">
    <w:name w:val="Hyperlink"/>
    <w:qFormat/>
    <w:uiPriority w:val="99"/>
    <w:rPr>
      <w:color w:val="0000FF"/>
      <w:u w:val="single"/>
    </w:rPr>
  </w:style>
  <w:style w:type="character" w:styleId="21">
    <w:name w:val="annotation reference"/>
    <w:basedOn w:val="17"/>
    <w:semiHidden/>
    <w:unhideWhenUsed/>
    <w:qFormat/>
    <w:uiPriority w:val="0"/>
    <w:rPr>
      <w:sz w:val="21"/>
      <w:szCs w:val="21"/>
    </w:rPr>
  </w:style>
  <w:style w:type="paragraph" w:customStyle="1" w:styleId="22">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3">
    <w:name w:val="页眉 字符"/>
    <w:link w:val="9"/>
    <w:qFormat/>
    <w:uiPriority w:val="0"/>
    <w:rPr>
      <w:kern w:val="2"/>
      <w:sz w:val="18"/>
      <w:szCs w:val="18"/>
    </w:rPr>
  </w:style>
  <w:style w:type="character" w:customStyle="1" w:styleId="24">
    <w:name w:val="页脚 字符"/>
    <w:link w:val="8"/>
    <w:qFormat/>
    <w:uiPriority w:val="99"/>
    <w:rPr>
      <w:kern w:val="2"/>
      <w:sz w:val="18"/>
      <w:szCs w:val="18"/>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Char"/>
    <w:basedOn w:val="1"/>
    <w:qFormat/>
    <w:uiPriority w:val="0"/>
    <w:pPr>
      <w:spacing w:line="360" w:lineRule="auto"/>
      <w:ind w:firstLine="200" w:firstLineChars="200"/>
    </w:pPr>
    <w:rPr>
      <w:rFonts w:ascii="宋体" w:hAnsi="宋体" w:cs="宋体"/>
      <w:sz w:val="24"/>
    </w:rPr>
  </w:style>
  <w:style w:type="paragraph" w:customStyle="1" w:styleId="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apple-style-span"/>
    <w:basedOn w:val="17"/>
    <w:qFormat/>
    <w:uiPriority w:val="0"/>
  </w:style>
  <w:style w:type="paragraph" w:customStyle="1" w:styleId="29">
    <w:name w:val="列出段落1"/>
    <w:basedOn w:val="1"/>
    <w:qFormat/>
    <w:uiPriority w:val="0"/>
    <w:pPr>
      <w:ind w:firstLine="420" w:firstLineChars="200"/>
    </w:pPr>
  </w:style>
  <w:style w:type="character" w:customStyle="1" w:styleId="30">
    <w:name w:val="bumpedfont20"/>
    <w:basedOn w:val="17"/>
    <w:qFormat/>
    <w:uiPriority w:val="0"/>
  </w:style>
  <w:style w:type="character" w:customStyle="1" w:styleId="31">
    <w:name w:val="纯文本 字符"/>
    <w:link w:val="6"/>
    <w:qFormat/>
    <w:uiPriority w:val="0"/>
    <w:rPr>
      <w:rFonts w:ascii="宋体" w:hAnsi="Courier New"/>
      <w:kern w:val="2"/>
      <w:sz w:val="21"/>
    </w:rPr>
  </w:style>
  <w:style w:type="paragraph" w:styleId="32">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3">
    <w:name w:val="正文文本缩进 字符"/>
    <w:link w:val="5"/>
    <w:qFormat/>
    <w:uiPriority w:val="0"/>
    <w:rPr>
      <w:rFonts w:eastAsia="PMingLiU"/>
      <w:sz w:val="24"/>
      <w:lang w:val="en-GB" w:eastAsia="en-US"/>
    </w:rPr>
  </w:style>
  <w:style w:type="character" w:customStyle="1" w:styleId="34">
    <w:name w:val="正文文本 字符"/>
    <w:link w:val="4"/>
    <w:qFormat/>
    <w:uiPriority w:val="0"/>
    <w:rPr>
      <w:rFonts w:eastAsia="PMingLiU"/>
      <w:sz w:val="24"/>
      <w:lang w:eastAsia="en-US"/>
    </w:rPr>
  </w:style>
  <w:style w:type="character" w:customStyle="1" w:styleId="35">
    <w:name w:val="short_text"/>
    <w:qFormat/>
    <w:uiPriority w:val="0"/>
  </w:style>
  <w:style w:type="character" w:customStyle="1" w:styleId="36">
    <w:name w:val="st1"/>
    <w:qFormat/>
    <w:uiPriority w:val="0"/>
  </w:style>
  <w:style w:type="character" w:customStyle="1" w:styleId="37">
    <w:name w:val="apple-converted-space"/>
    <w:basedOn w:val="17"/>
    <w:qFormat/>
    <w:uiPriority w:val="99"/>
  </w:style>
  <w:style w:type="paragraph" w:customStyle="1" w:styleId="38">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9">
    <w:name w:val="网格型1"/>
    <w:basedOn w:val="1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0">
    <w:name w:val="_Style 2"/>
    <w:basedOn w:val="1"/>
    <w:qFormat/>
    <w:uiPriority w:val="34"/>
    <w:pPr>
      <w:ind w:firstLine="420" w:firstLineChars="200"/>
    </w:pPr>
  </w:style>
  <w:style w:type="character" w:customStyle="1" w:styleId="41">
    <w:name w:val="标题 1 字符"/>
    <w:basedOn w:val="17"/>
    <w:link w:val="2"/>
    <w:qFormat/>
    <w:uiPriority w:val="9"/>
    <w:rPr>
      <w:rFonts w:asciiTheme="minorHAnsi" w:hAnsiTheme="minorHAnsi" w:eastAsiaTheme="minorEastAsia" w:cstheme="minorBidi"/>
      <w:b/>
      <w:bCs/>
      <w:kern w:val="44"/>
      <w:sz w:val="44"/>
      <w:szCs w:val="44"/>
    </w:rPr>
  </w:style>
  <w:style w:type="paragraph" w:customStyle="1" w:styleId="42">
    <w:name w:val="列出段落2"/>
    <w:basedOn w:val="1"/>
    <w:qFormat/>
    <w:uiPriority w:val="0"/>
    <w:pPr>
      <w:ind w:firstLine="420" w:firstLineChars="200"/>
    </w:pPr>
    <w:rPr>
      <w:rFonts w:ascii="Calibri" w:hAnsi="Calibri"/>
      <w:szCs w:val="22"/>
    </w:rPr>
  </w:style>
  <w:style w:type="character" w:customStyle="1" w:styleId="43">
    <w:name w:val="批注文字 字符"/>
    <w:basedOn w:val="17"/>
    <w:link w:val="3"/>
    <w:semiHidden/>
    <w:qFormat/>
    <w:uiPriority w:val="0"/>
    <w:rPr>
      <w:kern w:val="2"/>
      <w:sz w:val="21"/>
      <w:szCs w:val="24"/>
    </w:rPr>
  </w:style>
  <w:style w:type="character" w:customStyle="1" w:styleId="44">
    <w:name w:val="批注主题 字符"/>
    <w:basedOn w:val="43"/>
    <w:link w:val="14"/>
    <w:semiHidden/>
    <w:qFormat/>
    <w:uiPriority w:val="0"/>
    <w:rPr>
      <w:b/>
      <w:bCs/>
      <w:kern w:val="2"/>
      <w:sz w:val="21"/>
      <w:szCs w:val="24"/>
    </w:rPr>
  </w:style>
  <w:style w:type="table" w:customStyle="1" w:styleId="45">
    <w:name w:val="网格型2"/>
    <w:basedOn w:val="1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9">
    <w:name w:val="标题 字符"/>
    <w:basedOn w:val="17"/>
    <w:link w:val="13"/>
    <w:qFormat/>
    <w:uiPriority w:val="0"/>
    <w:rPr>
      <w:rFonts w:asciiTheme="majorHAnsi" w:hAnsiTheme="majorHAnsi" w:cstheme="majorBidi"/>
      <w:b/>
      <w:bCs/>
      <w:kern w:val="2"/>
      <w:sz w:val="32"/>
      <w:szCs w:val="32"/>
    </w:rPr>
  </w:style>
  <w:style w:type="character" w:customStyle="1" w:styleId="50">
    <w:name w:val="font11"/>
    <w:basedOn w:val="17"/>
    <w:qFormat/>
    <w:uiPriority w:val="0"/>
    <w:rPr>
      <w:rFonts w:hint="eastAsia" w:ascii="宋体" w:hAnsi="宋体" w:eastAsia="宋体" w:cs="宋体"/>
      <w:color w:val="000000"/>
      <w:sz w:val="22"/>
      <w:szCs w:val="22"/>
      <w:u w:val="none"/>
    </w:rPr>
  </w:style>
  <w:style w:type="character" w:customStyle="1" w:styleId="51">
    <w:name w:val="font51"/>
    <w:basedOn w:val="17"/>
    <w:qFormat/>
    <w:uiPriority w:val="0"/>
    <w:rPr>
      <w:rFonts w:hint="default" w:ascii="Times New Roman" w:hAnsi="Times New Roman" w:cs="Times New Roman"/>
      <w:color w:val="000000"/>
      <w:sz w:val="22"/>
      <w:szCs w:val="22"/>
      <w:u w:val="none"/>
    </w:rPr>
  </w:style>
  <w:style w:type="character" w:customStyle="1" w:styleId="52">
    <w:name w:val="font41"/>
    <w:basedOn w:val="17"/>
    <w:qFormat/>
    <w:uiPriority w:val="0"/>
    <w:rPr>
      <w:rFonts w:hint="eastAsia" w:ascii="宋体" w:hAnsi="宋体" w:eastAsia="宋体" w:cs="宋体"/>
      <w:b/>
      <w:bCs/>
      <w:color w:val="000000"/>
      <w:sz w:val="22"/>
      <w:szCs w:val="22"/>
      <w:u w:val="none"/>
    </w:rPr>
  </w:style>
  <w:style w:type="character" w:customStyle="1" w:styleId="53">
    <w:name w:val="font81"/>
    <w:basedOn w:val="17"/>
    <w:qFormat/>
    <w:uiPriority w:val="0"/>
    <w:rPr>
      <w:rFonts w:hint="default" w:ascii="Times New Roman" w:hAnsi="Times New Roman" w:cs="Times New Roman"/>
      <w:color w:val="000000"/>
      <w:sz w:val="22"/>
      <w:szCs w:val="22"/>
      <w:u w:val="none"/>
      <w:vertAlign w:val="superscript"/>
    </w:rPr>
  </w:style>
  <w:style w:type="character" w:customStyle="1" w:styleId="54">
    <w:name w:val="font71"/>
    <w:basedOn w:val="17"/>
    <w:qFormat/>
    <w:uiPriority w:val="0"/>
    <w:rPr>
      <w:rFonts w:hint="eastAsia" w:ascii="宋体" w:hAnsi="宋体" w:eastAsia="宋体" w:cs="宋体"/>
      <w:color w:val="000000"/>
      <w:sz w:val="22"/>
      <w:szCs w:val="22"/>
      <w:u w:val="none"/>
    </w:rPr>
  </w:style>
  <w:style w:type="character" w:customStyle="1" w:styleId="55">
    <w:name w:val="font01"/>
    <w:basedOn w:val="17"/>
    <w:qFormat/>
    <w:uiPriority w:val="0"/>
    <w:rPr>
      <w:rFonts w:hint="default" w:ascii="Times New Roman" w:hAnsi="Times New Roman" w:cs="Times New Roman"/>
      <w:color w:val="000000"/>
      <w:sz w:val="22"/>
      <w:szCs w:val="22"/>
      <w:u w:val="none"/>
    </w:rPr>
  </w:style>
  <w:style w:type="character" w:customStyle="1" w:styleId="56">
    <w:name w:val="font91"/>
    <w:basedOn w:val="17"/>
    <w:qFormat/>
    <w:uiPriority w:val="0"/>
    <w:rPr>
      <w:rFonts w:hint="eastAsia" w:ascii="宋体" w:hAnsi="宋体" w:eastAsia="宋体" w:cs="宋体"/>
      <w:b/>
      <w:bCs/>
      <w:color w:val="000000"/>
      <w:sz w:val="22"/>
      <w:szCs w:val="22"/>
      <w:u w:val="none"/>
    </w:rPr>
  </w:style>
  <w:style w:type="character" w:customStyle="1" w:styleId="57">
    <w:name w:val="font61"/>
    <w:basedOn w:val="17"/>
    <w:qFormat/>
    <w:uiPriority w:val="0"/>
    <w:rPr>
      <w:rFonts w:hint="eastAsia" w:ascii="宋体" w:hAnsi="宋体" w:eastAsia="宋体" w:cs="宋体"/>
      <w:color w:val="000000"/>
      <w:sz w:val="22"/>
      <w:szCs w:val="22"/>
      <w:u w:val="none"/>
    </w:rPr>
  </w:style>
  <w:style w:type="character" w:customStyle="1" w:styleId="58">
    <w:name w:val="font101"/>
    <w:basedOn w:val="17"/>
    <w:qFormat/>
    <w:uiPriority w:val="0"/>
    <w:rPr>
      <w:rFonts w:hint="eastAsia" w:ascii="宋体" w:hAnsi="宋体" w:eastAsia="宋体" w:cs="宋体"/>
      <w:b/>
      <w:bCs/>
      <w:color w:val="000000"/>
      <w:sz w:val="22"/>
      <w:szCs w:val="22"/>
      <w:u w:val="none"/>
    </w:rPr>
  </w:style>
  <w:style w:type="character" w:customStyle="1" w:styleId="59">
    <w:name w:val="font112"/>
    <w:basedOn w:val="17"/>
    <w:qFormat/>
    <w:uiPriority w:val="0"/>
    <w:rPr>
      <w:rFonts w:hint="default" w:ascii="Times New Roman" w:hAnsi="Times New Roman" w:cs="Times New Roman"/>
      <w:color w:val="000000"/>
      <w:sz w:val="21"/>
      <w:szCs w:val="21"/>
      <w:u w:val="none"/>
    </w:rPr>
  </w:style>
  <w:style w:type="character" w:customStyle="1" w:styleId="60">
    <w:name w:val="font121"/>
    <w:basedOn w:val="17"/>
    <w:qFormat/>
    <w:uiPriority w:val="0"/>
    <w:rPr>
      <w:rFonts w:hint="default" w:ascii="Times New Roman" w:hAnsi="Times New Roman" w:cs="Times New Roman"/>
      <w:color w:val="000000"/>
      <w:sz w:val="21"/>
      <w:szCs w:val="21"/>
      <w:u w:val="none"/>
      <w:vertAlign w:val="superscript"/>
    </w:rPr>
  </w:style>
  <w:style w:type="character" w:customStyle="1" w:styleId="61">
    <w:name w:val="font31"/>
    <w:basedOn w:val="1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3496</Words>
  <Characters>4791</Characters>
  <Lines>1597</Lines>
  <Paragraphs>1183</Paragraphs>
  <TotalTime>3</TotalTime>
  <ScaleCrop>false</ScaleCrop>
  <LinksUpToDate>false</LinksUpToDate>
  <CharactersWithSpaces>7104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2026-02-09T00:18:00Z</cp:lastPrinted>
  <dcterms:modified xsi:type="dcterms:W3CDTF">2026-03-12T08:29:04Z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D680E1FFDF2C4F40A6B827C20713C5A7</vt:lpwstr>
  </property>
  <property fmtid="{D5CDD505-2E9C-101B-9397-08002B2CF9AE}" pid="4" name="KSOTemplateDocerSaveRecord">
    <vt:lpwstr>eyJoZGlkIjoiOTRmNzlmNjMxNmM3ZWZkYmQ3ODBhZGE0N2M5NzFmMWEiLCJ1c2VySWQiOiI0OTkyMjc2NzgifQ==</vt:lpwstr>
  </property>
</Properties>
</file>